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F6" w:rsidRDefault="00CF2E4E">
      <w:r>
        <w:rPr>
          <w:rFonts w:ascii="Arial" w:hAnsi="Arial" w:cs="Arial"/>
          <w:b/>
          <w:sz w:val="28"/>
        </w:rPr>
        <w:t>REQUERIMIENTOS DE SISTEMA</w:t>
      </w:r>
    </w:p>
    <w:tbl>
      <w:tblPr>
        <w:tblStyle w:val="Tablaconcuadrcula"/>
        <w:tblW w:w="9071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132"/>
        <w:gridCol w:w="5955"/>
        <w:gridCol w:w="1984"/>
      </w:tblGrid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Clasificación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RF-001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tendrá las opciones “Reglamento”, “Manual” y  “Guía”.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RF-002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Los apartados tendrán siempre un botón hacia el inicio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RF-003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bookmarkStart w:id="0" w:name="__DdeLink__154_1569348665"/>
            <w:bookmarkEnd w:id="0"/>
            <w:r>
              <w:rPr>
                <w:rFonts w:ascii="Arial" w:hAnsi="Arial" w:cs="Arial"/>
                <w:sz w:val="24"/>
              </w:rPr>
              <w:t xml:space="preserve">En todas las pantallas se </w:t>
            </w:r>
            <w:r>
              <w:rPr>
                <w:rFonts w:ascii="Arial" w:hAnsi="Arial" w:cs="Arial"/>
                <w:sz w:val="24"/>
              </w:rPr>
              <w:t>presentará el logotipo de “Secretaria de Movilidad del estado de Jalisco”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RF-004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contara en la opción de “Reglamento” con un “buscador” de palabras clave.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RF-005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La opción “Manual” contará con las subsecciones:</w:t>
            </w:r>
            <w:r w:rsidR="00C2604B">
              <w:rPr>
                <w:rFonts w:ascii="Arial" w:hAnsi="Arial" w:cs="Arial"/>
                <w:sz w:val="24"/>
              </w:rPr>
              <w:t xml:space="preserve">     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-Problemática vial -Factor humano -Seguridad vial</w:t>
            </w:r>
            <w:r w:rsidR="00C2604B">
              <w:rPr>
                <w:rFonts w:ascii="Arial" w:hAnsi="Arial" w:cs="Arial"/>
                <w:sz w:val="24"/>
              </w:rPr>
              <w:t xml:space="preserve">    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-Comportamiento dinámico del vehículo -Ley y reglamento -Mecánica básica.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RF-006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contendrá todas las preguntas del archivo físico de “Guía para presentación de examen para obtención de</w:t>
            </w:r>
            <w:r>
              <w:rPr>
                <w:rFonts w:ascii="Arial" w:hAnsi="Arial" w:cs="Arial"/>
                <w:sz w:val="24"/>
              </w:rPr>
              <w:t xml:space="preserve"> licencia de conducir”</w:t>
            </w:r>
            <w:bookmarkStart w:id="2" w:name="_GoBack1"/>
            <w:bookmarkEnd w:id="2"/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RF-007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Las respuestas se califican mediante incisos.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RF-008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evaluará las respuestas.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RF-009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mostrara el porcentaje total de respuestas correctas.</w:t>
            </w: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010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011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F2DF6">
        <w:trPr>
          <w:trHeight w:val="283"/>
        </w:trPr>
        <w:tc>
          <w:tcPr>
            <w:tcW w:w="1132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012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CF2DF6" w:rsidRDefault="00CF2E4E">
      <w:r>
        <w:br w:type="page"/>
      </w:r>
    </w:p>
    <w:p w:rsidR="00CF2DF6" w:rsidRDefault="00CF2DF6"/>
    <w:tbl>
      <w:tblPr>
        <w:tblStyle w:val="Tablaconcuadrcula"/>
        <w:tblW w:w="9071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65"/>
        <w:gridCol w:w="5955"/>
        <w:gridCol w:w="1751"/>
      </w:tblGrid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4"/>
              </w:rPr>
              <w:t>Clasificación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RNF-001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4"/>
              </w:rPr>
              <w:t>El sistema se basa en los archivos oficiales de la “Secretaria de Movilidad del estado de Jalisco”.</w:t>
            </w: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RNF-002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funcionara en dispositivos con </w:t>
            </w:r>
            <w:proofErr w:type="spellStart"/>
            <w:r>
              <w:rPr>
                <w:rFonts w:ascii="Arial" w:hAnsi="Arial" w:cs="Arial"/>
                <w:sz w:val="24"/>
              </w:rPr>
              <w:t>Android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mayor a 3.0</w:t>
            </w: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A363F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RNF-</w:t>
            </w:r>
            <w:r w:rsidR="00CF2E4E">
              <w:rPr>
                <w:rFonts w:ascii="Arial" w:hAnsi="Arial" w:cs="Arial"/>
                <w:sz w:val="24"/>
              </w:rPr>
              <w:t>003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A363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mostrara una pantalla que indique que se está calculando el porcentaje de respuestas.</w:t>
            </w: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 xml:space="preserve">No </w:t>
            </w:r>
            <w:r>
              <w:rPr>
                <w:rFonts w:ascii="Arial" w:hAnsi="Arial" w:cs="Arial"/>
                <w:sz w:val="24"/>
              </w:rPr>
              <w:t>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004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005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006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007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008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009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010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Funcional</w:t>
            </w: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011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F2DF6">
        <w:trPr>
          <w:trHeight w:val="283"/>
        </w:trPr>
        <w:tc>
          <w:tcPr>
            <w:tcW w:w="136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E4E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4"/>
              </w:rPr>
              <w:t>012</w:t>
            </w:r>
          </w:p>
        </w:tc>
        <w:tc>
          <w:tcPr>
            <w:tcW w:w="5955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51" w:type="dxa"/>
            <w:shd w:val="clear" w:color="auto" w:fill="auto"/>
            <w:tcMar>
              <w:left w:w="88" w:type="dxa"/>
            </w:tcMar>
            <w:vAlign w:val="center"/>
          </w:tcPr>
          <w:p w:rsidR="00CF2DF6" w:rsidRDefault="00CF2DF6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CF2DF6" w:rsidRDefault="00CF2DF6"/>
    <w:sectPr w:rsidR="00CF2DF6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F6"/>
    <w:rsid w:val="00A363F6"/>
    <w:rsid w:val="00C17358"/>
    <w:rsid w:val="00C2604B"/>
    <w:rsid w:val="00CF2DF6"/>
    <w:rsid w:val="00C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C5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C531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Vegueta</dc:creator>
  <dc:description/>
  <cp:lastModifiedBy>Luffi</cp:lastModifiedBy>
  <cp:revision>18</cp:revision>
  <dcterms:created xsi:type="dcterms:W3CDTF">2016-08-31T23:09:00Z</dcterms:created>
  <dcterms:modified xsi:type="dcterms:W3CDTF">2016-10-10T16:26:00Z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