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BE54" w14:textId="4D633A90" w:rsidR="00315183" w:rsidRDefault="00315183" w:rsidP="001D5A53">
      <w:pPr>
        <w:rPr>
          <w:b/>
          <w:bCs/>
          <w:noProof w:val="0"/>
          <w:color w:val="FF0000"/>
          <w:sz w:val="32"/>
          <w:szCs w:val="32"/>
        </w:rPr>
      </w:pPr>
      <w:r>
        <w:rPr>
          <w:b/>
          <w:bCs/>
          <w:noProof w:val="0"/>
          <w:color w:val="FF0000"/>
          <w:sz w:val="32"/>
          <w:szCs w:val="32"/>
        </w:rPr>
        <w:t>Dreams quote”</w:t>
      </w: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77777777" w:rsidR="00315183" w:rsidRDefault="00315183"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r w:rsidR="007E4DDB" w:rsidRPr="007E4DDB">
        <w:rPr>
          <w:rFonts w:ascii="Times New Roman" w:hAnsi="Times New Roman" w:cs="Times New Roman"/>
          <w:noProof w:val="0"/>
          <w:sz w:val="24"/>
          <w:szCs w:val="24"/>
        </w:rPr>
        <w:t xml:space="preserve">indeed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r>
        <w:rPr>
          <w:rFonts w:ascii="Times New Roman" w:hAnsi="Times New Roman" w:cs="Times New Roman"/>
          <w:noProof w:val="0"/>
          <w:sz w:val="24"/>
          <w:szCs w:val="24"/>
          <w:highlight w:val="cyan"/>
        </w:rPr>
        <w:t>therefore</w:t>
      </w:r>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w:t>
      </w:r>
      <w:r w:rsidR="002E4D04" w:rsidRPr="001C7D74">
        <w:rPr>
          <w:b/>
          <w:bCs/>
          <w:noProof w:val="0"/>
        </w:rPr>
        <w:t>ground lime</w:t>
      </w:r>
      <w:r w:rsidR="002E4D04" w:rsidRPr="001C7D74">
        <w:rPr>
          <w:b/>
          <w:bCs/>
          <w:noProof w:val="0"/>
        </w:rPr>
        <w:t xml:space="preserve"> which contains </w:t>
      </w:r>
      <w:r w:rsidR="002E4D04" w:rsidRPr="001C7D74">
        <w:rPr>
          <w:b/>
          <w:bCs/>
          <w:noProof w:val="0"/>
        </w:rPr>
        <w:t>calcium</w:t>
      </w:r>
      <w:r w:rsidR="002E4D04" w:rsidRPr="001C7D74">
        <w:rPr>
          <w:b/>
          <w:bCs/>
          <w:noProof w:val="0"/>
        </w:rPr>
        <w:t xml:space="preserve"> </w:t>
      </w:r>
      <w:r w:rsidR="002E4D04" w:rsidRPr="001C7D74">
        <w:rPr>
          <w:b/>
          <w:bCs/>
          <w:noProof w:val="0"/>
        </w:rPr>
        <w:t>carbonate</w:t>
      </w:r>
      <w:r w:rsidR="002E4D04" w:rsidRPr="001C7D74">
        <w:rPr>
          <w:b/>
          <w:bCs/>
          <w:noProof w:val="0"/>
        </w:rPr>
        <w:t xml:space="preserve"> was used</w:t>
      </w:r>
      <w:r w:rsidR="002E4D04" w:rsidRPr="001C7D74">
        <w:rPr>
          <w:b/>
          <w:bCs/>
          <w:noProof w:val="0"/>
        </w:rPr>
        <w:t xml:space="preserve"> to cleanse the </w:t>
      </w:r>
      <w:proofErr w:type="spellStart"/>
      <w:r w:rsidR="002E4D04" w:rsidRPr="001C7D74">
        <w:rPr>
          <w:b/>
          <w:bCs/>
          <w:noProof w:val="0"/>
        </w:rPr>
        <w:t>fibers</w:t>
      </w:r>
      <w:proofErr w:type="spellEnd"/>
      <w:r w:rsidR="002E4D04" w:rsidRPr="001C7D74">
        <w:rPr>
          <w:b/>
          <w:bCs/>
          <w:noProof w:val="0"/>
        </w:rPr>
        <w:t xml:space="preserve"> during the beating process</w:t>
      </w:r>
      <w:r w:rsidR="002E4D04" w:rsidRPr="001C7D74">
        <w:rPr>
          <w:b/>
          <w:bCs/>
          <w:noProof w:val="0"/>
        </w:rPr>
        <w:t xml:space="preserve">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is subsequent</w:t>
      </w:r>
      <w:r w:rsidR="00D22723">
        <w:rPr>
          <w:noProof w:val="0"/>
        </w:rPr>
        <w:t xml:space="preserve"> to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5FE1E4F4" w14:textId="0B43D457" w:rsidR="00AB0ACB" w:rsidRDefault="00096FDC" w:rsidP="006C5AD3">
      <w:pPr>
        <w:rPr>
          <w:noProof w:val="0"/>
        </w:rPr>
      </w:pPr>
      <w:r>
        <w:rPr>
          <w:noProof w:val="0"/>
        </w:rPr>
        <w:t>The subtitle</w:t>
      </w:r>
      <w:r w:rsidR="006C5AD3">
        <w:rPr>
          <w:noProof w:val="0"/>
        </w:rPr>
        <w:t xml:space="preserve"> is always in uppercase and the font use</w:t>
      </w:r>
      <w:r w:rsidR="005C118F">
        <w:rPr>
          <w:noProof w:val="0"/>
        </w:rPr>
        <w:t>d</w:t>
      </w:r>
      <w:r w:rsidR="006C5AD3">
        <w:rPr>
          <w:noProof w:val="0"/>
        </w:rPr>
        <w:t xml:space="preserve"> is </w:t>
      </w:r>
      <w:r w:rsidR="005F0598">
        <w:rPr>
          <w:noProof w:val="0"/>
        </w:rPr>
        <w:t xml:space="preserve">Bodoni </w:t>
      </w:r>
      <w:proofErr w:type="spellStart"/>
      <w:r w:rsidR="005F0598">
        <w:rPr>
          <w:noProof w:val="0"/>
        </w:rPr>
        <w:t>Moda</w:t>
      </w:r>
      <w:proofErr w:type="spellEnd"/>
      <w:r w:rsidR="005C118F">
        <w:rPr>
          <w:noProof w:val="0"/>
        </w:rPr>
        <w:t>; this specific font is a variation of</w:t>
      </w:r>
      <w:r w:rsidR="00AB0ACB">
        <w:rPr>
          <w:noProof w:val="0"/>
        </w:rPr>
        <w:t xml:space="preserve"> Bodoni, the serif typefaces first designed by </w:t>
      </w:r>
      <w:proofErr w:type="spellStart"/>
      <w:r w:rsidR="00AB0ACB">
        <w:rPr>
          <w:noProof w:val="0"/>
        </w:rPr>
        <w:t>Giambattista</w:t>
      </w:r>
      <w:proofErr w:type="spellEnd"/>
      <w:r w:rsidR="00AB0ACB">
        <w:rPr>
          <w:noProof w:val="0"/>
        </w:rPr>
        <w:t xml:space="preserve"> Bodoni(</w:t>
      </w:r>
      <w:r w:rsidR="00AB0ACB" w:rsidRPr="00AB0ACB">
        <w:rPr>
          <w:noProof w:val="0"/>
          <w:highlight w:val="cyan"/>
        </w:rPr>
        <w:t>LINK</w:t>
      </w:r>
      <w:r w:rsidR="00AB0ACB">
        <w:rPr>
          <w:noProof w:val="0"/>
        </w:rPr>
        <w:t xml:space="preserve">) in the late XVIII century </w:t>
      </w:r>
      <w:r w:rsidR="00AB0ACB" w:rsidRPr="00AB0ACB">
        <w:rPr>
          <w:noProof w:val="0"/>
        </w:rPr>
        <w:t xml:space="preserve">that was still widely used in </w:t>
      </w:r>
      <w:r w:rsidR="00AB0ACB">
        <w:rPr>
          <w:noProof w:val="0"/>
        </w:rPr>
        <w:t>the XIX century</w:t>
      </w:r>
      <w:r w:rsidR="003F4BE5">
        <w:rPr>
          <w:noProof w:val="0"/>
        </w:rPr>
        <w:t xml:space="preserve"> that, on its part, </w:t>
      </w:r>
      <w:r w:rsidR="00AB0ACB">
        <w:rPr>
          <w:noProof w:val="0"/>
        </w:rPr>
        <w:t>is actually characterized by</w:t>
      </w:r>
      <w:r w:rsidR="00AB0ACB" w:rsidRPr="00AB0ACB">
        <w:rPr>
          <w:noProof w:val="0"/>
        </w:rPr>
        <w:t xml:space="preserve"> fewer stylistic innovations</w:t>
      </w:r>
      <w:r w:rsidR="003F4BE5">
        <w:rPr>
          <w:noProof w:val="0"/>
        </w:rPr>
        <w:t>.</w:t>
      </w:r>
    </w:p>
    <w:p w14:paraId="1A1ACEF6" w14:textId="0239C1A8" w:rsidR="00096FDC" w:rsidRDefault="00096FDC" w:rsidP="007E4DDB">
      <w:pPr>
        <w:rPr>
          <w:noProof w:val="0"/>
        </w:rPr>
      </w:pPr>
      <w:r>
        <w:rPr>
          <w:noProof w:val="0"/>
        </w:rPr>
        <w:lastRenderedPageBreak/>
        <w:t>The date and the author of the article</w:t>
      </w:r>
      <w:r w:rsidR="009F4F18">
        <w:rPr>
          <w:noProof w:val="0"/>
        </w:rPr>
        <w:t xml:space="preserve"> 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p>
    <w:p w14:paraId="097DAE71" w14:textId="77777777" w:rsidR="00DD2FD4" w:rsidRDefault="00096FDC" w:rsidP="007E4DDB">
      <w:r>
        <w:rPr>
          <w:noProof w:val="0"/>
        </w:rPr>
        <w:t xml:space="preserve">Every </w:t>
      </w:r>
      <w:r w:rsidR="005F0598">
        <w:rPr>
          <w:noProof w:val="0"/>
        </w:rPr>
        <w:t>secondary title (</w:t>
      </w:r>
      <w:r w:rsidR="00DD2FD4">
        <w:rPr>
          <w:noProof w:val="0"/>
        </w:rPr>
        <w:t>e.g.,</w:t>
      </w:r>
      <w:r w:rsidR="005F0598">
        <w:rPr>
          <w:noProof w:val="0"/>
        </w:rPr>
        <w:t xml:space="preserve"> h3, h4</w:t>
      </w:r>
      <w:r w:rsidR="003F4BE5">
        <w:rPr>
          <w:noProof w:val="0"/>
        </w:rPr>
        <w:t xml:space="preserve"> and so on</w:t>
      </w:r>
      <w:r w:rsidR="005F0598">
        <w:rPr>
          <w:noProof w:val="0"/>
        </w:rPr>
        <w:t>) is</w:t>
      </w:r>
      <w:r w:rsidR="006C5AD3">
        <w:rPr>
          <w:noProof w:val="0"/>
        </w:rPr>
        <w:t xml:space="preserve"> bold and has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t xml:space="preserve"> </w:t>
      </w:r>
    </w:p>
    <w:p w14:paraId="23F83C8E" w14:textId="66554C2F" w:rsidR="005F0598" w:rsidRDefault="00DD2FD4" w:rsidP="007E4DDB">
      <w:pPr>
        <w:rPr>
          <w:noProof w:val="0"/>
        </w:rPr>
      </w:pPr>
      <w:r>
        <w:rPr>
          <w:noProof w:val="0"/>
        </w:rPr>
        <w:t xml:space="preserve">The body of the articles is also in Bodoni </w:t>
      </w:r>
      <w:proofErr w:type="spellStart"/>
      <w:r>
        <w:rPr>
          <w:noProof w:val="0"/>
        </w:rPr>
        <w:t>Moda</w:t>
      </w:r>
      <w:proofErr w:type="spellEnd"/>
      <w:r>
        <w:rPr>
          <w:noProof w:val="0"/>
        </w:rPr>
        <w:t xml:space="preserve"> and it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food and </w:t>
      </w:r>
      <w:r w:rsidR="009F1166">
        <w:rPr>
          <w:noProof w:val="0"/>
        </w:rPr>
        <w:t>beverages.</w:t>
      </w:r>
      <w:r w:rsidR="002C0CEF">
        <w:rPr>
          <w:noProof w:val="0"/>
        </w:rPr>
        <w:t xml:space="preserve"> </w:t>
      </w:r>
      <w:r w:rsidR="009F1166">
        <w:rPr>
          <w:noProof w:val="0"/>
        </w:rPr>
        <w:t>We used a Lipton Tea advertisement for the articles and a Coca Cola one for the main page; the latter is a fascinating example from the end of the century of what was called chromolithography, a cheap method for printing in colour that was actually invented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lastRenderedPageBreak/>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CD7C19" w:rsidP="001D5A53">
      <w:hyperlink r:id="rId6" w:history="1">
        <w:r w:rsidR="002B3040" w:rsidRPr="00924180">
          <w:rPr>
            <w:rStyle w:val="Collegamentoipertestuale"/>
          </w:rPr>
          <w:t>https://en.wikipedia.org/wiki/History_of_British_newspapers</w:t>
        </w:r>
      </w:hyperlink>
    </w:p>
    <w:p w14:paraId="434F7DA1" w14:textId="505330C1" w:rsidR="002B3040" w:rsidRDefault="00CD7C19" w:rsidP="001D5A53">
      <w:hyperlink r:id="rId7" w:history="1">
        <w:r w:rsidR="002B3040" w:rsidRPr="00924180">
          <w:rPr>
            <w:rStyle w:val="Collegamentoipertestuale"/>
          </w:rPr>
          <w:t>https://ncna.dh.chass.ncsu.edu/infonetworks/history.php</w:t>
        </w:r>
      </w:hyperlink>
    </w:p>
    <w:p w14:paraId="0D7B06B4" w14:textId="7FB26798" w:rsidR="002B3040" w:rsidRDefault="00CD7C19" w:rsidP="001D5A53">
      <w:hyperlink r:id="rId8" w:history="1">
        <w:r w:rsidR="002B3040" w:rsidRPr="00924180">
          <w:rPr>
            <w:rStyle w:val="Collegamentoipertestuale"/>
          </w:rPr>
          <w:t>https://www.english-heritage.org.uk/learn/story-of-england/victorian/</w:t>
        </w:r>
      </w:hyperlink>
    </w:p>
    <w:p w14:paraId="5B0C7124" w14:textId="147D0748" w:rsidR="002B3040" w:rsidRDefault="00CD7C19"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CD7C19"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CD7C19"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0F87B5C3"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see clearly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really low</w:t>
      </w:r>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w:t>
      </w:r>
      <w:r w:rsidR="00435CB1" w:rsidRPr="00CD7C19">
        <w:rPr>
          <w:rFonts w:ascii="Times New Roman" w:hAnsi="Times New Roman" w:cs="Times New Roman"/>
          <w:noProof w:val="0"/>
          <w:sz w:val="24"/>
          <w:szCs w:val="24"/>
        </w:rPr>
        <w:t>also influen</w:t>
      </w:r>
      <w:r w:rsidR="00435CB1" w:rsidRPr="00CD7C19">
        <w:rPr>
          <w:rFonts w:ascii="Times New Roman" w:hAnsi="Times New Roman" w:cs="Times New Roman"/>
          <w:noProof w:val="0"/>
          <w:sz w:val="24"/>
          <w:szCs w:val="24"/>
        </w:rPr>
        <w:t>c</w:t>
      </w:r>
      <w:r w:rsidR="00435CB1" w:rsidRPr="00CD7C19">
        <w:rPr>
          <w:rFonts w:ascii="Times New Roman" w:hAnsi="Times New Roman" w:cs="Times New Roman"/>
          <w:noProof w:val="0"/>
          <w:sz w:val="24"/>
          <w:szCs w:val="24"/>
        </w:rPr>
        <w:t xml:space="preserve">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xml:space="preserve">, Friendster, Facebook and Twitter </w:t>
      </w:r>
      <w:r w:rsidR="00435CB1" w:rsidRPr="00CD7C19">
        <w:rPr>
          <w:rFonts w:ascii="Times New Roman" w:hAnsi="Times New Roman" w:cs="Times New Roman"/>
          <w:noProof w:val="0"/>
          <w:sz w:val="24"/>
          <w:szCs w:val="24"/>
        </w:rPr>
        <w:t>are all products of the first years of the XX 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 xml:space="preserve">These were also the years in which we became increasingly aware </w:t>
      </w:r>
      <w:r w:rsidR="00CE0778" w:rsidRPr="00CD7C19">
        <w:rPr>
          <w:rFonts w:ascii="Times New Roman" w:hAnsi="Times New Roman" w:cs="Times New Roman"/>
          <w:noProof w:val="0"/>
          <w:sz w:val="24"/>
          <w:szCs w:val="24"/>
        </w:rPr>
        <w:t>of climate change and global warming</w:t>
      </w:r>
      <w:r w:rsidR="00CE0778" w:rsidRPr="00CD7C19">
        <w:rPr>
          <w:rFonts w:ascii="Times New Roman" w:hAnsi="Times New Roman" w:cs="Times New Roman"/>
          <w:noProof w:val="0"/>
          <w:sz w:val="24"/>
          <w:szCs w:val="24"/>
        </w:rPr>
        <w:t xml:space="preserve"> and when we finally started to accept homosexuality.</w:t>
      </w:r>
    </w:p>
    <w:p w14:paraId="73BC98E7" w14:textId="4BF52CDB"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flip-phones and keyboards phones (</w:t>
      </w:r>
      <w:r w:rsidR="00315183"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0C51AF1E" w:rsidR="00374B9D" w:rsidRPr="00E05CD9" w:rsidRDefault="00E05CD9" w:rsidP="00CE0778">
      <w:pPr>
        <w:rPr>
          <w:b/>
          <w:bCs/>
          <w:noProof w:val="0"/>
        </w:rPr>
      </w:pPr>
      <w:r w:rsidRPr="00E05CD9">
        <w:rPr>
          <w:b/>
          <w:bCs/>
          <w:noProof w:val="0"/>
        </w:rPr>
        <w:t>LAYOUT</w:t>
      </w:r>
    </w:p>
    <w:p w14:paraId="07E8EA0E" w14:textId="77777777" w:rsidR="00E05CD9" w:rsidRPr="00E05CD9" w:rsidRDefault="00E05CD9" w:rsidP="00E05CD9">
      <w:pPr>
        <w:rPr>
          <w:b/>
          <w:bCs/>
          <w:noProof w:val="0"/>
        </w:rPr>
      </w:pPr>
      <w:r w:rsidRPr="00E05CD9">
        <w:rPr>
          <w:b/>
          <w:bCs/>
          <w:noProof w:val="0"/>
        </w:rPr>
        <w:t>COLORS</w:t>
      </w:r>
    </w:p>
    <w:p w14:paraId="0D67D71B" w14:textId="1BECE56E"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Four colours were used for the creating a simple yet elegant rendering: floral white (#F9F6F0) is the  background-</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(#f1f5dc) is the colours of the subtitles and the secondary titles, finally cadet (#5F696D) is </w:t>
      </w:r>
      <w:r w:rsidR="00315183" w:rsidRPr="00CD7C19">
        <w:rPr>
          <w:rFonts w:ascii="Times New Roman" w:hAnsi="Times New Roman" w:cs="Times New Roman"/>
          <w:noProof w:val="0"/>
          <w:sz w:val="24"/>
          <w:szCs w:val="24"/>
        </w:rPr>
        <w:t>used for 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Our main source is Vogue magazine from which we took some representatives articles from the issues of June 1998, October 1996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96FDC"/>
    <w:rsid w:val="001C7D74"/>
    <w:rsid w:val="001D5A53"/>
    <w:rsid w:val="001F6C85"/>
    <w:rsid w:val="0021450B"/>
    <w:rsid w:val="002352E0"/>
    <w:rsid w:val="00264909"/>
    <w:rsid w:val="00296980"/>
    <w:rsid w:val="002B3040"/>
    <w:rsid w:val="002C0CEF"/>
    <w:rsid w:val="002E4D04"/>
    <w:rsid w:val="00315183"/>
    <w:rsid w:val="00374B9D"/>
    <w:rsid w:val="00382297"/>
    <w:rsid w:val="00392E6A"/>
    <w:rsid w:val="003F4BE5"/>
    <w:rsid w:val="00435CB1"/>
    <w:rsid w:val="005545BB"/>
    <w:rsid w:val="005A7C29"/>
    <w:rsid w:val="005C118F"/>
    <w:rsid w:val="005F0598"/>
    <w:rsid w:val="006B40AE"/>
    <w:rsid w:val="006C5AD3"/>
    <w:rsid w:val="00757B03"/>
    <w:rsid w:val="007E4DDB"/>
    <w:rsid w:val="00807504"/>
    <w:rsid w:val="00852CE5"/>
    <w:rsid w:val="009531DE"/>
    <w:rsid w:val="009F1166"/>
    <w:rsid w:val="009F4F18"/>
    <w:rsid w:val="00A02C22"/>
    <w:rsid w:val="00AB0ACB"/>
    <w:rsid w:val="00AD3A5F"/>
    <w:rsid w:val="00B5098B"/>
    <w:rsid w:val="00B803E6"/>
    <w:rsid w:val="00CB77DA"/>
    <w:rsid w:val="00CD7C19"/>
    <w:rsid w:val="00CE0778"/>
    <w:rsid w:val="00D03DD7"/>
    <w:rsid w:val="00D22723"/>
    <w:rsid w:val="00D44FFE"/>
    <w:rsid w:val="00DD2FD4"/>
    <w:rsid w:val="00E05CD9"/>
    <w:rsid w:val="00E153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6</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16</cp:revision>
  <dcterms:created xsi:type="dcterms:W3CDTF">2021-05-30T09:17:00Z</dcterms:created>
  <dcterms:modified xsi:type="dcterms:W3CDTF">2021-06-01T08:41:00Z</dcterms:modified>
</cp:coreProperties>
</file>