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052E0" w:rsidRDefault="003F2000">
      <w:pPr>
        <w:spacing w:line="240" w:lineRule="auto"/>
        <w:jc w:val="center"/>
        <w:rPr>
          <w:b/>
          <w:sz w:val="26"/>
          <w:szCs w:val="26"/>
        </w:rPr>
      </w:pPr>
      <w:bookmarkStart w:id="0" w:name="_heading=h.gjdgxs" w:colFirst="0" w:colLast="0"/>
      <w:bookmarkEnd w:id="0"/>
      <w:r>
        <w:rPr>
          <w:b/>
          <w:sz w:val="26"/>
          <w:szCs w:val="26"/>
        </w:rPr>
        <w:t xml:space="preserve">Non-market value of theater: Performance of benefit transfer </w:t>
      </w:r>
      <w:r>
        <w:rPr>
          <w:b/>
          <w:sz w:val="26"/>
          <w:szCs w:val="26"/>
        </w:rPr>
        <w:br/>
        <w:t>across Denmark and Poland</w:t>
      </w:r>
      <w:sdt>
        <w:sdtPr>
          <w:tag w:val="goog_rdk_0"/>
          <w:id w:val="1767036661"/>
        </w:sdtPr>
        <w:sdtEndPr/>
        <w:sdtContent/>
      </w:sdt>
      <w:sdt>
        <w:sdtPr>
          <w:tag w:val="goog_rdk_1"/>
          <w:id w:val="-830828553"/>
        </w:sdtPr>
        <w:sdtEndPr/>
        <w:sdtContent/>
      </w:sdt>
    </w:p>
    <w:p w14:paraId="08377364" w14:textId="6A0C14A7" w:rsidR="003F2000" w:rsidRDefault="003F2000" w:rsidP="003F2000">
      <w:pPr>
        <w:spacing w:line="240" w:lineRule="auto"/>
        <w:jc w:val="center"/>
      </w:pPr>
      <w:r>
        <w:t>Authors: Andrea Baldin</w:t>
      </w:r>
      <w:r w:rsidRPr="003F2000">
        <w:rPr>
          <w:vertAlign w:val="superscript"/>
        </w:rPr>
        <w:t>1</w:t>
      </w:r>
      <w:r>
        <w:t>, Trine Bille</w:t>
      </w:r>
      <w:r w:rsidRPr="003F2000">
        <w:rPr>
          <w:vertAlign w:val="superscript"/>
        </w:rPr>
        <w:t>1</w:t>
      </w:r>
      <w:r>
        <w:t>, Aleksandra Wiśniewska</w:t>
      </w:r>
      <w:r w:rsidRPr="003F2000">
        <w:rPr>
          <w:vertAlign w:val="superscript"/>
        </w:rPr>
        <w:t>2*</w:t>
      </w:r>
      <w:r>
        <w:t>, Ewa Zawojska</w:t>
      </w:r>
      <w:r w:rsidRPr="003F2000">
        <w:rPr>
          <w:vertAlign w:val="superscript"/>
        </w:rPr>
        <w:t>2</w:t>
      </w:r>
    </w:p>
    <w:p w14:paraId="00000002" w14:textId="6F3CE46E" w:rsidR="00E052E0" w:rsidRPr="003F2000" w:rsidRDefault="003F2000" w:rsidP="003F2000">
      <w:pPr>
        <w:spacing w:after="0" w:line="240" w:lineRule="auto"/>
        <w:jc w:val="center"/>
        <w:rPr>
          <w:sz w:val="20"/>
          <w:szCs w:val="20"/>
        </w:rPr>
      </w:pPr>
      <w:r w:rsidRPr="003F2000">
        <w:rPr>
          <w:sz w:val="20"/>
          <w:szCs w:val="20"/>
          <w:vertAlign w:val="superscript"/>
        </w:rPr>
        <w:t>1</w:t>
      </w:r>
      <w:r w:rsidRPr="003F2000">
        <w:rPr>
          <w:sz w:val="20"/>
          <w:szCs w:val="20"/>
        </w:rPr>
        <w:t xml:space="preserve"> Department of Management, Politics and Philosophy, Copenhagen Business School</w:t>
      </w:r>
    </w:p>
    <w:p w14:paraId="1E334972" w14:textId="6AE19E27" w:rsidR="003F2000" w:rsidRPr="003F2000" w:rsidRDefault="003F2000" w:rsidP="003F2000">
      <w:pPr>
        <w:spacing w:after="0" w:line="240" w:lineRule="auto"/>
        <w:jc w:val="center"/>
        <w:rPr>
          <w:sz w:val="20"/>
          <w:szCs w:val="20"/>
        </w:rPr>
      </w:pPr>
      <w:r w:rsidRPr="003F2000">
        <w:rPr>
          <w:sz w:val="20"/>
          <w:szCs w:val="20"/>
          <w:vertAlign w:val="superscript"/>
        </w:rPr>
        <w:t>2</w:t>
      </w:r>
      <w:r w:rsidRPr="003F2000">
        <w:rPr>
          <w:sz w:val="20"/>
          <w:szCs w:val="20"/>
        </w:rPr>
        <w:t xml:space="preserve"> Department of Economics, University of Warsaw</w:t>
      </w:r>
    </w:p>
    <w:p w14:paraId="69C1DDC9" w14:textId="136C050B" w:rsidR="003F2000" w:rsidRPr="003F2000" w:rsidRDefault="003F2000" w:rsidP="003F2000">
      <w:pPr>
        <w:spacing w:line="240" w:lineRule="auto"/>
        <w:jc w:val="center"/>
        <w:rPr>
          <w:sz w:val="20"/>
          <w:szCs w:val="20"/>
        </w:rPr>
      </w:pPr>
      <w:r w:rsidRPr="003F2000">
        <w:rPr>
          <w:sz w:val="20"/>
          <w:szCs w:val="20"/>
        </w:rPr>
        <w:t>* corresponding auth</w:t>
      </w:r>
      <w:r>
        <w:rPr>
          <w:sz w:val="20"/>
          <w:szCs w:val="20"/>
        </w:rPr>
        <w:t>or: awisniewska@wne.uw</w:t>
      </w:r>
      <w:r w:rsidRPr="003F2000">
        <w:rPr>
          <w:sz w:val="20"/>
          <w:szCs w:val="20"/>
        </w:rPr>
        <w:t>.edu.pl</w:t>
      </w:r>
    </w:p>
    <w:p w14:paraId="169327BF" w14:textId="77777777" w:rsidR="003F2000" w:rsidRDefault="003F2000">
      <w:pPr>
        <w:spacing w:line="240" w:lineRule="auto"/>
        <w:jc w:val="both"/>
      </w:pPr>
    </w:p>
    <w:p w14:paraId="00000003" w14:textId="25E67E97" w:rsidR="00E052E0" w:rsidRDefault="003F2000">
      <w:pPr>
        <w:spacing w:line="240" w:lineRule="auto"/>
        <w:jc w:val="both"/>
      </w:pPr>
      <w:r>
        <w:t>I</w:t>
      </w:r>
      <w:r>
        <w:t xml:space="preserve">n </w:t>
      </w:r>
      <w:r>
        <w:t>many countries, including those in Europe</w:t>
      </w:r>
      <w:r>
        <w:t>, culture and particularly so-called high-arts are considered as public goods that should be broadly accessible to society. The provision of the goods naturally requires public funding. Performing arts</w:t>
      </w:r>
      <w:r>
        <w:t>, such as</w:t>
      </w:r>
      <w:r>
        <w:t xml:space="preserve"> theater</w:t>
      </w:r>
      <w:r>
        <w:t>,</w:t>
      </w:r>
      <w:r>
        <w:t xml:space="preserve"> are one of the cultural sectors most</w:t>
      </w:r>
      <w:r>
        <w:t xml:space="preserve"> often supported by governments (Towse, 2010), although at the same time </w:t>
      </w:r>
      <w:r>
        <w:t>theater is</w:t>
      </w:r>
      <w:r>
        <w:t xml:space="preserve"> </w:t>
      </w:r>
      <w:r>
        <w:t>viewed as</w:t>
      </w:r>
      <w:r>
        <w:t xml:space="preserve"> the most elitist and not available to an average citizen (e.g., due to financial or educational </w:t>
      </w:r>
      <w:r>
        <w:t>constraints</w:t>
      </w:r>
      <w:r>
        <w:t>). This con</w:t>
      </w:r>
      <w:r>
        <w:t xml:space="preserve">trast </w:t>
      </w:r>
      <w:r>
        <w:t xml:space="preserve">suggests that </w:t>
      </w:r>
      <w:r>
        <w:t xml:space="preserve">a large part of </w:t>
      </w:r>
      <w:r>
        <w:t>the valu</w:t>
      </w:r>
      <w:r>
        <w:t xml:space="preserve">e of theater </w:t>
      </w:r>
      <w:r>
        <w:t xml:space="preserve">may lie </w:t>
      </w:r>
      <w:r>
        <w:t xml:space="preserve">beyond the actual seeing of </w:t>
      </w:r>
      <w:r>
        <w:t>performances. This study aims at measuring the theater value monet</w:t>
      </w:r>
      <w:bookmarkStart w:id="1" w:name="_GoBack"/>
      <w:bookmarkEnd w:id="1"/>
      <w:r>
        <w:t>arily.</w:t>
      </w:r>
    </w:p>
    <w:p w14:paraId="00000004" w14:textId="77777777" w:rsidR="00E052E0" w:rsidRDefault="003F2000">
      <w:pPr>
        <w:spacing w:line="240" w:lineRule="auto"/>
        <w:jc w:val="both"/>
      </w:pPr>
      <w:r>
        <w:t xml:space="preserve">The general objective of this article is to contribute to the development and </w:t>
      </w:r>
      <w:r>
        <w:t xml:space="preserve">use </w:t>
      </w:r>
      <w:r>
        <w:t>of non-market valuation methods</w:t>
      </w:r>
      <w:r>
        <w:t xml:space="preserve"> </w:t>
      </w:r>
      <w:r>
        <w:t>as a tool for assess</w:t>
      </w:r>
      <w:r>
        <w:t>ment of culture-related policies</w:t>
      </w:r>
      <w:r>
        <w:t>—particularly, benefit transfer for performing arts</w:t>
      </w:r>
      <w:r>
        <w:t xml:space="preserve">. </w:t>
      </w:r>
      <w:r>
        <w:t>The</w:t>
      </w:r>
      <w:r>
        <w:t xml:space="preserve"> novelty of </w:t>
      </w:r>
      <w:r>
        <w:t xml:space="preserve">our investigation </w:t>
      </w:r>
      <w:r>
        <w:t xml:space="preserve">lies in transmitting research approaches from </w:t>
      </w:r>
      <w:r>
        <w:t xml:space="preserve">a </w:t>
      </w:r>
      <w:r>
        <w:t xml:space="preserve">broader </w:t>
      </w:r>
      <w:r>
        <w:t xml:space="preserve">literature on </w:t>
      </w:r>
      <w:r>
        <w:t>non-market valuation</w:t>
      </w:r>
      <w:r>
        <w:t>, applied in other contexts (e.g., environmental</w:t>
      </w:r>
      <w:r>
        <w:t xml:space="preserve"> goods),</w:t>
      </w:r>
      <w:r>
        <w:t xml:space="preserve"> into </w:t>
      </w:r>
      <w:r>
        <w:t xml:space="preserve">an </w:t>
      </w:r>
      <w:r>
        <w:t>understudied and underrepresented area of performing arts. To the best of our knowledge, benefit transfer has never been</w:t>
      </w:r>
      <w:r>
        <w:t xml:space="preserve"> implemented for</w:t>
      </w:r>
      <w:r>
        <w:t xml:space="preserve"> performing arts. </w:t>
      </w:r>
      <w:r>
        <w:t>Our</w:t>
      </w:r>
      <w:r>
        <w:t xml:space="preserve"> specific objective is to examine the possibility </w:t>
      </w:r>
      <w:r>
        <w:t>of</w:t>
      </w:r>
      <w:r>
        <w:t xml:space="preserve"> </w:t>
      </w:r>
      <w:r>
        <w:t xml:space="preserve">employing </w:t>
      </w:r>
      <w:r>
        <w:t>the benefit transfe</w:t>
      </w:r>
      <w:r>
        <w:t xml:space="preserve">r method to obtain valid and reliable value estimates of performing arts. </w:t>
      </w:r>
      <w:r>
        <w:t xml:space="preserve">The empirical case here concerns theater. </w:t>
      </w:r>
      <w:r>
        <w:t xml:space="preserve">Based on data </w:t>
      </w:r>
      <w:r>
        <w:t>collected from non-market valuation studies of theater offers</w:t>
      </w:r>
      <w:r>
        <w:t xml:space="preserve"> in Denmark and Poland, we test the validity and reliability of t</w:t>
      </w:r>
      <w:r>
        <w:t xml:space="preserve">he benefit transfer when applied to performing arts. </w:t>
      </w:r>
    </w:p>
    <w:p w14:paraId="00000005" w14:textId="0F6FBE5E" w:rsidR="00E052E0" w:rsidRDefault="003F2000">
      <w:pPr>
        <w:spacing w:line="240" w:lineRule="auto"/>
        <w:jc w:val="both"/>
      </w:pPr>
      <w:r>
        <w:t xml:space="preserve">We believe the study contributes to the existing </w:t>
      </w:r>
      <w:r>
        <w:t xml:space="preserve">literature by addressing </w:t>
      </w:r>
      <w:r>
        <w:t>substantial research gaps. Th</w:t>
      </w:r>
      <w:r>
        <w:t xml:space="preserve">ese </w:t>
      </w:r>
      <w:r>
        <w:t xml:space="preserve">include: (1) a </w:t>
      </w:r>
      <w:r>
        <w:t>paucity</w:t>
      </w:r>
      <w:r>
        <w:t xml:space="preserve"> of </w:t>
      </w:r>
      <w:r>
        <w:t xml:space="preserve">non-market valuation </w:t>
      </w:r>
      <w:r>
        <w:t xml:space="preserve">studies </w:t>
      </w:r>
      <w:sdt>
        <w:sdtPr>
          <w:tag w:val="goog_rdk_2"/>
          <w:id w:val="1336187923"/>
        </w:sdtPr>
        <w:sdtEndPr/>
        <w:sdtContent>
          <w:r>
            <w:t>for cultural goods such as performing ar</w:t>
          </w:r>
          <w:r>
            <w:t>ts</w:t>
          </w:r>
        </w:sdtContent>
      </w:sdt>
      <w:sdt>
        <w:sdtPr>
          <w:tag w:val="goog_rdk_3"/>
          <w:id w:val="-1806684988"/>
        </w:sdtPr>
        <w:sdtEndPr/>
        <w:sdtContent>
          <w:sdt>
            <w:sdtPr>
              <w:tag w:val="goog_rdk_4"/>
              <w:id w:val="-311718649"/>
            </w:sdtPr>
            <w:sdtEndPr/>
            <w:sdtContent/>
          </w:sdt>
        </w:sdtContent>
      </w:sdt>
      <w:r>
        <w:t xml:space="preserve"> </w:t>
      </w:r>
      <w:r>
        <w:t>despite an obvious need for</w:t>
      </w:r>
      <w:r>
        <w:t xml:space="preserve"> the value estimates (e.g., for optimally allocating public funds to</w:t>
      </w:r>
      <w:sdt>
        <w:sdtPr>
          <w:tag w:val="goog_rdk_5"/>
          <w:id w:val="1535308084"/>
        </w:sdtPr>
        <w:sdtEndPr/>
        <w:sdtContent>
          <w:r>
            <w:t xml:space="preserve"> the</w:t>
          </w:r>
        </w:sdtContent>
      </w:sdt>
      <w:r>
        <w:t xml:space="preserve"> cultural goods); (2) hardly any applications of benefit transfer in this field despite its </w:t>
      </w:r>
      <w:r>
        <w:t>significant usefulness and common application in other areas (such as environmental economics; Johnston et al., 2018)</w:t>
      </w:r>
      <w:r>
        <w:t xml:space="preserve">; and (3) </w:t>
      </w:r>
      <w:r>
        <w:t xml:space="preserve">an </w:t>
      </w:r>
      <w:r>
        <w:t>unexplored question of the value of performing arts to society, which receive a substantial support from public budgets.</w:t>
      </w:r>
    </w:p>
    <w:p w14:paraId="00000006" w14:textId="77777777" w:rsidR="00E052E0" w:rsidRDefault="003F2000">
      <w:pPr>
        <w:spacing w:line="240" w:lineRule="auto"/>
        <w:jc w:val="both"/>
      </w:pPr>
      <w:r>
        <w:t>State</w:t>
      </w:r>
      <w:r>
        <w:t>d-preference methods constitute one of the flagship non-market valuation techniques (e.g., Bishop et al., 2017). They help estimate the economic value of goods not traded in markets (that is, those without a market price, which could indicate their value),</w:t>
      </w:r>
      <w:r>
        <w:t xml:space="preserve"> such as many public goods, including cultural goods. The value estimates provide inputs to cost-benefit analyses, which are a standard method of assessment of effectiveness of public policies, including provision of culture, among (many) others. Valuation</w:t>
      </w:r>
      <w:r>
        <w:t xml:space="preserve"> of cultural goods has been slowly gaining interest since the 1980s. Although undoubtedly needed for the efficient (social-welfare maximizing) provision of the goods, studies assessing the value of cultural goods constitute only a small fraction of the bro</w:t>
      </w:r>
      <w:r>
        <w:t>ad non-market valuation literature. Many applications of the methods take place in environmental or transportation areas (Carson, 2011). Performing arts, including theater in particular, have been a subject of non-market valuation inquiries even to a small</w:t>
      </w:r>
      <w:r>
        <w:t>er extent than other cultural goods (e.g., Baldin and Bille, 2018; Wiśniewska, Budziński, and Czajkowski, 2020).</w:t>
      </w:r>
    </w:p>
    <w:p w14:paraId="00000007" w14:textId="77777777" w:rsidR="00E052E0" w:rsidRDefault="003F2000">
      <w:pPr>
        <w:spacing w:line="240" w:lineRule="auto"/>
        <w:jc w:val="both"/>
      </w:pPr>
      <w:r>
        <w:t>Primary stated-preference valuation studies require the use of advanced surveying methods and considerable research budget, placing time and mo</w:t>
      </w:r>
      <w:r>
        <w:t xml:space="preserve">ney constraints on the valuation studies. In the light of these challenges, a benefit transfer method appears as an attractive alternative. Benefit transfer </w:t>
      </w:r>
      <w:r>
        <w:lastRenderedPageBreak/>
        <w:t>enables using empirical estimates from existing studies at one site (called a study site) to approx</w:t>
      </w:r>
      <w:r>
        <w:t>imate welfare estimates at another, usually unstudied, site (called a policy site). It is useful when resources like time, funding or data are missing or insufficient to run a primary research at the policy site. Benefit transfer has been used in large-sca</w:t>
      </w:r>
      <w:r>
        <w:t>le cost-benefit analyses in the US, EU, and elsewhere—though, to the best of our knowledge, not yet much in the domain of culture and not at all for performing arts.</w:t>
      </w:r>
    </w:p>
    <w:p w14:paraId="00000008" w14:textId="77777777" w:rsidR="00E052E0" w:rsidRDefault="003F2000">
      <w:pPr>
        <w:spacing w:line="240" w:lineRule="auto"/>
        <w:jc w:val="both"/>
      </w:pPr>
      <w:r>
        <w:t>This article examines and compares stated-preference-based value estimates of performing a</w:t>
      </w:r>
      <w:r>
        <w:t>rts, focused on theater offer, for two European countries: Denmark and Poland. The investigation is based on data collected within two separate but very similar surveys: one conducted in 2019-2020 in Denmark and the other one in 2018 in Poland. Both survey</w:t>
      </w:r>
      <w:r>
        <w:t>s were administered to representative samples from each country of 2,000-4,000 respondents, and they involved similar questions concerning the value of the offer of theaters in a respective country</w:t>
      </w:r>
      <w:sdt>
        <w:sdtPr>
          <w:tag w:val="goog_rdk_6"/>
          <w:id w:val="-710572859"/>
        </w:sdtPr>
        <w:sdtEndPr/>
        <w:sdtContent/>
      </w:sdt>
      <w:sdt>
        <w:sdtPr>
          <w:tag w:val="goog_rdk_7"/>
          <w:id w:val="-564253797"/>
        </w:sdtPr>
        <w:sdtEndPr/>
        <w:sdtContent/>
      </w:sdt>
      <w:r>
        <w:t xml:space="preserve">. </w:t>
      </w:r>
    </w:p>
    <w:p w14:paraId="00000009" w14:textId="77777777" w:rsidR="00E052E0" w:rsidRDefault="003F2000">
      <w:pPr>
        <w:spacing w:line="240" w:lineRule="auto"/>
        <w:jc w:val="both"/>
      </w:pPr>
      <w:r>
        <w:t>We perform benefit transfer across the two cou</w:t>
      </w:r>
      <w:r>
        <w:t xml:space="preserve">ntries. Putting it simply, the value of theater estimated for the Danish case on the basis of the Danish database is transferred to estimate the value of theater in Poland and vice versa. For transferring the values, we apply three most common approaches: </w:t>
      </w:r>
      <w:r>
        <w:t>simple unit value transfer, income-adjusted value transfer and benefit function transfer. Simple unit transfer assumes transferring the average value from one country to another. Former benefit transfer studies suggest that adjusting the transferred values</w:t>
      </w:r>
      <w:r>
        <w:t xml:space="preserve"> by income may improve the transfer validity and reliability, and thus it is considered here. In turn, transferring based on the functions allows for controlling the effects of additional variables. For this reason, we consider a set of socio-demographic c</w:t>
      </w:r>
      <w:r>
        <w:t xml:space="preserve">haracteristics. Once the three types of transfers are performed for each country, we evaluate their performance. The possibilities for benefit transfer will be critically assessed based on theoretical considerations as well as our empirical results. These </w:t>
      </w:r>
      <w:r>
        <w:t>results will be furthermore assessed along two criteria commonly applied in other areas of non-market valuation literature (Bishop and Boyle, 2019): validity and reliability. Validity is assessed by the equality in the value estimates across the countries,</w:t>
      </w:r>
      <w:r>
        <w:t xml:space="preserve"> while reliability is measured by percentage transfer errors, expressing how “far” the transferred estimate is from the true value.</w:t>
      </w:r>
    </w:p>
    <w:p w14:paraId="0000000A" w14:textId="77777777" w:rsidR="00E052E0" w:rsidRDefault="003F2000">
      <w:pPr>
        <w:spacing w:line="240" w:lineRule="auto"/>
        <w:jc w:val="both"/>
      </w:pPr>
      <w:r>
        <w:t>This study contributes to critical assessment of the possibilities for popularizing application of non-market valuation tech</w:t>
      </w:r>
      <w:r>
        <w:t>niques to cultural goods, focusing on performing arts. It is an extremely underrepresented topic within cultural economics and non-market valuation literature, however, at the same time, largely significant from the point of view of public expenditures and</w:t>
      </w:r>
      <w:r>
        <w:t xml:space="preserve"> cultural policies. Given no application of the benefit transfer approach to performing arts so far, the article opens a new path for valuation in this area. The benefit transfer examination proposed here is based on two nation-wide databases collected fro</w:t>
      </w:r>
      <w:r>
        <w:t>m carefully designed surveys in Denmark and Poland in recent years. The nation-wide level of the valuation study for each country significantly extends a typical scope of cultural valuation and distinguishes this work from the hitherto valuation studies wi</w:t>
      </w:r>
      <w:r>
        <w:t>thin cultural economics. Similarities of the theater systems across Europe offer an opportunity for further generalization of our findings to contexts beyond the two countries considered.</w:t>
      </w:r>
    </w:p>
    <w:p w14:paraId="0000000B" w14:textId="77777777" w:rsidR="00E052E0" w:rsidRDefault="00E052E0">
      <w:pPr>
        <w:spacing w:line="240" w:lineRule="auto"/>
      </w:pPr>
    </w:p>
    <w:p w14:paraId="0000000C" w14:textId="77777777" w:rsidR="00E052E0" w:rsidRDefault="003F2000">
      <w:pPr>
        <w:spacing w:line="240" w:lineRule="auto"/>
        <w:jc w:val="both"/>
        <w:rPr>
          <w:sz w:val="18"/>
          <w:szCs w:val="18"/>
        </w:rPr>
      </w:pPr>
      <w:r>
        <w:rPr>
          <w:sz w:val="18"/>
          <w:szCs w:val="18"/>
        </w:rPr>
        <w:t>References</w:t>
      </w:r>
    </w:p>
    <w:p w14:paraId="0000000D" w14:textId="77777777" w:rsidR="00E052E0" w:rsidRDefault="003F2000">
      <w:pPr>
        <w:widowControl w:val="0"/>
        <w:spacing w:after="120" w:line="240" w:lineRule="auto"/>
        <w:ind w:left="480" w:hanging="480"/>
        <w:jc w:val="both"/>
        <w:rPr>
          <w:sz w:val="18"/>
          <w:szCs w:val="18"/>
        </w:rPr>
      </w:pPr>
      <w:r>
        <w:rPr>
          <w:sz w:val="18"/>
          <w:szCs w:val="18"/>
        </w:rPr>
        <w:t>Baldin, A., Bille, T. (2018). Modelling preference heter</w:t>
      </w:r>
      <w:r>
        <w:rPr>
          <w:sz w:val="18"/>
          <w:szCs w:val="18"/>
        </w:rPr>
        <w:t xml:space="preserve">ogeneity for theatre tickets: A discrete choice modelling approach on Royal Danish Theatre booking data. </w:t>
      </w:r>
      <w:r>
        <w:rPr>
          <w:i/>
          <w:sz w:val="18"/>
          <w:szCs w:val="18"/>
        </w:rPr>
        <w:t>Applied Economics</w:t>
      </w:r>
      <w:r>
        <w:rPr>
          <w:sz w:val="18"/>
          <w:szCs w:val="18"/>
        </w:rPr>
        <w:t>, 50(5), 545–558.</w:t>
      </w:r>
    </w:p>
    <w:p w14:paraId="0000000E" w14:textId="77777777" w:rsidR="00E052E0" w:rsidRDefault="003F2000">
      <w:pPr>
        <w:widowControl w:val="0"/>
        <w:spacing w:after="120" w:line="240" w:lineRule="auto"/>
        <w:ind w:left="480" w:hanging="480"/>
        <w:jc w:val="both"/>
        <w:rPr>
          <w:sz w:val="18"/>
          <w:szCs w:val="18"/>
        </w:rPr>
      </w:pPr>
      <w:r>
        <w:rPr>
          <w:sz w:val="18"/>
          <w:szCs w:val="18"/>
        </w:rPr>
        <w:t xml:space="preserve">Bishop, R.C., Boyle, K. J. (2019). Reliability and validity in nonmarket valuation. </w:t>
      </w:r>
      <w:r>
        <w:rPr>
          <w:i/>
          <w:sz w:val="18"/>
          <w:szCs w:val="18"/>
        </w:rPr>
        <w:t>Environmental and Resource Econo</w:t>
      </w:r>
      <w:r>
        <w:rPr>
          <w:i/>
          <w:sz w:val="18"/>
          <w:szCs w:val="18"/>
        </w:rPr>
        <w:t>mics</w:t>
      </w:r>
      <w:r>
        <w:rPr>
          <w:sz w:val="18"/>
          <w:szCs w:val="18"/>
        </w:rPr>
        <w:t>, 72(2), 559-582.</w:t>
      </w:r>
    </w:p>
    <w:p w14:paraId="0000000F" w14:textId="77777777" w:rsidR="00E052E0" w:rsidRDefault="003F2000">
      <w:pPr>
        <w:widowControl w:val="0"/>
        <w:spacing w:after="120" w:line="240" w:lineRule="auto"/>
        <w:ind w:left="480" w:hanging="480"/>
        <w:jc w:val="both"/>
        <w:rPr>
          <w:sz w:val="18"/>
          <w:szCs w:val="18"/>
        </w:rPr>
      </w:pPr>
      <w:r>
        <w:rPr>
          <w:sz w:val="18"/>
          <w:szCs w:val="18"/>
        </w:rPr>
        <w:t>Bishop, R.C., Boyle, K.J., Carson, R., Chapman, D., Hanemann, M., Kanninen, B., Kopp, R., Krosnick, J., List, J., Meade, N., Paterson, R., Presser, S., Smith, V., Tourangeau, R., Welsh, M., Wooldridge, J., DeBell, M., Donovan, C., Kon</w:t>
      </w:r>
      <w:r>
        <w:rPr>
          <w:sz w:val="18"/>
          <w:szCs w:val="18"/>
        </w:rPr>
        <w:t xml:space="preserve">opka, M., Scherer, N. (2017). Putting a value on injuries to natural assets: The BP oil spill. </w:t>
      </w:r>
      <w:r>
        <w:rPr>
          <w:i/>
          <w:sz w:val="18"/>
          <w:szCs w:val="18"/>
        </w:rPr>
        <w:t>Science</w:t>
      </w:r>
      <w:r>
        <w:rPr>
          <w:sz w:val="18"/>
          <w:szCs w:val="18"/>
        </w:rPr>
        <w:t>. 356. 253-254.</w:t>
      </w:r>
    </w:p>
    <w:p w14:paraId="00000010" w14:textId="77777777" w:rsidR="00E052E0" w:rsidRDefault="003F2000">
      <w:pPr>
        <w:widowControl w:val="0"/>
        <w:spacing w:after="120" w:line="240" w:lineRule="auto"/>
        <w:ind w:left="480" w:hanging="480"/>
        <w:jc w:val="both"/>
        <w:rPr>
          <w:sz w:val="18"/>
          <w:szCs w:val="18"/>
        </w:rPr>
      </w:pPr>
      <w:r>
        <w:rPr>
          <w:sz w:val="18"/>
          <w:szCs w:val="18"/>
        </w:rPr>
        <w:t xml:space="preserve">Carson, R. T. (2011). </w:t>
      </w:r>
      <w:r>
        <w:rPr>
          <w:i/>
          <w:sz w:val="18"/>
          <w:szCs w:val="18"/>
        </w:rPr>
        <w:t>Contingent Valuation. A Comprehensive Bibliography and history</w:t>
      </w:r>
      <w:r>
        <w:rPr>
          <w:sz w:val="18"/>
          <w:szCs w:val="18"/>
        </w:rPr>
        <w:t>. Cheltenham, UK, Northampton, MA, USA: Edward Elgar.</w:t>
      </w:r>
    </w:p>
    <w:p w14:paraId="00000011" w14:textId="77777777" w:rsidR="00E052E0" w:rsidRDefault="003F2000">
      <w:pPr>
        <w:widowControl w:val="0"/>
        <w:spacing w:after="120" w:line="240" w:lineRule="auto"/>
        <w:ind w:left="480" w:hanging="480"/>
        <w:jc w:val="both"/>
        <w:rPr>
          <w:sz w:val="18"/>
          <w:szCs w:val="18"/>
        </w:rPr>
      </w:pPr>
      <w:r>
        <w:rPr>
          <w:sz w:val="18"/>
          <w:szCs w:val="18"/>
        </w:rPr>
        <w:lastRenderedPageBreak/>
        <w:t xml:space="preserve">Johnston, R. J., Rolfe, J., Zawojska, E. (2018). Benefit Transfer of Environmental and Resource Values: Progress, Prospects and Challenges. </w:t>
      </w:r>
      <w:r>
        <w:rPr>
          <w:i/>
          <w:sz w:val="18"/>
          <w:szCs w:val="18"/>
        </w:rPr>
        <w:t>International Review of Environmental and Resource Economics</w:t>
      </w:r>
      <w:r>
        <w:rPr>
          <w:sz w:val="18"/>
          <w:szCs w:val="18"/>
        </w:rPr>
        <w:t>, 12(2</w:t>
      </w:r>
      <w:r>
        <w:rPr>
          <w:sz w:val="18"/>
          <w:szCs w:val="18"/>
        </w:rPr>
        <w:t>-</w:t>
      </w:r>
      <w:r>
        <w:rPr>
          <w:sz w:val="18"/>
          <w:szCs w:val="18"/>
        </w:rPr>
        <w:t>3), 177</w:t>
      </w:r>
      <w:r>
        <w:rPr>
          <w:sz w:val="18"/>
          <w:szCs w:val="18"/>
        </w:rPr>
        <w:t>-</w:t>
      </w:r>
      <w:r>
        <w:rPr>
          <w:sz w:val="18"/>
          <w:szCs w:val="18"/>
        </w:rPr>
        <w:t>266.</w:t>
      </w:r>
    </w:p>
    <w:p w14:paraId="00000012" w14:textId="77777777" w:rsidR="00E052E0" w:rsidRDefault="003F2000">
      <w:pPr>
        <w:widowControl w:val="0"/>
        <w:spacing w:after="120" w:line="240" w:lineRule="auto"/>
        <w:ind w:left="480" w:hanging="480"/>
        <w:jc w:val="both"/>
        <w:rPr>
          <w:sz w:val="18"/>
          <w:szCs w:val="18"/>
        </w:rPr>
      </w:pPr>
      <w:r>
        <w:rPr>
          <w:sz w:val="18"/>
          <w:szCs w:val="18"/>
        </w:rPr>
        <w:t xml:space="preserve">Towse, R. (2010). </w:t>
      </w:r>
      <w:r>
        <w:rPr>
          <w:i/>
          <w:sz w:val="18"/>
          <w:szCs w:val="18"/>
        </w:rPr>
        <w:t>A Textbook of Cultural Economics</w:t>
      </w:r>
      <w:r>
        <w:rPr>
          <w:sz w:val="18"/>
          <w:szCs w:val="18"/>
        </w:rPr>
        <w:t>. Cambridge: Cambridge University Press.</w:t>
      </w:r>
    </w:p>
    <w:p w14:paraId="00000013" w14:textId="77777777" w:rsidR="00E052E0" w:rsidRDefault="003F2000">
      <w:pPr>
        <w:widowControl w:val="0"/>
        <w:spacing w:after="120" w:line="240" w:lineRule="auto"/>
        <w:ind w:left="480" w:hanging="480"/>
        <w:jc w:val="both"/>
        <w:rPr>
          <w:sz w:val="18"/>
          <w:szCs w:val="18"/>
        </w:rPr>
      </w:pPr>
      <w:r>
        <w:rPr>
          <w:sz w:val="18"/>
          <w:szCs w:val="18"/>
        </w:rPr>
        <w:t xml:space="preserve">Wiśniewska, A., Budziński, W., Czajkowski, M. (2020). An economic valuation of access to cultural institutions: Museums, theatres, and cinemas. </w:t>
      </w:r>
      <w:r>
        <w:rPr>
          <w:i/>
          <w:sz w:val="18"/>
          <w:szCs w:val="18"/>
        </w:rPr>
        <w:t>Journal of Cultural Economics</w:t>
      </w:r>
      <w:r>
        <w:rPr>
          <w:sz w:val="18"/>
          <w:szCs w:val="18"/>
        </w:rPr>
        <w:t>, 44(4), 5</w:t>
      </w:r>
      <w:r>
        <w:rPr>
          <w:sz w:val="18"/>
          <w:szCs w:val="18"/>
        </w:rPr>
        <w:t>63-587.</w:t>
      </w:r>
    </w:p>
    <w:p w14:paraId="00000014" w14:textId="77777777" w:rsidR="00E052E0" w:rsidRDefault="00E052E0">
      <w:pPr>
        <w:spacing w:line="240" w:lineRule="auto"/>
      </w:pPr>
    </w:p>
    <w:sectPr w:rsidR="00E052E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13EF"/>
    <w:multiLevelType w:val="hybridMultilevel"/>
    <w:tmpl w:val="3716991A"/>
    <w:lvl w:ilvl="0" w:tplc="533EDECE">
      <w:numFmt w:val="bullet"/>
      <w:lvlText w:val=""/>
      <w:lvlJc w:val="left"/>
      <w:pPr>
        <w:ind w:left="720" w:hanging="360"/>
      </w:pPr>
      <w:rPr>
        <w:rFonts w:ascii="Symbol" w:eastAsia="Calibri" w:hAnsi="Symbol"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E0"/>
    <w:rsid w:val="003F2000"/>
    <w:rsid w:val="00E052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096B"/>
  <w15:docId w15:val="{41E4BE3B-13DC-4057-A5A8-088990B4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434F3"/>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ela-Siatka">
    <w:name w:val="Table Grid"/>
    <w:basedOn w:val="Standardowy"/>
    <w:uiPriority w:val="59"/>
    <w:rsid w:val="00543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ytu">
    <w:name w:val="Subtitle"/>
    <w:basedOn w:val="Normalny"/>
    <w:next w:val="Normalny"/>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3F200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F2000"/>
    <w:rPr>
      <w:rFonts w:ascii="Segoe UI" w:hAnsi="Segoe UI" w:cs="Segoe UI"/>
      <w:sz w:val="18"/>
      <w:szCs w:val="18"/>
    </w:rPr>
  </w:style>
  <w:style w:type="paragraph" w:styleId="Akapitzlist">
    <w:name w:val="List Paragraph"/>
    <w:basedOn w:val="Normalny"/>
    <w:uiPriority w:val="34"/>
    <w:qFormat/>
    <w:rsid w:val="003F2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g5HgCisyg258xSsuhlnk9YV9g==">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1289</Words>
  <Characters>7739</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Wiśniewska</dc:creator>
  <cp:lastModifiedBy>Aleksandra Wiśniewska</cp:lastModifiedBy>
  <cp:revision>2</cp:revision>
  <dcterms:created xsi:type="dcterms:W3CDTF">2022-02-16T19:39:00Z</dcterms:created>
  <dcterms:modified xsi:type="dcterms:W3CDTF">2022-02-16T19:39:00Z</dcterms:modified>
</cp:coreProperties>
</file>