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F8AAB8" w14:textId="20CDED09" w:rsidR="00F12C76" w:rsidRDefault="003602FC" w:rsidP="003602FC">
      <w:pPr>
        <w:pStyle w:val="Title"/>
      </w:pPr>
      <w:bookmarkStart w:id="0" w:name="_GoBack"/>
      <w:bookmarkEnd w:id="0"/>
      <w:r w:rsidRPr="003602FC">
        <w:t>Билет 1</w:t>
      </w:r>
    </w:p>
    <w:p w14:paraId="63A19A8D" w14:textId="448C14E4" w:rsidR="003602FC" w:rsidRDefault="003602FC" w:rsidP="003602FC">
      <w:pPr>
        <w:pStyle w:val="Subtitle"/>
        <w:numPr>
          <w:ilvl w:val="0"/>
          <w:numId w:val="1"/>
        </w:numPr>
      </w:pPr>
      <w:r>
        <w:t>Бинарный алгоритм</w:t>
      </w:r>
    </w:p>
    <w:p w14:paraId="440D4444" w14:textId="1017D8C6" w:rsidR="003602FC" w:rsidRDefault="003602FC" w:rsidP="003602FC">
      <w:pPr>
        <w:pStyle w:val="Subtitle"/>
        <w:numPr>
          <w:ilvl w:val="0"/>
          <w:numId w:val="1"/>
        </w:numPr>
      </w:pPr>
      <w:r w:rsidRPr="00E7796B">
        <w:t>Генераторы нелинейных М-последовательностей</w:t>
      </w:r>
    </w:p>
    <w:p w14:paraId="791EBEF9" w14:textId="77777777" w:rsidR="003602FC" w:rsidRPr="003602FC" w:rsidRDefault="003602FC" w:rsidP="003602FC">
      <w:pPr>
        <w:pStyle w:val="ListParagraph"/>
        <w:numPr>
          <w:ilvl w:val="0"/>
          <w:numId w:val="1"/>
        </w:numPr>
        <w:rPr>
          <w:rFonts w:ascii="Arial Black" w:eastAsiaTheme="majorEastAsia" w:hAnsi="Arial Black" w:cstheme="majorBidi"/>
          <w:color w:val="1F4E79" w:themeColor="accent1" w:themeShade="80"/>
          <w:spacing w:val="15"/>
          <w:szCs w:val="28"/>
        </w:rPr>
      </w:pPr>
      <w:r w:rsidRPr="003602FC">
        <w:rPr>
          <w:rFonts w:ascii="Arial Black" w:eastAsiaTheme="majorEastAsia" w:hAnsi="Arial Black" w:cstheme="majorBidi"/>
          <w:color w:val="1F4E79" w:themeColor="accent1" w:themeShade="80"/>
          <w:spacing w:val="15"/>
          <w:szCs w:val="28"/>
        </w:rPr>
        <w:t xml:space="preserve">Квантовая криптография принцип неопределенности Гейзенберга. Квантовая теорема неклонируемости. </w:t>
      </w:r>
    </w:p>
    <w:p w14:paraId="78A75D62" w14:textId="77777777" w:rsidR="003602FC" w:rsidRPr="003602FC" w:rsidRDefault="003602FC" w:rsidP="003602FC">
      <w:pPr>
        <w:pStyle w:val="ListParagraph"/>
        <w:numPr>
          <w:ilvl w:val="0"/>
          <w:numId w:val="1"/>
        </w:numPr>
        <w:rPr>
          <w:rFonts w:ascii="Arial Black" w:eastAsiaTheme="majorEastAsia" w:hAnsi="Arial Black" w:cstheme="majorBidi"/>
          <w:color w:val="1F4E79" w:themeColor="accent1" w:themeShade="80"/>
          <w:spacing w:val="15"/>
          <w:szCs w:val="28"/>
        </w:rPr>
      </w:pPr>
      <w:r w:rsidRPr="003602FC">
        <w:rPr>
          <w:rFonts w:ascii="Arial Black" w:eastAsiaTheme="majorEastAsia" w:hAnsi="Arial Black" w:cstheme="majorBidi"/>
          <w:color w:val="1F4E79" w:themeColor="accent1" w:themeShade="80"/>
          <w:spacing w:val="15"/>
          <w:szCs w:val="28"/>
        </w:rPr>
        <w:t xml:space="preserve">Основные положения эллиптической криптографии. Эллиптические группы. </w:t>
      </w:r>
    </w:p>
    <w:p w14:paraId="2A08AE51" w14:textId="4045DDB1" w:rsidR="003602FC" w:rsidRPr="003602FC" w:rsidRDefault="003602FC" w:rsidP="003602FC">
      <w:pPr>
        <w:pStyle w:val="Subtitle"/>
        <w:numPr>
          <w:ilvl w:val="0"/>
          <w:numId w:val="0"/>
        </w:numPr>
        <w:ind w:left="720"/>
      </w:pPr>
    </w:p>
    <w:sectPr w:rsidR="003602FC" w:rsidRPr="003602FC" w:rsidSect="003602FC">
      <w:pgSz w:w="11906" w:h="16838" w:code="9"/>
      <w:pgMar w:top="284" w:right="566" w:bottom="284" w:left="426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344B23"/>
    <w:multiLevelType w:val="hybridMultilevel"/>
    <w:tmpl w:val="C7CE9D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27808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01C"/>
    <w:rsid w:val="003602FC"/>
    <w:rsid w:val="006C0B77"/>
    <w:rsid w:val="008242FF"/>
    <w:rsid w:val="00870751"/>
    <w:rsid w:val="00877D5D"/>
    <w:rsid w:val="00922C48"/>
    <w:rsid w:val="00AC1F39"/>
    <w:rsid w:val="00B915B7"/>
    <w:rsid w:val="00B9201C"/>
    <w:rsid w:val="00EA59DF"/>
    <w:rsid w:val="00EB4514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C1872F"/>
  <w15:chartTrackingRefBased/>
  <w15:docId w15:val="{69FEE9A5-B01F-4B5A-8163-53E8B46A7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920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20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20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20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20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20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20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20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20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201C"/>
    <w:rPr>
      <w:rFonts w:asciiTheme="majorHAnsi" w:eastAsiaTheme="majorEastAsia" w:hAnsiTheme="majorHAnsi" w:cstheme="majorBidi"/>
      <w:color w:val="2E74B5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201C"/>
    <w:rPr>
      <w:rFonts w:asciiTheme="majorHAnsi" w:eastAsiaTheme="majorEastAsia" w:hAnsiTheme="majorHAnsi" w:cstheme="majorBidi"/>
      <w:color w:val="2E74B5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201C"/>
    <w:rPr>
      <w:rFonts w:eastAsiaTheme="majorEastAsia" w:cstheme="majorBidi"/>
      <w:color w:val="2E74B5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201C"/>
    <w:rPr>
      <w:rFonts w:eastAsiaTheme="majorEastAsia" w:cstheme="majorBidi"/>
      <w:i/>
      <w:iCs/>
      <w:color w:val="2E74B5" w:themeColor="accent1" w:themeShade="BF"/>
      <w:kern w:val="0"/>
      <w:sz w:val="28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201C"/>
    <w:rPr>
      <w:rFonts w:eastAsiaTheme="majorEastAsia" w:cstheme="majorBidi"/>
      <w:color w:val="2E74B5" w:themeColor="accent1" w:themeShade="BF"/>
      <w:kern w:val="0"/>
      <w:sz w:val="28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201C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201C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201C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201C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Title">
    <w:name w:val="Title"/>
    <w:aliases w:val="Bilet-title"/>
    <w:basedOn w:val="Normal"/>
    <w:next w:val="Normal"/>
    <w:link w:val="TitleChar"/>
    <w:uiPriority w:val="10"/>
    <w:qFormat/>
    <w:rsid w:val="003602FC"/>
    <w:pPr>
      <w:spacing w:after="80"/>
      <w:contextualSpacing/>
      <w:jc w:val="center"/>
    </w:pPr>
    <w:rPr>
      <w:rFonts w:ascii="Arial Black" w:eastAsiaTheme="majorEastAsia" w:hAnsi="Arial Black" w:cstheme="majorBidi"/>
      <w:spacing w:val="-10"/>
      <w:kern w:val="28"/>
      <w:sz w:val="36"/>
      <w:szCs w:val="56"/>
    </w:rPr>
  </w:style>
  <w:style w:type="character" w:customStyle="1" w:styleId="TitleChar">
    <w:name w:val="Title Char"/>
    <w:aliases w:val="Bilet-title Char"/>
    <w:basedOn w:val="DefaultParagraphFont"/>
    <w:link w:val="Title"/>
    <w:uiPriority w:val="10"/>
    <w:rsid w:val="003602FC"/>
    <w:rPr>
      <w:rFonts w:ascii="Arial Black" w:eastAsiaTheme="majorEastAsia" w:hAnsi="Arial Black" w:cstheme="majorBidi"/>
      <w:spacing w:val="-10"/>
      <w:kern w:val="28"/>
      <w:sz w:val="3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02FC"/>
    <w:pPr>
      <w:numPr>
        <w:ilvl w:val="1"/>
      </w:numPr>
      <w:jc w:val="both"/>
    </w:pPr>
    <w:rPr>
      <w:rFonts w:ascii="Arial Black" w:eastAsiaTheme="majorEastAsia" w:hAnsi="Arial Black" w:cstheme="majorBidi"/>
      <w:color w:val="1F4E79" w:themeColor="accent1" w:themeShade="80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02FC"/>
    <w:rPr>
      <w:rFonts w:ascii="Arial Black" w:eastAsiaTheme="majorEastAsia" w:hAnsi="Arial Black" w:cstheme="majorBidi"/>
      <w:color w:val="1F4E79" w:themeColor="accent1" w:themeShade="80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B920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201C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ListParagraph">
    <w:name w:val="List Paragraph"/>
    <w:basedOn w:val="Normal"/>
    <w:uiPriority w:val="34"/>
    <w:qFormat/>
    <w:rsid w:val="00B920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201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201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201C"/>
    <w:rPr>
      <w:rFonts w:ascii="Times New Roman" w:hAnsi="Times New Roman"/>
      <w:i/>
      <w:iCs/>
      <w:color w:val="2E74B5" w:themeColor="accent1" w:themeShade="BF"/>
      <w:kern w:val="0"/>
      <w:sz w:val="28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B9201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35</Words>
  <Characters>203</Characters>
  <Application>Microsoft Office Word</Application>
  <DocSecurity>0</DocSecurity>
  <Lines>1</Lines>
  <Paragraphs>1</Paragraphs>
  <ScaleCrop>false</ScaleCrop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Naryvonchyk</dc:creator>
  <cp:keywords/>
  <dc:description/>
  <cp:lastModifiedBy>Andrei Naryvonchyk</cp:lastModifiedBy>
  <cp:revision>2</cp:revision>
  <dcterms:created xsi:type="dcterms:W3CDTF">2025-06-15T10:22:00Z</dcterms:created>
  <dcterms:modified xsi:type="dcterms:W3CDTF">2025-06-15T10:27:00Z</dcterms:modified>
</cp:coreProperties>
</file>