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9C345" w14:textId="5B30019A" w:rsidR="003B1CCB" w:rsidRPr="00D27B7C" w:rsidRDefault="003B1CCB" w:rsidP="003B1CCB">
      <w:pPr>
        <w:rPr>
          <w:b/>
          <w:bCs/>
          <w:sz w:val="22"/>
          <w:szCs w:val="22"/>
          <w:lang w:val="en-NL"/>
        </w:rPr>
      </w:pPr>
      <w:r w:rsidRPr="00D27B7C">
        <w:rPr>
          <w:b/>
          <w:bCs/>
          <w:sz w:val="22"/>
          <w:szCs w:val="22"/>
          <w:lang w:val="en-US"/>
        </w:rPr>
        <w:t xml:space="preserve">SDG 9 - </w:t>
      </w:r>
      <w:r w:rsidRPr="00D27B7C">
        <w:rPr>
          <w:b/>
          <w:bCs/>
          <w:sz w:val="22"/>
          <w:szCs w:val="22"/>
          <w:lang w:val="en-NL"/>
        </w:rPr>
        <w:t xml:space="preserve">Build resilient infrastructure, promote inclusive and sustainable industrialization and foster innovation </w:t>
      </w:r>
    </w:p>
    <w:p w14:paraId="4CF844F6" w14:textId="77777777" w:rsidR="003B1CCB" w:rsidRPr="00D27B7C" w:rsidRDefault="003B1CCB" w:rsidP="003B1CCB">
      <w:pPr>
        <w:pStyle w:val="goal-text"/>
        <w:numPr>
          <w:ilvl w:val="0"/>
          <w:numId w:val="1"/>
        </w:numPr>
        <w:ind w:left="426"/>
        <w:rPr>
          <w:rFonts w:asciiTheme="minorHAnsi" w:hAnsiTheme="minorHAnsi"/>
          <w:sz w:val="22"/>
          <w:szCs w:val="22"/>
        </w:rPr>
      </w:pPr>
      <w:r w:rsidRPr="00D27B7C">
        <w:rPr>
          <w:rFonts w:asciiTheme="minorHAnsi" w:hAnsiTheme="minorHAnsi"/>
          <w:sz w:val="22"/>
          <w:szCs w:val="22"/>
        </w:rPr>
        <w:t>Develop quality, reliable, sustainable and resilient infrastructure, including regional and transborder infrastructure, to support economic development and human well-being, with a focus on affordable and equitable access for all</w:t>
      </w:r>
    </w:p>
    <w:p w14:paraId="1E985436" w14:textId="5D37E4A9" w:rsidR="003B1CCB" w:rsidRPr="00D27B7C" w:rsidRDefault="003B1CCB" w:rsidP="003B1CCB">
      <w:pPr>
        <w:pStyle w:val="goal-text"/>
        <w:numPr>
          <w:ilvl w:val="2"/>
          <w:numId w:val="1"/>
        </w:numPr>
        <w:ind w:left="1276"/>
        <w:rPr>
          <w:rFonts w:asciiTheme="minorHAnsi" w:hAnsiTheme="minorHAnsi"/>
          <w:sz w:val="22"/>
          <w:szCs w:val="22"/>
        </w:rPr>
      </w:pPr>
      <w:r w:rsidRPr="00D27B7C">
        <w:rPr>
          <w:rFonts w:asciiTheme="minorHAnsi" w:hAnsiTheme="minorHAnsi"/>
          <w:sz w:val="22"/>
          <w:szCs w:val="22"/>
          <w:lang w:val="en-NL"/>
        </w:rPr>
        <w:t>Proportion of the rural population who live within 2 km of an all-season road</w:t>
      </w:r>
    </w:p>
    <w:p w14:paraId="6EC904A3" w14:textId="148C7A97" w:rsidR="00AB3C4E" w:rsidRPr="00D27B7C" w:rsidRDefault="003B1CCB" w:rsidP="00AB3C4E">
      <w:pPr>
        <w:pStyle w:val="goal-text"/>
        <w:numPr>
          <w:ilvl w:val="2"/>
          <w:numId w:val="1"/>
        </w:numPr>
        <w:ind w:left="1276"/>
        <w:rPr>
          <w:rFonts w:asciiTheme="minorHAnsi" w:hAnsiTheme="minorHAnsi"/>
          <w:sz w:val="22"/>
          <w:szCs w:val="22"/>
        </w:rPr>
      </w:pPr>
      <w:r w:rsidRPr="00D27B7C">
        <w:rPr>
          <w:rFonts w:asciiTheme="minorHAnsi" w:hAnsiTheme="minorHAnsi"/>
          <w:sz w:val="22"/>
          <w:szCs w:val="22"/>
          <w:lang w:val="en-NL"/>
        </w:rPr>
        <w:t>Passenger and freight volumes, by mode of transport</w:t>
      </w:r>
      <w:r w:rsidR="00AB3C4E" w:rsidRPr="00D27B7C">
        <w:rPr>
          <w:rFonts w:asciiTheme="minorHAnsi" w:hAnsiTheme="minorHAnsi"/>
          <w:sz w:val="22"/>
          <w:szCs w:val="22"/>
        </w:rPr>
        <w:br/>
      </w:r>
    </w:p>
    <w:p w14:paraId="49235F38" w14:textId="77777777" w:rsidR="003B1CCB" w:rsidRPr="00D27B7C" w:rsidRDefault="003B1CCB" w:rsidP="003B1CCB">
      <w:pPr>
        <w:pStyle w:val="goal-text"/>
        <w:numPr>
          <w:ilvl w:val="0"/>
          <w:numId w:val="1"/>
        </w:numPr>
        <w:ind w:left="426"/>
        <w:rPr>
          <w:rFonts w:asciiTheme="minorHAnsi" w:hAnsiTheme="minorHAnsi"/>
          <w:sz w:val="22"/>
          <w:szCs w:val="22"/>
        </w:rPr>
      </w:pPr>
      <w:r w:rsidRPr="00D27B7C">
        <w:rPr>
          <w:rFonts w:asciiTheme="minorHAnsi" w:hAnsiTheme="minorHAnsi"/>
          <w:sz w:val="22"/>
          <w:szCs w:val="22"/>
        </w:rPr>
        <w:t>Promote inclusive and sustainable industrialization and, by 2030, significantly raise industry’s share of employment and gross domestic product, in line with national circumstances, and double its share in least developed countries</w:t>
      </w:r>
    </w:p>
    <w:p w14:paraId="325CAD4A" w14:textId="422C1719" w:rsidR="003B1CCB" w:rsidRPr="00D27B7C" w:rsidRDefault="003B1CCB" w:rsidP="003B1CCB">
      <w:pPr>
        <w:pStyle w:val="goal-text"/>
        <w:numPr>
          <w:ilvl w:val="2"/>
          <w:numId w:val="1"/>
        </w:numPr>
        <w:ind w:left="1276"/>
        <w:rPr>
          <w:rFonts w:asciiTheme="minorHAnsi" w:hAnsiTheme="minorHAnsi"/>
          <w:sz w:val="22"/>
          <w:szCs w:val="22"/>
        </w:rPr>
      </w:pPr>
      <w:r w:rsidRPr="00D27B7C">
        <w:rPr>
          <w:rFonts w:asciiTheme="minorHAnsi" w:hAnsiTheme="minorHAnsi"/>
          <w:sz w:val="22"/>
          <w:szCs w:val="22"/>
          <w:lang w:val="en-NL"/>
        </w:rPr>
        <w:t>Manufacturing value added as a proportion of GDP and per capita</w:t>
      </w:r>
    </w:p>
    <w:p w14:paraId="5D37F4C7" w14:textId="6C47B158" w:rsidR="003B1CCB" w:rsidRPr="00D27B7C" w:rsidRDefault="003B1CCB" w:rsidP="003B1CCB">
      <w:pPr>
        <w:pStyle w:val="goal-text"/>
        <w:numPr>
          <w:ilvl w:val="2"/>
          <w:numId w:val="1"/>
        </w:numPr>
        <w:ind w:left="1276"/>
        <w:rPr>
          <w:rFonts w:asciiTheme="minorHAnsi" w:hAnsiTheme="minorHAnsi"/>
          <w:sz w:val="22"/>
          <w:szCs w:val="22"/>
        </w:rPr>
      </w:pPr>
      <w:r w:rsidRPr="00D27B7C">
        <w:rPr>
          <w:rFonts w:asciiTheme="minorHAnsi" w:hAnsiTheme="minorHAnsi"/>
          <w:sz w:val="22"/>
          <w:szCs w:val="22"/>
          <w:lang w:val="en-NL"/>
        </w:rPr>
        <w:t>Manufacturing employment as a proportion of total employment</w:t>
      </w:r>
      <w:r w:rsidR="00AB3C4E" w:rsidRPr="00D27B7C">
        <w:rPr>
          <w:rFonts w:asciiTheme="minorHAnsi" w:hAnsiTheme="minorHAnsi"/>
          <w:sz w:val="22"/>
          <w:szCs w:val="22"/>
          <w:lang w:val="en-NL"/>
        </w:rPr>
        <w:br/>
      </w:r>
    </w:p>
    <w:p w14:paraId="158EAA4A" w14:textId="00AE0C05" w:rsidR="003B1CCB" w:rsidRPr="00D27B7C" w:rsidRDefault="003B1CCB" w:rsidP="003B1CCB">
      <w:pPr>
        <w:pStyle w:val="ListParagraph"/>
        <w:numPr>
          <w:ilvl w:val="0"/>
          <w:numId w:val="1"/>
        </w:numPr>
        <w:ind w:left="426"/>
        <w:rPr>
          <w:sz w:val="22"/>
          <w:szCs w:val="22"/>
          <w:lang w:val="en-NL"/>
        </w:rPr>
      </w:pPr>
      <w:r w:rsidRPr="00D27B7C">
        <w:rPr>
          <w:sz w:val="22"/>
          <w:szCs w:val="22"/>
        </w:rPr>
        <w:t>Increase the access of small-scale industrial and other enterprises, in particular in developing countries, to financial services, including affordable credit, and their integration into value chains and markets</w:t>
      </w:r>
    </w:p>
    <w:p w14:paraId="5F929B64" w14:textId="40E7C8F4" w:rsidR="003B1CCB" w:rsidRPr="00D27B7C" w:rsidRDefault="003B1CCB" w:rsidP="003B1CCB">
      <w:pPr>
        <w:pStyle w:val="ListParagraph"/>
        <w:numPr>
          <w:ilvl w:val="2"/>
          <w:numId w:val="1"/>
        </w:numPr>
        <w:ind w:left="1276"/>
        <w:rPr>
          <w:sz w:val="22"/>
          <w:szCs w:val="22"/>
          <w:lang w:val="en-NL"/>
        </w:rPr>
      </w:pPr>
      <w:r w:rsidRPr="00D27B7C">
        <w:rPr>
          <w:sz w:val="22"/>
          <w:szCs w:val="22"/>
        </w:rPr>
        <w:t>Proportion of small-scale industries in total industry value added</w:t>
      </w:r>
    </w:p>
    <w:p w14:paraId="320F3C0A" w14:textId="156B698B" w:rsidR="003B1CCB" w:rsidRPr="00D27B7C" w:rsidRDefault="003B1CCB" w:rsidP="003B1CCB">
      <w:pPr>
        <w:pStyle w:val="ListParagraph"/>
        <w:numPr>
          <w:ilvl w:val="2"/>
          <w:numId w:val="1"/>
        </w:numPr>
        <w:ind w:left="1276"/>
        <w:rPr>
          <w:sz w:val="22"/>
          <w:szCs w:val="22"/>
          <w:lang w:val="en-NL"/>
        </w:rPr>
      </w:pPr>
      <w:r w:rsidRPr="00D27B7C">
        <w:rPr>
          <w:sz w:val="22"/>
          <w:szCs w:val="22"/>
        </w:rPr>
        <w:t>Proportion of small-scale industries with a loan or line of credit</w:t>
      </w:r>
      <w:r w:rsidR="00AB3C4E" w:rsidRPr="00D27B7C">
        <w:rPr>
          <w:sz w:val="22"/>
          <w:szCs w:val="22"/>
        </w:rPr>
        <w:br/>
      </w:r>
    </w:p>
    <w:p w14:paraId="15D8EF48" w14:textId="2BAF455A" w:rsidR="003B1CCB" w:rsidRPr="00D27B7C" w:rsidRDefault="003B1CCB" w:rsidP="003B1CCB">
      <w:pPr>
        <w:pStyle w:val="ListParagraph"/>
        <w:numPr>
          <w:ilvl w:val="0"/>
          <w:numId w:val="1"/>
        </w:numPr>
        <w:ind w:left="426"/>
        <w:rPr>
          <w:sz w:val="22"/>
          <w:szCs w:val="22"/>
          <w:lang w:val="en-NL"/>
        </w:rPr>
      </w:pPr>
      <w:r w:rsidRPr="00D27B7C">
        <w:rPr>
          <w:sz w:val="22"/>
          <w:szCs w:val="22"/>
        </w:rPr>
        <w:t>By 2030, upgrade infrastructure and retrofit industries to make them sustainable, with increased resource-use efficiency and greater adoption of clean and environmentally sound technologies and industrial processes, with all countries taking action in accordance with their respective capabilities</w:t>
      </w:r>
    </w:p>
    <w:p w14:paraId="2F52D2D4" w14:textId="54BCB49D" w:rsidR="003B1CCB" w:rsidRPr="00D27B7C" w:rsidRDefault="003B1CCB" w:rsidP="003B1CCB">
      <w:pPr>
        <w:pStyle w:val="ListParagraph"/>
        <w:numPr>
          <w:ilvl w:val="2"/>
          <w:numId w:val="1"/>
        </w:numPr>
        <w:ind w:left="1276"/>
        <w:rPr>
          <w:sz w:val="22"/>
          <w:szCs w:val="22"/>
          <w:lang w:val="en-NL"/>
        </w:rPr>
      </w:pPr>
      <w:r w:rsidRPr="00D27B7C">
        <w:rPr>
          <w:sz w:val="22"/>
          <w:szCs w:val="22"/>
        </w:rPr>
        <w:t>CO</w:t>
      </w:r>
      <w:r w:rsidRPr="00D27B7C">
        <w:rPr>
          <w:sz w:val="22"/>
          <w:szCs w:val="22"/>
          <w:vertAlign w:val="subscript"/>
        </w:rPr>
        <w:t>2 </w:t>
      </w:r>
      <w:r w:rsidRPr="00D27B7C">
        <w:rPr>
          <w:sz w:val="22"/>
          <w:szCs w:val="22"/>
        </w:rPr>
        <w:t>emission per unit of value added</w:t>
      </w:r>
      <w:r w:rsidR="00AB3C4E" w:rsidRPr="00D27B7C">
        <w:rPr>
          <w:sz w:val="22"/>
          <w:szCs w:val="22"/>
        </w:rPr>
        <w:br/>
      </w:r>
    </w:p>
    <w:p w14:paraId="283CE17B" w14:textId="3B2D8175" w:rsidR="003B1CCB" w:rsidRPr="00D27B7C" w:rsidRDefault="003B1CCB" w:rsidP="003B1CCB">
      <w:pPr>
        <w:pStyle w:val="ListParagraph"/>
        <w:numPr>
          <w:ilvl w:val="0"/>
          <w:numId w:val="1"/>
        </w:numPr>
        <w:ind w:left="426"/>
        <w:rPr>
          <w:sz w:val="22"/>
          <w:szCs w:val="22"/>
          <w:lang w:val="en-NL"/>
        </w:rPr>
      </w:pPr>
      <w:r w:rsidRPr="00D27B7C">
        <w:rPr>
          <w:sz w:val="22"/>
          <w:szCs w:val="22"/>
        </w:rPr>
        <w:t>Enhance scientific research, upgrade the technological capabilities of industrial sectors in all countries, in particular developing countries, including, by 2030, encouraging innovation and substantially increasing the number of research and development workers per 1 million people and public and private research and development spending</w:t>
      </w:r>
    </w:p>
    <w:p w14:paraId="329B3EB3" w14:textId="42B4C896" w:rsidR="003B1CCB" w:rsidRPr="00D27B7C" w:rsidRDefault="003B1CCB" w:rsidP="003B1CCB">
      <w:pPr>
        <w:pStyle w:val="ListParagraph"/>
        <w:numPr>
          <w:ilvl w:val="2"/>
          <w:numId w:val="1"/>
        </w:numPr>
        <w:ind w:left="1276"/>
        <w:rPr>
          <w:sz w:val="22"/>
          <w:szCs w:val="22"/>
          <w:lang w:val="en-NL"/>
        </w:rPr>
      </w:pPr>
      <w:r w:rsidRPr="00D27B7C">
        <w:rPr>
          <w:sz w:val="22"/>
          <w:szCs w:val="22"/>
        </w:rPr>
        <w:t>Research and development expenditure as a proportion of GDP</w:t>
      </w:r>
    </w:p>
    <w:p w14:paraId="67D0892D" w14:textId="6669D0F0" w:rsidR="003B1CCB" w:rsidRPr="00D27B7C" w:rsidRDefault="003B1CCB" w:rsidP="003B1CCB">
      <w:pPr>
        <w:pStyle w:val="ListParagraph"/>
        <w:numPr>
          <w:ilvl w:val="2"/>
          <w:numId w:val="1"/>
        </w:numPr>
        <w:ind w:left="1276"/>
        <w:rPr>
          <w:sz w:val="22"/>
          <w:szCs w:val="22"/>
          <w:lang w:val="en-NL"/>
        </w:rPr>
      </w:pPr>
      <w:r w:rsidRPr="00D27B7C">
        <w:rPr>
          <w:sz w:val="22"/>
          <w:szCs w:val="22"/>
        </w:rPr>
        <w:t>Researchers (in full-time equivalent) per million inhabitants</w:t>
      </w:r>
      <w:r w:rsidR="00AB3C4E" w:rsidRPr="00D27B7C">
        <w:rPr>
          <w:sz w:val="22"/>
          <w:szCs w:val="22"/>
        </w:rPr>
        <w:br/>
      </w:r>
    </w:p>
    <w:p w14:paraId="3B3FCDA8" w14:textId="3AD46516" w:rsidR="003B1CCB" w:rsidRPr="00D27B7C" w:rsidRDefault="003B1CCB" w:rsidP="003B1CCB">
      <w:pPr>
        <w:pStyle w:val="ListParagraph"/>
        <w:numPr>
          <w:ilvl w:val="0"/>
          <w:numId w:val="1"/>
        </w:numPr>
        <w:ind w:left="426"/>
        <w:rPr>
          <w:sz w:val="22"/>
          <w:szCs w:val="22"/>
          <w:lang w:val="en-NL"/>
        </w:rPr>
      </w:pPr>
      <w:r w:rsidRPr="00D27B7C">
        <w:rPr>
          <w:sz w:val="22"/>
          <w:szCs w:val="22"/>
        </w:rPr>
        <w:t>Facilitate sustainable and resilient infrastructure development in developing countries through enhanced financial, technological and technical support to African countries, least developed countries, landlocked developing countries and small island developing States</w:t>
      </w:r>
    </w:p>
    <w:p w14:paraId="7E1D76A7" w14:textId="0481623B" w:rsidR="003B1CCB" w:rsidRPr="00D27B7C" w:rsidRDefault="003B1CCB" w:rsidP="003B1CCB">
      <w:pPr>
        <w:pStyle w:val="ListParagraph"/>
        <w:numPr>
          <w:ilvl w:val="2"/>
          <w:numId w:val="1"/>
        </w:numPr>
        <w:ind w:left="1276"/>
        <w:rPr>
          <w:sz w:val="22"/>
          <w:szCs w:val="22"/>
          <w:lang w:val="en-NL"/>
        </w:rPr>
      </w:pPr>
      <w:r w:rsidRPr="00D27B7C">
        <w:rPr>
          <w:sz w:val="22"/>
          <w:szCs w:val="22"/>
        </w:rPr>
        <w:t>Total official international support (official development assistance plus other official flows) to infrastructure</w:t>
      </w:r>
      <w:r w:rsidR="00AB3C4E" w:rsidRPr="00D27B7C">
        <w:rPr>
          <w:sz w:val="22"/>
          <w:szCs w:val="22"/>
        </w:rPr>
        <w:br/>
      </w:r>
    </w:p>
    <w:p w14:paraId="0F6562C9" w14:textId="08F43DFF" w:rsidR="003B1CCB" w:rsidRPr="00D27B7C" w:rsidRDefault="003B1CCB" w:rsidP="003B1CCB">
      <w:pPr>
        <w:pStyle w:val="ListParagraph"/>
        <w:numPr>
          <w:ilvl w:val="0"/>
          <w:numId w:val="1"/>
        </w:numPr>
        <w:ind w:left="426"/>
        <w:rPr>
          <w:sz w:val="22"/>
          <w:szCs w:val="22"/>
          <w:lang w:val="en-NL"/>
        </w:rPr>
      </w:pPr>
      <w:r w:rsidRPr="00D27B7C">
        <w:rPr>
          <w:sz w:val="22"/>
          <w:szCs w:val="22"/>
        </w:rPr>
        <w:t>Support domestic technology development, research and innovation in developing countries, including by ensuring a conducive policy environment for, inter alia, industrial diversification and value addition to commodities</w:t>
      </w:r>
    </w:p>
    <w:p w14:paraId="0BA0970A" w14:textId="72A21925" w:rsidR="003B1CCB" w:rsidRPr="00D27B7C" w:rsidRDefault="003B1CCB" w:rsidP="003B1CCB">
      <w:pPr>
        <w:pStyle w:val="ListParagraph"/>
        <w:numPr>
          <w:ilvl w:val="2"/>
          <w:numId w:val="1"/>
        </w:numPr>
        <w:ind w:left="1276"/>
        <w:rPr>
          <w:sz w:val="22"/>
          <w:szCs w:val="22"/>
          <w:lang w:val="en-NL"/>
        </w:rPr>
      </w:pPr>
      <w:r w:rsidRPr="00D27B7C">
        <w:rPr>
          <w:sz w:val="22"/>
          <w:szCs w:val="22"/>
        </w:rPr>
        <w:t>Proportion of medium and high-tech industry value added in total value added</w:t>
      </w:r>
      <w:r w:rsidR="00AB3C4E" w:rsidRPr="00D27B7C">
        <w:rPr>
          <w:sz w:val="22"/>
          <w:szCs w:val="22"/>
        </w:rPr>
        <w:br/>
      </w:r>
    </w:p>
    <w:p w14:paraId="644AB7F4" w14:textId="2C696A7E" w:rsidR="003B1CCB" w:rsidRPr="00D27B7C" w:rsidRDefault="003B1CCB" w:rsidP="003B1CCB">
      <w:pPr>
        <w:pStyle w:val="ListParagraph"/>
        <w:numPr>
          <w:ilvl w:val="0"/>
          <w:numId w:val="1"/>
        </w:numPr>
        <w:ind w:left="426"/>
        <w:rPr>
          <w:sz w:val="22"/>
          <w:szCs w:val="22"/>
          <w:lang w:val="en-NL"/>
        </w:rPr>
      </w:pPr>
      <w:r w:rsidRPr="00D27B7C">
        <w:rPr>
          <w:sz w:val="22"/>
          <w:szCs w:val="22"/>
        </w:rPr>
        <w:t>Significantly increase access to information and communications technology and strive to provide universal and affordable access to the Internet in least developed countries by 2020</w:t>
      </w:r>
    </w:p>
    <w:p w14:paraId="35740ADB" w14:textId="23730A78" w:rsidR="003B1CCB" w:rsidRPr="00D27B7C" w:rsidRDefault="003B1CCB" w:rsidP="003B1CCB">
      <w:pPr>
        <w:pStyle w:val="ListParagraph"/>
        <w:numPr>
          <w:ilvl w:val="2"/>
          <w:numId w:val="1"/>
        </w:numPr>
        <w:ind w:left="1276"/>
        <w:rPr>
          <w:sz w:val="22"/>
          <w:szCs w:val="22"/>
          <w:lang w:val="en-NL"/>
        </w:rPr>
      </w:pPr>
      <w:r w:rsidRPr="00D27B7C">
        <w:rPr>
          <w:sz w:val="22"/>
          <w:szCs w:val="22"/>
        </w:rPr>
        <w:t>Proportion of population covered by a mobile network, by technology</w:t>
      </w:r>
    </w:p>
    <w:p w14:paraId="0DB3DA4C" w14:textId="77777777" w:rsidR="00AB3C4E" w:rsidRPr="00D27B7C" w:rsidRDefault="00AB3C4E">
      <w:pPr>
        <w:rPr>
          <w:b/>
          <w:bCs/>
          <w:sz w:val="22"/>
          <w:szCs w:val="22"/>
          <w:lang w:val="en-NL"/>
        </w:rPr>
      </w:pPr>
      <w:r w:rsidRPr="00D27B7C">
        <w:rPr>
          <w:b/>
          <w:bCs/>
          <w:sz w:val="22"/>
          <w:szCs w:val="22"/>
          <w:lang w:val="en-NL"/>
        </w:rPr>
        <w:br w:type="page"/>
      </w:r>
    </w:p>
    <w:p w14:paraId="426D5947" w14:textId="7E43E4F7" w:rsidR="00AB3C4E" w:rsidRPr="00D27B7C" w:rsidRDefault="00AB3C4E" w:rsidP="00AB3C4E">
      <w:pPr>
        <w:ind w:left="426"/>
        <w:rPr>
          <w:b/>
          <w:bCs/>
          <w:sz w:val="22"/>
          <w:szCs w:val="22"/>
          <w:lang w:val="en-NL"/>
        </w:rPr>
      </w:pPr>
      <w:r w:rsidRPr="00D27B7C">
        <w:rPr>
          <w:b/>
          <w:bCs/>
          <w:sz w:val="22"/>
          <w:szCs w:val="22"/>
          <w:lang w:val="en-NL"/>
        </w:rPr>
        <w:lastRenderedPageBreak/>
        <w:t xml:space="preserve">SDG 11 - </w:t>
      </w:r>
      <w:r w:rsidRPr="00D27B7C">
        <w:rPr>
          <w:b/>
          <w:bCs/>
          <w:sz w:val="22"/>
          <w:szCs w:val="22"/>
          <w:lang w:val="en-NL"/>
        </w:rPr>
        <w:t xml:space="preserve">Make cities and human settlements inclusive, safe, resilient and sustainable </w:t>
      </w:r>
    </w:p>
    <w:p w14:paraId="7EC1DD62" w14:textId="07D2F54C" w:rsidR="0072390E" w:rsidRPr="00D27B7C" w:rsidRDefault="00AB3C4E" w:rsidP="00AB3C4E">
      <w:pPr>
        <w:pStyle w:val="ListParagraph"/>
        <w:numPr>
          <w:ilvl w:val="0"/>
          <w:numId w:val="2"/>
        </w:numPr>
        <w:rPr>
          <w:sz w:val="22"/>
          <w:szCs w:val="22"/>
          <w:lang w:val="en-NL"/>
        </w:rPr>
      </w:pPr>
      <w:r w:rsidRPr="00D27B7C">
        <w:rPr>
          <w:sz w:val="22"/>
          <w:szCs w:val="22"/>
        </w:rPr>
        <w:t>By 2030, ensure access for all to adequate, safe and affordable housing and basic services and upgrade slums</w:t>
      </w:r>
    </w:p>
    <w:p w14:paraId="5435ABE7" w14:textId="3FE12051" w:rsidR="00AB3C4E" w:rsidRPr="00D27B7C" w:rsidRDefault="00AB3C4E" w:rsidP="00AB3C4E">
      <w:pPr>
        <w:pStyle w:val="ListParagraph"/>
        <w:numPr>
          <w:ilvl w:val="2"/>
          <w:numId w:val="2"/>
        </w:numPr>
        <w:rPr>
          <w:sz w:val="22"/>
          <w:szCs w:val="22"/>
          <w:lang w:val="en-NL"/>
        </w:rPr>
      </w:pPr>
      <w:r w:rsidRPr="00D27B7C">
        <w:rPr>
          <w:sz w:val="22"/>
          <w:szCs w:val="22"/>
        </w:rPr>
        <w:t>Proportion of urban population living in slums, informal settlements or inadequate housing</w:t>
      </w:r>
      <w:r w:rsidRPr="00D27B7C">
        <w:rPr>
          <w:sz w:val="22"/>
          <w:szCs w:val="22"/>
        </w:rPr>
        <w:br/>
      </w:r>
    </w:p>
    <w:p w14:paraId="61DF309E" w14:textId="2E50AE0B" w:rsidR="00AB3C4E" w:rsidRPr="00D27B7C" w:rsidRDefault="00AB3C4E" w:rsidP="00AB3C4E">
      <w:pPr>
        <w:pStyle w:val="ListParagraph"/>
        <w:numPr>
          <w:ilvl w:val="0"/>
          <w:numId w:val="2"/>
        </w:numPr>
        <w:rPr>
          <w:sz w:val="22"/>
          <w:szCs w:val="22"/>
          <w:lang w:val="en-NL"/>
        </w:rPr>
      </w:pPr>
      <w:r w:rsidRPr="00D27B7C">
        <w:rPr>
          <w:sz w:val="22"/>
          <w:szCs w:val="22"/>
        </w:rPr>
        <w:t>By 2030, provide access to safe, affordable, accessible and sustainable transport systems for all, improving road safety, notably by expanding public transport, with special attention to the needs of those in vulnerable situations, women, children, persons with disabilities and older persons</w:t>
      </w:r>
    </w:p>
    <w:p w14:paraId="0DC5F58F" w14:textId="7F90379B" w:rsidR="00AB3C4E" w:rsidRPr="00D27B7C" w:rsidRDefault="00AB3C4E" w:rsidP="00AB3C4E">
      <w:pPr>
        <w:pStyle w:val="ListParagraph"/>
        <w:numPr>
          <w:ilvl w:val="2"/>
          <w:numId w:val="2"/>
        </w:numPr>
        <w:rPr>
          <w:sz w:val="22"/>
          <w:szCs w:val="22"/>
          <w:lang w:val="en-NL"/>
        </w:rPr>
      </w:pPr>
      <w:r w:rsidRPr="00D27B7C">
        <w:rPr>
          <w:sz w:val="22"/>
          <w:szCs w:val="22"/>
        </w:rPr>
        <w:t>Proportion of population that has convenient access to public transport, by sex, age and persons with disabilities</w:t>
      </w:r>
      <w:r w:rsidRPr="00D27B7C">
        <w:rPr>
          <w:sz w:val="22"/>
          <w:szCs w:val="22"/>
        </w:rPr>
        <w:br/>
      </w:r>
    </w:p>
    <w:p w14:paraId="026B0C60" w14:textId="62BA62A4" w:rsidR="00AB3C4E" w:rsidRPr="00D27B7C" w:rsidRDefault="00AB3C4E" w:rsidP="00AB3C4E">
      <w:pPr>
        <w:pStyle w:val="ListParagraph"/>
        <w:numPr>
          <w:ilvl w:val="0"/>
          <w:numId w:val="2"/>
        </w:numPr>
        <w:rPr>
          <w:sz w:val="22"/>
          <w:szCs w:val="22"/>
          <w:lang w:val="en-NL"/>
        </w:rPr>
      </w:pPr>
      <w:r w:rsidRPr="00D27B7C">
        <w:rPr>
          <w:sz w:val="22"/>
          <w:szCs w:val="22"/>
        </w:rPr>
        <w:t>By 2030, enhance inclusive and sustainable urbanization and capacity for participatory, integrated and sustainable human settlement planning and management in all countries</w:t>
      </w:r>
    </w:p>
    <w:p w14:paraId="23BFBD6E" w14:textId="24B47F16" w:rsidR="00AB3C4E" w:rsidRPr="00D27B7C" w:rsidRDefault="00AB3C4E" w:rsidP="00AB3C4E">
      <w:pPr>
        <w:pStyle w:val="ListParagraph"/>
        <w:numPr>
          <w:ilvl w:val="2"/>
          <w:numId w:val="2"/>
        </w:numPr>
        <w:rPr>
          <w:sz w:val="22"/>
          <w:szCs w:val="22"/>
          <w:lang w:val="en-NL"/>
        </w:rPr>
      </w:pPr>
      <w:r w:rsidRPr="00D27B7C">
        <w:rPr>
          <w:sz w:val="22"/>
          <w:szCs w:val="22"/>
        </w:rPr>
        <w:t>Ratio of land consumption rate to population growth rate</w:t>
      </w:r>
    </w:p>
    <w:p w14:paraId="68BBCA38" w14:textId="0159F6FB" w:rsidR="00AB3C4E" w:rsidRPr="00D27B7C" w:rsidRDefault="00AB3C4E" w:rsidP="00AB3C4E">
      <w:pPr>
        <w:pStyle w:val="ListParagraph"/>
        <w:numPr>
          <w:ilvl w:val="2"/>
          <w:numId w:val="2"/>
        </w:numPr>
        <w:rPr>
          <w:sz w:val="22"/>
          <w:szCs w:val="22"/>
          <w:lang w:val="en-NL"/>
        </w:rPr>
      </w:pPr>
      <w:r w:rsidRPr="00D27B7C">
        <w:rPr>
          <w:sz w:val="22"/>
          <w:szCs w:val="22"/>
        </w:rPr>
        <w:t>Proportion of cities with a direct participation structure of civil society in urban planning and management that operate regularly and democratically</w:t>
      </w:r>
      <w:r w:rsidRPr="00D27B7C">
        <w:rPr>
          <w:sz w:val="22"/>
          <w:szCs w:val="22"/>
        </w:rPr>
        <w:br/>
      </w:r>
    </w:p>
    <w:p w14:paraId="7751294A" w14:textId="131D8423" w:rsidR="00AB3C4E" w:rsidRPr="00D27B7C" w:rsidRDefault="00AB3C4E" w:rsidP="00AB3C4E">
      <w:pPr>
        <w:pStyle w:val="ListParagraph"/>
        <w:numPr>
          <w:ilvl w:val="0"/>
          <w:numId w:val="2"/>
        </w:numPr>
        <w:rPr>
          <w:sz w:val="22"/>
          <w:szCs w:val="22"/>
          <w:lang w:val="en-NL"/>
        </w:rPr>
      </w:pPr>
      <w:r w:rsidRPr="00D27B7C">
        <w:rPr>
          <w:sz w:val="22"/>
          <w:szCs w:val="22"/>
        </w:rPr>
        <w:t>Strengthen efforts to protect and safeguard the world’s cultural and natural heritage</w:t>
      </w:r>
    </w:p>
    <w:p w14:paraId="30227A23" w14:textId="296B0876" w:rsidR="00AB3C4E" w:rsidRPr="00D27B7C" w:rsidRDefault="00AB3C4E" w:rsidP="00AB3C4E">
      <w:pPr>
        <w:pStyle w:val="ListParagraph"/>
        <w:numPr>
          <w:ilvl w:val="2"/>
          <w:numId w:val="2"/>
        </w:numPr>
        <w:rPr>
          <w:sz w:val="22"/>
          <w:szCs w:val="22"/>
          <w:lang w:val="en-NL"/>
        </w:rPr>
      </w:pPr>
      <w:r w:rsidRPr="00D27B7C">
        <w:rPr>
          <w:sz w:val="22"/>
          <w:szCs w:val="22"/>
        </w:rPr>
        <w:t>Total per capita expenditure on the preservation, protection and conservation of all cultural and natural heritage, by source of funding (public, private), type of heritage (cultural, natural) and level of government (national, regional, and local/municipal)</w:t>
      </w:r>
      <w:r w:rsidRPr="00D27B7C">
        <w:rPr>
          <w:sz w:val="22"/>
          <w:szCs w:val="22"/>
        </w:rPr>
        <w:br/>
      </w:r>
    </w:p>
    <w:p w14:paraId="7C80C288" w14:textId="11390E88" w:rsidR="00AB3C4E" w:rsidRPr="00D27B7C" w:rsidRDefault="00AB3C4E" w:rsidP="00AB3C4E">
      <w:pPr>
        <w:pStyle w:val="ListParagraph"/>
        <w:numPr>
          <w:ilvl w:val="0"/>
          <w:numId w:val="2"/>
        </w:numPr>
        <w:rPr>
          <w:sz w:val="22"/>
          <w:szCs w:val="22"/>
          <w:lang w:val="en-NL"/>
        </w:rPr>
      </w:pPr>
      <w:r w:rsidRPr="00D27B7C">
        <w:rPr>
          <w:sz w:val="22"/>
          <w:szCs w:val="22"/>
        </w:rPr>
        <w:t>By 2030, significantly reduce the number of deaths and the number of people affected and substantially decrease the direct economic losses relative to global gross domestic product caused by disasters, including water-related disasters, with a focus on protecting the poor and people in vulnerable situations</w:t>
      </w:r>
    </w:p>
    <w:p w14:paraId="4D928A20" w14:textId="47F91396" w:rsidR="00AB3C4E" w:rsidRPr="00D27B7C" w:rsidRDefault="00AB3C4E" w:rsidP="00AB3C4E">
      <w:pPr>
        <w:pStyle w:val="ListParagraph"/>
        <w:numPr>
          <w:ilvl w:val="2"/>
          <w:numId w:val="2"/>
        </w:numPr>
        <w:rPr>
          <w:sz w:val="22"/>
          <w:szCs w:val="22"/>
          <w:lang w:val="en-NL"/>
        </w:rPr>
      </w:pPr>
      <w:r w:rsidRPr="00D27B7C">
        <w:rPr>
          <w:sz w:val="22"/>
          <w:szCs w:val="22"/>
        </w:rPr>
        <w:t>Number of deaths, missing persons and directly affected persons attributed to disasters per 100,000 population</w:t>
      </w:r>
    </w:p>
    <w:p w14:paraId="3A9F42E0" w14:textId="291C8295" w:rsidR="00AB3C4E" w:rsidRPr="00D27B7C" w:rsidRDefault="00AB3C4E" w:rsidP="00AB3C4E">
      <w:pPr>
        <w:pStyle w:val="ListParagraph"/>
        <w:numPr>
          <w:ilvl w:val="2"/>
          <w:numId w:val="2"/>
        </w:numPr>
        <w:rPr>
          <w:sz w:val="22"/>
          <w:szCs w:val="22"/>
          <w:lang w:val="en-NL"/>
        </w:rPr>
      </w:pPr>
      <w:r w:rsidRPr="00D27B7C">
        <w:rPr>
          <w:sz w:val="22"/>
          <w:szCs w:val="22"/>
        </w:rPr>
        <w:t>Direct economic loss attributed to disasters in relation to global domestic product (GDP)</w:t>
      </w:r>
    </w:p>
    <w:p w14:paraId="5F17B096" w14:textId="113256FF" w:rsidR="00AB3C4E" w:rsidRPr="00D27B7C" w:rsidRDefault="00AB3C4E" w:rsidP="00AB3C4E">
      <w:pPr>
        <w:pStyle w:val="ListParagraph"/>
        <w:numPr>
          <w:ilvl w:val="2"/>
          <w:numId w:val="2"/>
        </w:numPr>
        <w:rPr>
          <w:sz w:val="22"/>
          <w:szCs w:val="22"/>
          <w:lang w:val="en-NL"/>
        </w:rPr>
      </w:pPr>
      <w:r w:rsidRPr="00D27B7C">
        <w:rPr>
          <w:i/>
          <w:iCs/>
          <w:sz w:val="22"/>
          <w:szCs w:val="22"/>
        </w:rPr>
        <w:t>a</w:t>
      </w:r>
      <w:r w:rsidRPr="00D27B7C">
        <w:rPr>
          <w:sz w:val="22"/>
          <w:szCs w:val="22"/>
        </w:rPr>
        <w:t>) Damage to critical infrastructure and (</w:t>
      </w:r>
      <w:r w:rsidRPr="00D27B7C">
        <w:rPr>
          <w:i/>
          <w:iCs/>
          <w:sz w:val="22"/>
          <w:szCs w:val="22"/>
        </w:rPr>
        <w:t>b</w:t>
      </w:r>
      <w:r w:rsidRPr="00D27B7C">
        <w:rPr>
          <w:sz w:val="22"/>
          <w:szCs w:val="22"/>
        </w:rPr>
        <w:t>) number of disruptions to basic services, attributed to disasters</w:t>
      </w:r>
      <w:r w:rsidRPr="00D27B7C">
        <w:rPr>
          <w:i/>
          <w:iCs/>
          <w:sz w:val="22"/>
          <w:szCs w:val="22"/>
        </w:rPr>
        <w:br/>
      </w:r>
    </w:p>
    <w:p w14:paraId="439DEAFD" w14:textId="7A0CB227" w:rsidR="00AB3C4E" w:rsidRPr="00D27B7C" w:rsidRDefault="00AB3C4E" w:rsidP="00AB3C4E">
      <w:pPr>
        <w:pStyle w:val="ListParagraph"/>
        <w:numPr>
          <w:ilvl w:val="0"/>
          <w:numId w:val="2"/>
        </w:numPr>
        <w:rPr>
          <w:sz w:val="22"/>
          <w:szCs w:val="22"/>
          <w:lang w:val="en-NL"/>
        </w:rPr>
      </w:pPr>
      <w:r w:rsidRPr="00D27B7C">
        <w:rPr>
          <w:sz w:val="22"/>
          <w:szCs w:val="22"/>
        </w:rPr>
        <w:t>By 2030, reduce the adverse per capita environmental impact of cities, including by paying special attention to air quality and municipal and other waste management</w:t>
      </w:r>
    </w:p>
    <w:p w14:paraId="4DEFBFE4" w14:textId="092CEAFE" w:rsidR="00AB3C4E" w:rsidRPr="00D27B7C" w:rsidRDefault="00AB3C4E" w:rsidP="00AB3C4E">
      <w:pPr>
        <w:pStyle w:val="ListParagraph"/>
        <w:numPr>
          <w:ilvl w:val="2"/>
          <w:numId w:val="2"/>
        </w:numPr>
        <w:rPr>
          <w:sz w:val="22"/>
          <w:szCs w:val="22"/>
          <w:lang w:val="en-NL"/>
        </w:rPr>
      </w:pPr>
      <w:r w:rsidRPr="00D27B7C">
        <w:rPr>
          <w:sz w:val="22"/>
          <w:szCs w:val="22"/>
        </w:rPr>
        <w:t>Proportion of municipal solid waste collected and managed in controlled facilities out of total municipal waste generated, by cities</w:t>
      </w:r>
    </w:p>
    <w:p w14:paraId="01BE7403" w14:textId="2B2E8603" w:rsidR="00AB3C4E" w:rsidRPr="00D27B7C" w:rsidRDefault="00AB3C4E" w:rsidP="00AB3C4E">
      <w:pPr>
        <w:pStyle w:val="ListParagraph"/>
        <w:numPr>
          <w:ilvl w:val="2"/>
          <w:numId w:val="2"/>
        </w:numPr>
        <w:rPr>
          <w:sz w:val="22"/>
          <w:szCs w:val="22"/>
          <w:lang w:val="en-NL"/>
        </w:rPr>
      </w:pPr>
      <w:r w:rsidRPr="00D27B7C">
        <w:rPr>
          <w:sz w:val="22"/>
          <w:szCs w:val="22"/>
        </w:rPr>
        <w:t>Annual mean levels of fine particulate matter (e.g. PM2.5 and PM10) in cities (population weighted)</w:t>
      </w:r>
      <w:r w:rsidRPr="00D27B7C">
        <w:rPr>
          <w:sz w:val="22"/>
          <w:szCs w:val="22"/>
        </w:rPr>
        <w:br/>
      </w:r>
    </w:p>
    <w:p w14:paraId="1E94FE3F" w14:textId="22BCC7EA" w:rsidR="00AB3C4E" w:rsidRPr="00D27B7C" w:rsidRDefault="00AB3C4E" w:rsidP="00AB3C4E">
      <w:pPr>
        <w:pStyle w:val="ListParagraph"/>
        <w:numPr>
          <w:ilvl w:val="0"/>
          <w:numId w:val="2"/>
        </w:numPr>
        <w:rPr>
          <w:sz w:val="22"/>
          <w:szCs w:val="22"/>
          <w:lang w:val="en-NL"/>
        </w:rPr>
      </w:pPr>
      <w:r w:rsidRPr="00D27B7C">
        <w:rPr>
          <w:sz w:val="22"/>
          <w:szCs w:val="22"/>
        </w:rPr>
        <w:t>By 2030, provide universal access to safe, inclusive and accessible, green and public spaces, in particular for women and children, older persons and persons with disabilities</w:t>
      </w:r>
    </w:p>
    <w:p w14:paraId="205129AC" w14:textId="68E58D06" w:rsidR="00AB3C4E" w:rsidRPr="00D27B7C" w:rsidRDefault="00AB3C4E" w:rsidP="00AB3C4E">
      <w:pPr>
        <w:pStyle w:val="ListParagraph"/>
        <w:numPr>
          <w:ilvl w:val="2"/>
          <w:numId w:val="2"/>
        </w:numPr>
        <w:rPr>
          <w:sz w:val="22"/>
          <w:szCs w:val="22"/>
          <w:lang w:val="en-NL"/>
        </w:rPr>
      </w:pPr>
      <w:r w:rsidRPr="00D27B7C">
        <w:rPr>
          <w:sz w:val="22"/>
          <w:szCs w:val="22"/>
        </w:rPr>
        <w:t>Average share of the built-up area of cities that is open space for public use for all, by sex, age and persons with disabilities</w:t>
      </w:r>
    </w:p>
    <w:p w14:paraId="2FCD3AC4" w14:textId="4912198B" w:rsidR="00AB3C4E" w:rsidRPr="00D27B7C" w:rsidRDefault="00AB3C4E" w:rsidP="00AB3C4E">
      <w:pPr>
        <w:pStyle w:val="ListParagraph"/>
        <w:numPr>
          <w:ilvl w:val="2"/>
          <w:numId w:val="2"/>
        </w:numPr>
        <w:rPr>
          <w:sz w:val="22"/>
          <w:szCs w:val="22"/>
          <w:lang w:val="en-NL"/>
        </w:rPr>
      </w:pPr>
      <w:r w:rsidRPr="00D27B7C">
        <w:rPr>
          <w:sz w:val="22"/>
          <w:szCs w:val="22"/>
        </w:rPr>
        <w:t>Proportion of persons victim of non-sexual or sexual harassment, by sex, age, disability status and place of occurrence, in the previous 12 months</w:t>
      </w:r>
      <w:r w:rsidRPr="00D27B7C">
        <w:rPr>
          <w:sz w:val="22"/>
          <w:szCs w:val="22"/>
        </w:rPr>
        <w:br/>
      </w:r>
    </w:p>
    <w:p w14:paraId="3673E1E4" w14:textId="77777777" w:rsidR="00AB3C4E" w:rsidRPr="00D27B7C" w:rsidRDefault="00AB3C4E" w:rsidP="00AB3C4E">
      <w:pPr>
        <w:ind w:left="1272"/>
        <w:rPr>
          <w:sz w:val="22"/>
          <w:szCs w:val="22"/>
          <w:lang w:val="en-NL"/>
        </w:rPr>
      </w:pPr>
    </w:p>
    <w:p w14:paraId="59530639" w14:textId="783E8227" w:rsidR="00AB3C4E" w:rsidRPr="00D27B7C" w:rsidRDefault="00AB3C4E" w:rsidP="00AB3C4E">
      <w:pPr>
        <w:pStyle w:val="ListParagraph"/>
        <w:numPr>
          <w:ilvl w:val="0"/>
          <w:numId w:val="2"/>
        </w:numPr>
        <w:rPr>
          <w:sz w:val="22"/>
          <w:szCs w:val="22"/>
          <w:lang w:val="en-NL"/>
        </w:rPr>
      </w:pPr>
      <w:r w:rsidRPr="00D27B7C">
        <w:rPr>
          <w:sz w:val="22"/>
          <w:szCs w:val="22"/>
        </w:rPr>
        <w:lastRenderedPageBreak/>
        <w:t>Support positive economic, social and environmental links between urban, peri-urban and rural areas by strengthening national and regional development planning</w:t>
      </w:r>
    </w:p>
    <w:p w14:paraId="4AA95D8F" w14:textId="43841E5F" w:rsidR="00AB3C4E" w:rsidRPr="00D27B7C" w:rsidRDefault="00AB3C4E" w:rsidP="00AB3C4E">
      <w:pPr>
        <w:pStyle w:val="ListParagraph"/>
        <w:numPr>
          <w:ilvl w:val="2"/>
          <w:numId w:val="2"/>
        </w:numPr>
        <w:rPr>
          <w:sz w:val="22"/>
          <w:szCs w:val="22"/>
          <w:lang w:val="en-NL"/>
        </w:rPr>
      </w:pPr>
      <w:r w:rsidRPr="00D27B7C">
        <w:rPr>
          <w:sz w:val="22"/>
          <w:szCs w:val="22"/>
        </w:rPr>
        <w:t>Number of countries that have national urban policies or regional development plans that (</w:t>
      </w:r>
      <w:r w:rsidRPr="00D27B7C">
        <w:rPr>
          <w:i/>
          <w:iCs/>
          <w:sz w:val="22"/>
          <w:szCs w:val="22"/>
        </w:rPr>
        <w:t>a</w:t>
      </w:r>
      <w:r w:rsidRPr="00D27B7C">
        <w:rPr>
          <w:sz w:val="22"/>
          <w:szCs w:val="22"/>
        </w:rPr>
        <w:t>) respond to population dynamics; (</w:t>
      </w:r>
      <w:r w:rsidRPr="00D27B7C">
        <w:rPr>
          <w:i/>
          <w:iCs/>
          <w:sz w:val="22"/>
          <w:szCs w:val="22"/>
        </w:rPr>
        <w:t>b</w:t>
      </w:r>
      <w:r w:rsidRPr="00D27B7C">
        <w:rPr>
          <w:sz w:val="22"/>
          <w:szCs w:val="22"/>
        </w:rPr>
        <w:t>) ensure balanced territorial development; and (</w:t>
      </w:r>
      <w:r w:rsidRPr="00D27B7C">
        <w:rPr>
          <w:i/>
          <w:iCs/>
          <w:sz w:val="22"/>
          <w:szCs w:val="22"/>
        </w:rPr>
        <w:t>c</w:t>
      </w:r>
      <w:r w:rsidRPr="00D27B7C">
        <w:rPr>
          <w:sz w:val="22"/>
          <w:szCs w:val="22"/>
        </w:rPr>
        <w:t>) increase local fiscal space</w:t>
      </w:r>
      <w:r w:rsidRPr="00D27B7C">
        <w:rPr>
          <w:sz w:val="22"/>
          <w:szCs w:val="22"/>
        </w:rPr>
        <w:br/>
      </w:r>
    </w:p>
    <w:p w14:paraId="67CEFD99" w14:textId="39177915" w:rsidR="00AB3C4E" w:rsidRPr="00D27B7C" w:rsidRDefault="00AB3C4E" w:rsidP="00AB3C4E">
      <w:pPr>
        <w:pStyle w:val="ListParagraph"/>
        <w:numPr>
          <w:ilvl w:val="0"/>
          <w:numId w:val="2"/>
        </w:numPr>
        <w:rPr>
          <w:sz w:val="22"/>
          <w:szCs w:val="22"/>
          <w:lang w:val="en-NL"/>
        </w:rPr>
      </w:pPr>
      <w:r w:rsidRPr="00D27B7C">
        <w:rPr>
          <w:sz w:val="22"/>
          <w:szCs w:val="22"/>
        </w:rPr>
        <w:t>By 2020, substantially increase the number of cities and human settlements adopting and implementing integrated policies and plans towards inclusion, resource efficiency, mitigation and adaptation to climate change, resilience to disasters, and develop and implement, in line with the Sendai Framework for Disaster Risk Reduction 2015-2030, holistic disaster risk management at all levels</w:t>
      </w:r>
    </w:p>
    <w:p w14:paraId="73C2997B" w14:textId="7DEF935A" w:rsidR="00AB3C4E" w:rsidRPr="00D27B7C" w:rsidRDefault="00AB3C4E" w:rsidP="00AB3C4E">
      <w:pPr>
        <w:pStyle w:val="ListParagraph"/>
        <w:numPr>
          <w:ilvl w:val="2"/>
          <w:numId w:val="2"/>
        </w:numPr>
        <w:rPr>
          <w:sz w:val="22"/>
          <w:szCs w:val="22"/>
          <w:lang w:val="en-NL"/>
        </w:rPr>
      </w:pPr>
      <w:r w:rsidRPr="00D27B7C">
        <w:rPr>
          <w:sz w:val="22"/>
          <w:szCs w:val="22"/>
          <w:lang w:val="en-NL"/>
        </w:rPr>
        <w:t>Number of countries that adopt and implement national disaster risk reduction strategies in line with the Sendai Framework for Disaster Risk Reduction 2015–2030</w:t>
      </w:r>
    </w:p>
    <w:p w14:paraId="1C25AA98" w14:textId="3D2CC14A" w:rsidR="00AB3C4E" w:rsidRPr="00D27B7C" w:rsidRDefault="00AB3C4E" w:rsidP="00AB3C4E">
      <w:pPr>
        <w:pStyle w:val="ListParagraph"/>
        <w:numPr>
          <w:ilvl w:val="2"/>
          <w:numId w:val="2"/>
        </w:numPr>
        <w:rPr>
          <w:sz w:val="22"/>
          <w:szCs w:val="22"/>
          <w:lang w:val="en-NL"/>
        </w:rPr>
      </w:pPr>
      <w:r w:rsidRPr="00D27B7C">
        <w:rPr>
          <w:sz w:val="22"/>
          <w:szCs w:val="22"/>
        </w:rPr>
        <w:t>Proportion of local governments that adopt and implement local disaster risk reduction strategies in line with national disaster risk reduction strategies</w:t>
      </w:r>
      <w:r w:rsidRPr="00D27B7C">
        <w:rPr>
          <w:sz w:val="22"/>
          <w:szCs w:val="22"/>
        </w:rPr>
        <w:br/>
      </w:r>
    </w:p>
    <w:p w14:paraId="1038599C" w14:textId="69769133" w:rsidR="00AB3C4E" w:rsidRPr="00D27B7C" w:rsidRDefault="00AB3C4E" w:rsidP="00AB3C4E">
      <w:pPr>
        <w:pStyle w:val="ListParagraph"/>
        <w:numPr>
          <w:ilvl w:val="0"/>
          <w:numId w:val="2"/>
        </w:numPr>
        <w:ind w:left="567"/>
        <w:rPr>
          <w:sz w:val="22"/>
          <w:szCs w:val="22"/>
          <w:lang w:val="en-NL"/>
        </w:rPr>
      </w:pPr>
      <w:r w:rsidRPr="00D27B7C">
        <w:rPr>
          <w:sz w:val="22"/>
          <w:szCs w:val="22"/>
        </w:rPr>
        <w:t>Support least developed countries, including through financial and technical assistance, in building sustainable and resilient buildings utilizing local materials</w:t>
      </w:r>
    </w:p>
    <w:sectPr w:rsidR="00AB3C4E" w:rsidRPr="00D27B7C" w:rsidSect="003B1C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A1C32"/>
    <w:multiLevelType w:val="hybridMultilevel"/>
    <w:tmpl w:val="31E227E8"/>
    <w:lvl w:ilvl="0" w:tplc="2000000F">
      <w:start w:val="1"/>
      <w:numFmt w:val="decimal"/>
      <w:lvlText w:val="%1."/>
      <w:lvlJc w:val="left"/>
      <w:pPr>
        <w:ind w:left="710" w:hanging="284"/>
      </w:pPr>
      <w:rPr>
        <w:rFonts w:hint="default"/>
      </w:rPr>
    </w:lvl>
    <w:lvl w:ilvl="1" w:tplc="20000019">
      <w:start w:val="1"/>
      <w:numFmt w:val="lowerLetter"/>
      <w:lvlText w:val="%2."/>
      <w:lvlJc w:val="left"/>
      <w:pPr>
        <w:ind w:left="732" w:hanging="360"/>
      </w:pPr>
    </w:lvl>
    <w:lvl w:ilvl="2" w:tplc="2000001B">
      <w:start w:val="1"/>
      <w:numFmt w:val="lowerRoman"/>
      <w:lvlText w:val="%3."/>
      <w:lvlJc w:val="right"/>
      <w:pPr>
        <w:ind w:left="1452" w:hanging="180"/>
      </w:pPr>
    </w:lvl>
    <w:lvl w:ilvl="3" w:tplc="2000000F" w:tentative="1">
      <w:start w:val="1"/>
      <w:numFmt w:val="decimal"/>
      <w:lvlText w:val="%4."/>
      <w:lvlJc w:val="left"/>
      <w:pPr>
        <w:ind w:left="2172" w:hanging="360"/>
      </w:pPr>
    </w:lvl>
    <w:lvl w:ilvl="4" w:tplc="20000019" w:tentative="1">
      <w:start w:val="1"/>
      <w:numFmt w:val="lowerLetter"/>
      <w:lvlText w:val="%5."/>
      <w:lvlJc w:val="left"/>
      <w:pPr>
        <w:ind w:left="2892" w:hanging="360"/>
      </w:pPr>
    </w:lvl>
    <w:lvl w:ilvl="5" w:tplc="2000001B" w:tentative="1">
      <w:start w:val="1"/>
      <w:numFmt w:val="lowerRoman"/>
      <w:lvlText w:val="%6."/>
      <w:lvlJc w:val="right"/>
      <w:pPr>
        <w:ind w:left="3612" w:hanging="180"/>
      </w:pPr>
    </w:lvl>
    <w:lvl w:ilvl="6" w:tplc="2000000F" w:tentative="1">
      <w:start w:val="1"/>
      <w:numFmt w:val="decimal"/>
      <w:lvlText w:val="%7."/>
      <w:lvlJc w:val="left"/>
      <w:pPr>
        <w:ind w:left="4332" w:hanging="360"/>
      </w:pPr>
    </w:lvl>
    <w:lvl w:ilvl="7" w:tplc="20000019" w:tentative="1">
      <w:start w:val="1"/>
      <w:numFmt w:val="lowerLetter"/>
      <w:lvlText w:val="%8."/>
      <w:lvlJc w:val="left"/>
      <w:pPr>
        <w:ind w:left="5052" w:hanging="360"/>
      </w:pPr>
    </w:lvl>
    <w:lvl w:ilvl="8" w:tplc="2000001B" w:tentative="1">
      <w:start w:val="1"/>
      <w:numFmt w:val="lowerRoman"/>
      <w:lvlText w:val="%9."/>
      <w:lvlJc w:val="right"/>
      <w:pPr>
        <w:ind w:left="5772" w:hanging="180"/>
      </w:pPr>
    </w:lvl>
  </w:abstractNum>
  <w:abstractNum w:abstractNumId="1" w15:restartNumberingAfterBreak="0">
    <w:nsid w:val="3BF85753"/>
    <w:multiLevelType w:val="hybridMultilevel"/>
    <w:tmpl w:val="1638B09E"/>
    <w:lvl w:ilvl="0" w:tplc="DA3E124E">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A83C8546">
      <w:start w:val="1"/>
      <w:numFmt w:val="lowerRoman"/>
      <w:lvlText w:val="%3."/>
      <w:lvlJc w:val="right"/>
      <w:pPr>
        <w:ind w:left="1418" w:hanging="284"/>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89099592">
    <w:abstractNumId w:val="1"/>
  </w:num>
  <w:num w:numId="2" w16cid:durableId="844594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CCB"/>
    <w:rsid w:val="00126F9D"/>
    <w:rsid w:val="003B1CCB"/>
    <w:rsid w:val="004A73EF"/>
    <w:rsid w:val="0072390E"/>
    <w:rsid w:val="009A18E9"/>
    <w:rsid w:val="00AB3C4E"/>
    <w:rsid w:val="00D27B7C"/>
    <w:rsid w:val="00EE09F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C6138"/>
  <w15:chartTrackingRefBased/>
  <w15:docId w15:val="{0D7183E4-BDA4-4264-A161-09F4CEF47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C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C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1C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C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C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C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C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C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C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C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1C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1C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C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C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C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C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C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CCB"/>
    <w:rPr>
      <w:rFonts w:eastAsiaTheme="majorEastAsia" w:cstheme="majorBidi"/>
      <w:color w:val="272727" w:themeColor="text1" w:themeTint="D8"/>
    </w:rPr>
  </w:style>
  <w:style w:type="paragraph" w:styleId="Title">
    <w:name w:val="Title"/>
    <w:basedOn w:val="Normal"/>
    <w:next w:val="Normal"/>
    <w:link w:val="TitleChar"/>
    <w:uiPriority w:val="10"/>
    <w:qFormat/>
    <w:rsid w:val="003B1C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C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C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C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CCB"/>
    <w:pPr>
      <w:spacing w:before="160"/>
      <w:jc w:val="center"/>
    </w:pPr>
    <w:rPr>
      <w:i/>
      <w:iCs/>
      <w:color w:val="404040" w:themeColor="text1" w:themeTint="BF"/>
    </w:rPr>
  </w:style>
  <w:style w:type="character" w:customStyle="1" w:styleId="QuoteChar">
    <w:name w:val="Quote Char"/>
    <w:basedOn w:val="DefaultParagraphFont"/>
    <w:link w:val="Quote"/>
    <w:uiPriority w:val="29"/>
    <w:rsid w:val="003B1CCB"/>
    <w:rPr>
      <w:i/>
      <w:iCs/>
      <w:color w:val="404040" w:themeColor="text1" w:themeTint="BF"/>
    </w:rPr>
  </w:style>
  <w:style w:type="paragraph" w:styleId="ListParagraph">
    <w:name w:val="List Paragraph"/>
    <w:basedOn w:val="Normal"/>
    <w:uiPriority w:val="34"/>
    <w:qFormat/>
    <w:rsid w:val="003B1CCB"/>
    <w:pPr>
      <w:ind w:left="720"/>
      <w:contextualSpacing/>
    </w:pPr>
  </w:style>
  <w:style w:type="character" w:styleId="IntenseEmphasis">
    <w:name w:val="Intense Emphasis"/>
    <w:basedOn w:val="DefaultParagraphFont"/>
    <w:uiPriority w:val="21"/>
    <w:qFormat/>
    <w:rsid w:val="003B1CCB"/>
    <w:rPr>
      <w:i/>
      <w:iCs/>
      <w:color w:val="0F4761" w:themeColor="accent1" w:themeShade="BF"/>
    </w:rPr>
  </w:style>
  <w:style w:type="paragraph" w:styleId="IntenseQuote">
    <w:name w:val="Intense Quote"/>
    <w:basedOn w:val="Normal"/>
    <w:next w:val="Normal"/>
    <w:link w:val="IntenseQuoteChar"/>
    <w:uiPriority w:val="30"/>
    <w:qFormat/>
    <w:rsid w:val="003B1C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CCB"/>
    <w:rPr>
      <w:i/>
      <w:iCs/>
      <w:color w:val="0F4761" w:themeColor="accent1" w:themeShade="BF"/>
    </w:rPr>
  </w:style>
  <w:style w:type="character" w:styleId="IntenseReference">
    <w:name w:val="Intense Reference"/>
    <w:basedOn w:val="DefaultParagraphFont"/>
    <w:uiPriority w:val="32"/>
    <w:qFormat/>
    <w:rsid w:val="003B1CCB"/>
    <w:rPr>
      <w:b/>
      <w:bCs/>
      <w:smallCaps/>
      <w:color w:val="0F4761" w:themeColor="accent1" w:themeShade="BF"/>
      <w:spacing w:val="5"/>
    </w:rPr>
  </w:style>
  <w:style w:type="paragraph" w:customStyle="1" w:styleId="goal-text">
    <w:name w:val="goal-text"/>
    <w:basedOn w:val="Normal"/>
    <w:rsid w:val="003B1CCB"/>
    <w:pPr>
      <w:spacing w:before="100" w:beforeAutospacing="1" w:after="100" w:afterAutospacing="1" w:line="240" w:lineRule="auto"/>
    </w:pPr>
    <w:rPr>
      <w:rFonts w:ascii="Times New Roman" w:eastAsia="Times New Roman" w:hAnsi="Times New Roman" w:cs="Times New Roman"/>
      <w:kern w:val="0"/>
      <w:lang w:val="en-NL"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295742">
      <w:bodyDiv w:val="1"/>
      <w:marLeft w:val="0"/>
      <w:marRight w:val="0"/>
      <w:marTop w:val="0"/>
      <w:marBottom w:val="0"/>
      <w:divBdr>
        <w:top w:val="none" w:sz="0" w:space="0" w:color="auto"/>
        <w:left w:val="none" w:sz="0" w:space="0" w:color="auto"/>
        <w:bottom w:val="none" w:sz="0" w:space="0" w:color="auto"/>
        <w:right w:val="none" w:sz="0" w:space="0" w:color="auto"/>
      </w:divBdr>
      <w:divsChild>
        <w:div w:id="1505630734">
          <w:marLeft w:val="0"/>
          <w:marRight w:val="0"/>
          <w:marTop w:val="0"/>
          <w:marBottom w:val="0"/>
          <w:divBdr>
            <w:top w:val="none" w:sz="0" w:space="0" w:color="auto"/>
            <w:left w:val="none" w:sz="0" w:space="0" w:color="auto"/>
            <w:bottom w:val="none" w:sz="0" w:space="0" w:color="auto"/>
            <w:right w:val="none" w:sz="0" w:space="0" w:color="auto"/>
          </w:divBdr>
          <w:divsChild>
            <w:div w:id="564877454">
              <w:marLeft w:val="0"/>
              <w:marRight w:val="0"/>
              <w:marTop w:val="0"/>
              <w:marBottom w:val="0"/>
              <w:divBdr>
                <w:top w:val="none" w:sz="0" w:space="0" w:color="auto"/>
                <w:left w:val="none" w:sz="0" w:space="0" w:color="auto"/>
                <w:bottom w:val="none" w:sz="0" w:space="0" w:color="auto"/>
                <w:right w:val="none" w:sz="0" w:space="0" w:color="auto"/>
              </w:divBdr>
              <w:divsChild>
                <w:div w:id="20561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539080">
      <w:bodyDiv w:val="1"/>
      <w:marLeft w:val="0"/>
      <w:marRight w:val="0"/>
      <w:marTop w:val="0"/>
      <w:marBottom w:val="0"/>
      <w:divBdr>
        <w:top w:val="none" w:sz="0" w:space="0" w:color="auto"/>
        <w:left w:val="none" w:sz="0" w:space="0" w:color="auto"/>
        <w:bottom w:val="none" w:sz="0" w:space="0" w:color="auto"/>
        <w:right w:val="none" w:sz="0" w:space="0" w:color="auto"/>
      </w:divBdr>
    </w:div>
    <w:div w:id="1288314707">
      <w:bodyDiv w:val="1"/>
      <w:marLeft w:val="0"/>
      <w:marRight w:val="0"/>
      <w:marTop w:val="0"/>
      <w:marBottom w:val="0"/>
      <w:divBdr>
        <w:top w:val="none" w:sz="0" w:space="0" w:color="auto"/>
        <w:left w:val="none" w:sz="0" w:space="0" w:color="auto"/>
        <w:bottom w:val="none" w:sz="0" w:space="0" w:color="auto"/>
        <w:right w:val="none" w:sz="0" w:space="0" w:color="auto"/>
      </w:divBdr>
    </w:div>
    <w:div w:id="1644307339">
      <w:bodyDiv w:val="1"/>
      <w:marLeft w:val="0"/>
      <w:marRight w:val="0"/>
      <w:marTop w:val="0"/>
      <w:marBottom w:val="0"/>
      <w:divBdr>
        <w:top w:val="none" w:sz="0" w:space="0" w:color="auto"/>
        <w:left w:val="none" w:sz="0" w:space="0" w:color="auto"/>
        <w:bottom w:val="none" w:sz="0" w:space="0" w:color="auto"/>
        <w:right w:val="none" w:sz="0" w:space="0" w:color="auto"/>
      </w:divBdr>
      <w:divsChild>
        <w:div w:id="816998907">
          <w:marLeft w:val="0"/>
          <w:marRight w:val="0"/>
          <w:marTop w:val="0"/>
          <w:marBottom w:val="0"/>
          <w:divBdr>
            <w:top w:val="none" w:sz="0" w:space="0" w:color="auto"/>
            <w:left w:val="none" w:sz="0" w:space="0" w:color="auto"/>
            <w:bottom w:val="none" w:sz="0" w:space="0" w:color="auto"/>
            <w:right w:val="none" w:sz="0" w:space="0" w:color="auto"/>
          </w:divBdr>
          <w:divsChild>
            <w:div w:id="253559259">
              <w:marLeft w:val="0"/>
              <w:marRight w:val="0"/>
              <w:marTop w:val="0"/>
              <w:marBottom w:val="0"/>
              <w:divBdr>
                <w:top w:val="none" w:sz="0" w:space="0" w:color="auto"/>
                <w:left w:val="none" w:sz="0" w:space="0" w:color="auto"/>
                <w:bottom w:val="none" w:sz="0" w:space="0" w:color="auto"/>
                <w:right w:val="none" w:sz="0" w:space="0" w:color="auto"/>
              </w:divBdr>
              <w:divsChild>
                <w:div w:id="16455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7983">
      <w:bodyDiv w:val="1"/>
      <w:marLeft w:val="0"/>
      <w:marRight w:val="0"/>
      <w:marTop w:val="0"/>
      <w:marBottom w:val="0"/>
      <w:divBdr>
        <w:top w:val="none" w:sz="0" w:space="0" w:color="auto"/>
        <w:left w:val="none" w:sz="0" w:space="0" w:color="auto"/>
        <w:bottom w:val="none" w:sz="0" w:space="0" w:color="auto"/>
        <w:right w:val="none" w:sz="0" w:space="0" w:color="auto"/>
      </w:divBdr>
    </w:div>
    <w:div w:id="190683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Márta, Beki</dc:creator>
  <cp:keywords/>
  <dc:description/>
  <cp:lastModifiedBy>Márta, Beki</cp:lastModifiedBy>
  <cp:revision>1</cp:revision>
  <dcterms:created xsi:type="dcterms:W3CDTF">2025-04-27T12:09:00Z</dcterms:created>
  <dcterms:modified xsi:type="dcterms:W3CDTF">2025-04-27T12:41:00Z</dcterms:modified>
</cp:coreProperties>
</file>