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66512" w14:textId="77777777" w:rsidR="00A90E00" w:rsidRPr="00A90E00" w:rsidRDefault="00A90E00" w:rsidP="00A90E00">
      <w:pPr>
        <w:pStyle w:val="Ttulo"/>
        <w:rPr>
          <w:rFonts w:eastAsia="Times New Roman"/>
          <w:u w:val="single"/>
        </w:rPr>
      </w:pPr>
      <w:r w:rsidRPr="00A90E00">
        <w:rPr>
          <w:rFonts w:eastAsia="Times New Roman"/>
          <w:u w:val="single"/>
        </w:rPr>
        <w:t>Actividad 2.2 - Análisis diagnóstico</w:t>
      </w:r>
    </w:p>
    <w:p w14:paraId="5DCC7B15" w14:textId="706FEAFB" w:rsidR="00524C3C" w:rsidRDefault="00524C3C" w:rsidP="00A90E00">
      <w:pPr>
        <w:rPr>
          <w:rFonts w:ascii="Arial" w:hAnsi="Arial" w:cs="Arial"/>
          <w:shd w:val="clear" w:color="auto" w:fill="F8F9FA"/>
        </w:rPr>
      </w:pPr>
    </w:p>
    <w:p w14:paraId="10968431" w14:textId="6D38BF3D" w:rsidR="00793194" w:rsidRDefault="006D2435" w:rsidP="00A90E00">
      <w:pPr>
        <w:rPr>
          <w:rFonts w:ascii="Arial" w:eastAsia="Times New Roman" w:hAnsi="Arial" w:cs="Arial"/>
          <w:b/>
          <w:bCs/>
          <w:color w:val="1D2125"/>
          <w:kern w:val="0"/>
          <w:lang w:eastAsia="es-ES"/>
          <w14:ligatures w14:val="none"/>
        </w:rPr>
      </w:pPr>
      <w:r>
        <w:rPr>
          <w:rFonts w:ascii="Arial" w:eastAsia="Times New Roman" w:hAnsi="Arial" w:cs="Arial"/>
          <w:b/>
          <w:bCs/>
          <w:color w:val="1D2125"/>
          <w:kern w:val="0"/>
          <w:lang w:eastAsia="es-ES"/>
          <w14:ligatures w14:val="none"/>
        </w:rPr>
        <w:t>Variables elegidas</w:t>
      </w:r>
    </w:p>
    <w:p w14:paraId="50F8A737" w14:textId="77777777" w:rsidR="006D2435" w:rsidRPr="009C2558" w:rsidRDefault="006D2435" w:rsidP="006D2435">
      <w:pPr>
        <w:pStyle w:val="NormalWeb"/>
        <w:rPr>
          <w:rFonts w:ascii="Arial" w:hAnsi="Arial" w:cs="Arial"/>
          <w:color w:val="1D2125"/>
          <w:sz w:val="22"/>
          <w:szCs w:val="22"/>
        </w:rPr>
      </w:pPr>
      <w:r w:rsidRPr="009C2558">
        <w:rPr>
          <w:rFonts w:ascii="Arial" w:hAnsi="Arial" w:cs="Arial"/>
          <w:color w:val="1D2125"/>
          <w:sz w:val="22"/>
          <w:szCs w:val="22"/>
        </w:rPr>
        <w:t>Para este análisis se han seleccionado datos oficiales del Instituto Nacional de Estadística (INE) desglosados por Comunidad Autónoma, con el objetivo de entender qué impulsa el gasto público en educación:</w:t>
      </w:r>
    </w:p>
    <w:p w14:paraId="6E33C91C" w14:textId="77777777" w:rsidR="006D2435" w:rsidRPr="009C2558" w:rsidRDefault="006D2435" w:rsidP="006D2435">
      <w:pPr>
        <w:pStyle w:val="NormalWeb"/>
        <w:numPr>
          <w:ilvl w:val="0"/>
          <w:numId w:val="2"/>
        </w:numPr>
        <w:rPr>
          <w:rFonts w:ascii="Arial" w:hAnsi="Arial" w:cs="Arial"/>
          <w:color w:val="1D2125"/>
          <w:sz w:val="22"/>
          <w:szCs w:val="22"/>
        </w:rPr>
      </w:pPr>
      <w:r w:rsidRPr="009C2558">
        <w:rPr>
          <w:rFonts w:ascii="Arial" w:hAnsi="Arial" w:cs="Arial"/>
          <w:color w:val="1D2125"/>
          <w:sz w:val="22"/>
          <w:szCs w:val="22"/>
        </w:rPr>
        <w:t>Variable Independiente ($X$): Número de estudiantes (Alumnado matriculado en centros de enseñanza por región).</w:t>
      </w:r>
    </w:p>
    <w:p w14:paraId="53B73919" w14:textId="77777777" w:rsidR="006D2435" w:rsidRPr="009C2558" w:rsidRDefault="006D2435" w:rsidP="006D2435">
      <w:pPr>
        <w:pStyle w:val="NormalWeb"/>
        <w:numPr>
          <w:ilvl w:val="0"/>
          <w:numId w:val="2"/>
        </w:numPr>
        <w:rPr>
          <w:rFonts w:ascii="Arial" w:hAnsi="Arial" w:cs="Arial"/>
          <w:color w:val="1D2125"/>
          <w:sz w:val="22"/>
          <w:szCs w:val="22"/>
        </w:rPr>
      </w:pPr>
      <w:r w:rsidRPr="009C2558">
        <w:rPr>
          <w:rFonts w:ascii="Arial" w:hAnsi="Arial" w:cs="Arial"/>
          <w:color w:val="1D2125"/>
          <w:sz w:val="22"/>
          <w:szCs w:val="22"/>
        </w:rPr>
        <w:t>Variable Dependiente ($Y$): Gasto Total (Presupuesto total liquidado en euros por cada Comunidad Autónoma).</w:t>
      </w:r>
    </w:p>
    <w:p w14:paraId="37164CB9" w14:textId="77777777" w:rsidR="006D2435" w:rsidRPr="009C2558" w:rsidRDefault="006D2435" w:rsidP="006D2435">
      <w:pPr>
        <w:pStyle w:val="NormalWeb"/>
        <w:numPr>
          <w:ilvl w:val="0"/>
          <w:numId w:val="2"/>
        </w:numPr>
        <w:rPr>
          <w:rFonts w:ascii="Arial" w:hAnsi="Arial" w:cs="Arial"/>
          <w:color w:val="1D2125"/>
          <w:sz w:val="22"/>
          <w:szCs w:val="22"/>
        </w:rPr>
      </w:pPr>
      <w:r w:rsidRPr="009C2558">
        <w:rPr>
          <w:rFonts w:ascii="Arial" w:hAnsi="Arial" w:cs="Arial"/>
          <w:color w:val="1D2125"/>
          <w:sz w:val="22"/>
          <w:szCs w:val="22"/>
        </w:rPr>
        <w:t>Variable de Control (Drill-</w:t>
      </w:r>
      <w:proofErr w:type="spellStart"/>
      <w:r w:rsidRPr="009C2558">
        <w:rPr>
          <w:rFonts w:ascii="Arial" w:hAnsi="Arial" w:cs="Arial"/>
          <w:color w:val="1D2125"/>
          <w:sz w:val="22"/>
          <w:szCs w:val="22"/>
        </w:rPr>
        <w:t>down</w:t>
      </w:r>
      <w:proofErr w:type="spellEnd"/>
      <w:r w:rsidRPr="009C2558">
        <w:rPr>
          <w:rFonts w:ascii="Arial" w:hAnsi="Arial" w:cs="Arial"/>
          <w:color w:val="1D2125"/>
          <w:sz w:val="22"/>
          <w:szCs w:val="22"/>
        </w:rPr>
        <w:t>): Comunidad Autónoma (CCAA).</w:t>
      </w:r>
    </w:p>
    <w:p w14:paraId="47B9BF75" w14:textId="77777777" w:rsidR="006D2435" w:rsidRDefault="006D2435" w:rsidP="006D2435">
      <w:pPr>
        <w:spacing w:after="0" w:line="240" w:lineRule="auto"/>
        <w:rPr>
          <w:rFonts w:ascii="Arial" w:eastAsia="Times New Roman" w:hAnsi="Arial" w:cs="Arial"/>
          <w:color w:val="1D2125"/>
          <w:kern w:val="0"/>
          <w:lang w:eastAsia="es-ES"/>
          <w14:ligatures w14:val="none"/>
        </w:rPr>
      </w:pPr>
      <w:r>
        <w:rPr>
          <w:rFonts w:ascii="Arial" w:eastAsia="Times New Roman" w:hAnsi="Arial" w:cs="Arial"/>
          <w:b/>
          <w:bCs/>
          <w:color w:val="1D2125"/>
          <w:kern w:val="0"/>
          <w:lang w:eastAsia="es-ES"/>
          <w14:ligatures w14:val="none"/>
        </w:rPr>
        <w:t xml:space="preserve">Fuente: </w:t>
      </w:r>
      <w:hyperlink r:id="rId7" w:history="1">
        <w:r w:rsidRPr="002E1B08">
          <w:rPr>
            <w:rStyle w:val="Hipervnculo"/>
            <w:rFonts w:ascii="Arial" w:eastAsia="Times New Roman" w:hAnsi="Arial" w:cs="Arial"/>
            <w:kern w:val="0"/>
            <w:lang w:eastAsia="es-ES"/>
            <w14:ligatures w14:val="none"/>
          </w:rPr>
          <w:t>https://www.ine.es/jaxi/Tabla.htm?tpx=77442</w:t>
        </w:r>
      </w:hyperlink>
      <w:r>
        <w:rPr>
          <w:rFonts w:ascii="Arial" w:eastAsia="Times New Roman" w:hAnsi="Arial" w:cs="Arial"/>
          <w:color w:val="1D2125"/>
          <w:kern w:val="0"/>
          <w:lang w:eastAsia="es-ES"/>
          <w14:ligatures w14:val="none"/>
        </w:rPr>
        <w:t xml:space="preserve"> </w:t>
      </w:r>
    </w:p>
    <w:p w14:paraId="79F40B64" w14:textId="0885A3E1" w:rsidR="006D2435" w:rsidRDefault="006D2435" w:rsidP="00A90E00">
      <w:pPr>
        <w:rPr>
          <w:rFonts w:ascii="Arial" w:hAnsi="Arial" w:cs="Arial"/>
        </w:rPr>
      </w:pPr>
    </w:p>
    <w:p w14:paraId="09ECB21A" w14:textId="4F0C35AC" w:rsidR="006D2435" w:rsidRDefault="006D2435" w:rsidP="00A90E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Gráfico:</w:t>
      </w:r>
    </w:p>
    <w:p w14:paraId="2273EB84" w14:textId="696221C4" w:rsidR="006D2435" w:rsidRDefault="006D2435" w:rsidP="00A90E00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666D15CC" wp14:editId="6FC149F0">
            <wp:extent cx="5400040" cy="38569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651B0" w14:textId="03D1B3E2" w:rsidR="006D2435" w:rsidRDefault="006D2435" w:rsidP="00A90E00">
      <w:pPr>
        <w:rPr>
          <w:rFonts w:ascii="Arial" w:hAnsi="Arial" w:cs="Arial"/>
          <w:b/>
          <w:bCs/>
        </w:rPr>
      </w:pPr>
    </w:p>
    <w:p w14:paraId="1EEE919C" w14:textId="6355A70D" w:rsidR="006D2435" w:rsidRDefault="006D2435" w:rsidP="00A90E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Conclusión</w:t>
      </w:r>
    </w:p>
    <w:p w14:paraId="3C3B4E1E" w14:textId="77777777" w:rsidR="006D2435" w:rsidRPr="009C2558" w:rsidRDefault="006D2435" w:rsidP="006D2435">
      <w:pPr>
        <w:pStyle w:val="NormalWeb"/>
        <w:rPr>
          <w:rFonts w:ascii="Arial" w:hAnsi="Arial" w:cs="Arial"/>
          <w:color w:val="1D2125"/>
          <w:sz w:val="22"/>
          <w:szCs w:val="22"/>
        </w:rPr>
      </w:pPr>
      <w:r w:rsidRPr="009C2558">
        <w:rPr>
          <w:rFonts w:ascii="Arial" w:hAnsi="Arial" w:cs="Arial"/>
          <w:color w:val="1D2125"/>
          <w:sz w:val="22"/>
          <w:szCs w:val="22"/>
        </w:rPr>
        <w:t>Tras procesar los datos y ejecutar el modelo de regresión lineal en R, los resultados son los siguientes:</w:t>
      </w:r>
    </w:p>
    <w:p w14:paraId="4A30AE5D" w14:textId="5B4C19C1" w:rsidR="006D2435" w:rsidRPr="009C2558" w:rsidRDefault="006D2435" w:rsidP="006D2435">
      <w:pPr>
        <w:pStyle w:val="NormalWeb"/>
        <w:rPr>
          <w:rFonts w:ascii="Arial" w:hAnsi="Arial" w:cs="Arial"/>
          <w:color w:val="1D2125"/>
          <w:sz w:val="22"/>
          <w:szCs w:val="22"/>
        </w:rPr>
      </w:pPr>
      <w:r w:rsidRPr="009C2558">
        <w:rPr>
          <w:rFonts w:ascii="Arial" w:hAnsi="Arial" w:cs="Arial"/>
          <w:color w:val="1D2125"/>
          <w:sz w:val="22"/>
          <w:szCs w:val="22"/>
        </w:rPr>
        <w:lastRenderedPageBreak/>
        <w:t xml:space="preserve">"Se ha obtenido un $R^2$ de 0.9438 (94,38%). Este valor es </w:t>
      </w:r>
      <w:r w:rsidR="009C2558">
        <w:rPr>
          <w:rFonts w:ascii="Arial" w:hAnsi="Arial" w:cs="Arial"/>
          <w:color w:val="1D2125"/>
          <w:sz w:val="22"/>
          <w:szCs w:val="22"/>
        </w:rPr>
        <w:t>muy</w:t>
      </w:r>
      <w:r w:rsidRPr="009C2558">
        <w:rPr>
          <w:rFonts w:ascii="Arial" w:hAnsi="Arial" w:cs="Arial"/>
          <w:color w:val="1D2125"/>
          <w:sz w:val="22"/>
          <w:szCs w:val="22"/>
        </w:rPr>
        <w:t xml:space="preserve"> alto e indica que el número de estudiantes explica casi la totalidad de la variación del gasto educativo entre las distintas regiones de España.</w:t>
      </w:r>
    </w:p>
    <w:p w14:paraId="489DFAFA" w14:textId="7182EA88" w:rsidR="006D2435" w:rsidRPr="009C2558" w:rsidRDefault="006D2435" w:rsidP="006D2435">
      <w:pPr>
        <w:pStyle w:val="NormalWeb"/>
        <w:rPr>
          <w:rFonts w:ascii="Arial" w:hAnsi="Arial" w:cs="Arial"/>
          <w:color w:val="1D2125"/>
          <w:sz w:val="22"/>
          <w:szCs w:val="22"/>
        </w:rPr>
      </w:pPr>
      <w:r w:rsidRPr="009C2558">
        <w:rPr>
          <w:rFonts w:ascii="Arial" w:hAnsi="Arial" w:cs="Arial"/>
          <w:b/>
          <w:bCs/>
          <w:i/>
          <w:iCs/>
          <w:color w:val="1D2125"/>
          <w:sz w:val="22"/>
          <w:szCs w:val="22"/>
          <w:u w:val="single"/>
        </w:rPr>
        <w:t>Interpretación:</w:t>
      </w:r>
      <w:r w:rsidRPr="009C2558">
        <w:rPr>
          <w:rFonts w:ascii="Arial" w:hAnsi="Arial" w:cs="Arial"/>
          <w:color w:val="1D2125"/>
          <w:sz w:val="22"/>
          <w:szCs w:val="22"/>
        </w:rPr>
        <w:t xml:space="preserve"> El diagnóstico confirma que el volumen demográfico escolar es el factor determinante ('driver') del presupuesto. Sin embargo, dado que el $R^2$ no es 1.0, existe un pequeño margen (aprox. </w:t>
      </w:r>
      <w:r w:rsidR="009C2558">
        <w:rPr>
          <w:rFonts w:ascii="Arial" w:hAnsi="Arial" w:cs="Arial"/>
          <w:color w:val="1D2125"/>
          <w:sz w:val="22"/>
          <w:szCs w:val="22"/>
        </w:rPr>
        <w:t>2</w:t>
      </w:r>
      <w:r w:rsidRPr="009C2558">
        <w:rPr>
          <w:rFonts w:ascii="Arial" w:hAnsi="Arial" w:cs="Arial"/>
          <w:color w:val="1D2125"/>
          <w:sz w:val="22"/>
          <w:szCs w:val="22"/>
        </w:rPr>
        <w:t>,</w:t>
      </w:r>
      <w:r w:rsidR="009C2558">
        <w:rPr>
          <w:rFonts w:ascii="Arial" w:hAnsi="Arial" w:cs="Arial"/>
          <w:color w:val="1D2125"/>
          <w:sz w:val="22"/>
          <w:szCs w:val="22"/>
        </w:rPr>
        <w:t>9</w:t>
      </w:r>
      <w:r w:rsidRPr="009C2558">
        <w:rPr>
          <w:rFonts w:ascii="Arial" w:hAnsi="Arial" w:cs="Arial"/>
          <w:color w:val="1D2125"/>
          <w:sz w:val="22"/>
          <w:szCs w:val="22"/>
        </w:rPr>
        <w:t>%) que no depende de la cantidad de alumnos, sino de otras causas como el Gasto Medio por Estudiante, donde regiones como el País Vasco o Cataluña muestran una inversión por cabeza superior a la media, alejándose ligeramente de la línea de predicción."</w:t>
      </w:r>
    </w:p>
    <w:p w14:paraId="67F688F1" w14:textId="77777777" w:rsidR="006D2435" w:rsidRPr="006D2435" w:rsidRDefault="006D2435" w:rsidP="00A90E00">
      <w:pPr>
        <w:rPr>
          <w:rFonts w:ascii="Arial" w:hAnsi="Arial" w:cs="Arial"/>
          <w:b/>
          <w:bCs/>
        </w:rPr>
      </w:pPr>
    </w:p>
    <w:sectPr w:rsidR="006D2435" w:rsidRPr="006D243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F4899" w14:textId="77777777" w:rsidR="00A30A38" w:rsidRDefault="00A30A38" w:rsidP="009C2558">
      <w:pPr>
        <w:spacing w:after="0" w:line="240" w:lineRule="auto"/>
      </w:pPr>
      <w:r>
        <w:separator/>
      </w:r>
    </w:p>
  </w:endnote>
  <w:endnote w:type="continuationSeparator" w:id="0">
    <w:p w14:paraId="61441A6D" w14:textId="77777777" w:rsidR="00A30A38" w:rsidRDefault="00A30A38" w:rsidP="009C2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D748A" w14:textId="77777777" w:rsidR="009C2558" w:rsidRDefault="009C255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24104" w14:textId="77777777" w:rsidR="009C2558" w:rsidRDefault="009C255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03404" w14:textId="77777777" w:rsidR="009C2558" w:rsidRDefault="009C255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A0F3B7" w14:textId="77777777" w:rsidR="00A30A38" w:rsidRDefault="00A30A38" w:rsidP="009C2558">
      <w:pPr>
        <w:spacing w:after="0" w:line="240" w:lineRule="auto"/>
      </w:pPr>
      <w:r>
        <w:separator/>
      </w:r>
    </w:p>
  </w:footnote>
  <w:footnote w:type="continuationSeparator" w:id="0">
    <w:p w14:paraId="7893D814" w14:textId="77777777" w:rsidR="00A30A38" w:rsidRDefault="00A30A38" w:rsidP="009C25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3221B" w14:textId="77777777" w:rsidR="009C2558" w:rsidRDefault="009C255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86562" w14:textId="205AB1C6" w:rsidR="009C2558" w:rsidRPr="009C2558" w:rsidRDefault="009C2558" w:rsidP="009C2558">
    <w:pPr>
      <w:pStyle w:val="Encabezado"/>
      <w:jc w:val="right"/>
      <w:rPr>
        <w:b/>
        <w:bCs/>
      </w:rPr>
    </w:pPr>
    <w:r w:rsidRPr="009C2558">
      <w:rPr>
        <w:b/>
        <w:bCs/>
      </w:rPr>
      <w:t>Alejandro Bernabé Guerrero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F66C3" w14:textId="77777777" w:rsidR="009C2558" w:rsidRDefault="009C255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5EA3"/>
    <w:multiLevelType w:val="multilevel"/>
    <w:tmpl w:val="B802B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CD22DC"/>
    <w:multiLevelType w:val="multilevel"/>
    <w:tmpl w:val="05A4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54E"/>
    <w:rsid w:val="003B6B5E"/>
    <w:rsid w:val="00524C3C"/>
    <w:rsid w:val="005879A9"/>
    <w:rsid w:val="006C34C8"/>
    <w:rsid w:val="006D2435"/>
    <w:rsid w:val="00793194"/>
    <w:rsid w:val="009A354E"/>
    <w:rsid w:val="009C2558"/>
    <w:rsid w:val="009E40F9"/>
    <w:rsid w:val="00A30A38"/>
    <w:rsid w:val="00A90E00"/>
    <w:rsid w:val="00B72F8C"/>
    <w:rsid w:val="00BB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CDBBF"/>
  <w15:chartTrackingRefBased/>
  <w15:docId w15:val="{3C765FD9-F881-4FF0-8B43-A704E0162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90E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24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0E0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A90E0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extoennegrita">
    <w:name w:val="Strong"/>
    <w:basedOn w:val="Fuentedeprrafopredeter"/>
    <w:uiPriority w:val="22"/>
    <w:qFormat/>
    <w:rsid w:val="00A90E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93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math-inline">
    <w:name w:val="math-inline"/>
    <w:basedOn w:val="Fuentedeprrafopredeter"/>
    <w:rsid w:val="00793194"/>
  </w:style>
  <w:style w:type="character" w:styleId="Hipervnculo">
    <w:name w:val="Hyperlink"/>
    <w:basedOn w:val="Fuentedeprrafopredeter"/>
    <w:uiPriority w:val="99"/>
    <w:unhideWhenUsed/>
    <w:rsid w:val="006C34C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34C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C34C8"/>
    <w:rPr>
      <w:color w:val="96607D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2435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9C25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2558"/>
  </w:style>
  <w:style w:type="paragraph" w:styleId="Piedepgina">
    <w:name w:val="footer"/>
    <w:basedOn w:val="Normal"/>
    <w:link w:val="PiedepginaCar"/>
    <w:uiPriority w:val="99"/>
    <w:unhideWhenUsed/>
    <w:rsid w:val="009C25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25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8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4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www.ine.es/jaxi/Tabla.htm?tpx=77442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1062</TotalTime>
  <Pages>2</Pages>
  <Words>223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Bernabe Guerrero</dc:creator>
  <cp:keywords/>
  <dc:description/>
  <cp:lastModifiedBy>Alejandro Bernabe Guerrero</cp:lastModifiedBy>
  <cp:revision>5</cp:revision>
  <dcterms:created xsi:type="dcterms:W3CDTF">2026-01-12T17:35:00Z</dcterms:created>
  <dcterms:modified xsi:type="dcterms:W3CDTF">2026-03-03T08:53:00Z</dcterms:modified>
</cp:coreProperties>
</file>