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D57B3" w14:textId="4C9D1785" w:rsidR="008740EA" w:rsidRDefault="008740EA" w:rsidP="008740EA">
      <w:pPr>
        <w:pStyle w:val="Ttulo"/>
        <w:rPr>
          <w:rFonts w:eastAsia="Times New Roman"/>
          <w:lang w:eastAsia="es-ES"/>
        </w:rPr>
      </w:pPr>
      <w:r w:rsidRPr="008740EA">
        <w:rPr>
          <w:rFonts w:eastAsia="Times New Roman"/>
          <w:lang w:eastAsia="es-ES"/>
        </w:rPr>
        <w:t>Actividad 1.9 - Costes CPD</w:t>
      </w:r>
    </w:p>
    <w:p w14:paraId="419C31B1" w14:textId="202B2E1E" w:rsidR="008740EA" w:rsidRDefault="008740EA" w:rsidP="008740EA">
      <w:pPr>
        <w:rPr>
          <w:lang w:eastAsia="es-ES"/>
        </w:rPr>
      </w:pPr>
    </w:p>
    <w:p w14:paraId="745FEB64" w14:textId="6CE8C492" w:rsidR="008740EA" w:rsidRDefault="008740EA" w:rsidP="008740EA">
      <w:pPr>
        <w:pStyle w:val="Ttulo2"/>
        <w:rPr>
          <w:rFonts w:eastAsia="Times New Roman"/>
          <w:lang w:eastAsia="es-ES"/>
        </w:rPr>
      </w:pPr>
      <w:r w:rsidRPr="008740EA">
        <w:rPr>
          <w:rFonts w:eastAsia="Times New Roman"/>
          <w:lang w:eastAsia="es-ES"/>
        </w:rPr>
        <w:t>Paso 1: Tomar como referencia las tecnologías usadas en Actividad 1.8.</w:t>
      </w:r>
    </w:p>
    <w:p w14:paraId="0FAF97D4" w14:textId="77777777" w:rsidR="00914C73" w:rsidRPr="00311FAA" w:rsidRDefault="00914C73" w:rsidP="00914C73">
      <w:pPr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sz w:val="20"/>
          <w:szCs w:val="20"/>
        </w:rPr>
        <w:t xml:space="preserve">Para replicar la infraestructura de la </w:t>
      </w:r>
      <w:r w:rsidRPr="00311FAA">
        <w:rPr>
          <w:rFonts w:ascii="Arial" w:hAnsi="Arial" w:cs="Arial"/>
          <w:b/>
          <w:bCs/>
          <w:sz w:val="20"/>
          <w:szCs w:val="20"/>
        </w:rPr>
        <w:t>Actividad 1.8</w:t>
      </w:r>
      <w:r w:rsidRPr="00311FAA">
        <w:rPr>
          <w:rFonts w:ascii="Arial" w:hAnsi="Arial" w:cs="Arial"/>
          <w:sz w:val="20"/>
          <w:szCs w:val="20"/>
        </w:rPr>
        <w:t xml:space="preserve"> en un entorno físico, tomamos como referencia el entorno virtual que definimos previamente: una capacidad de gestión de </w:t>
      </w:r>
      <w:r w:rsidRPr="00311FAA">
        <w:rPr>
          <w:rFonts w:ascii="Arial" w:hAnsi="Arial" w:cs="Arial"/>
          <w:b/>
          <w:bCs/>
          <w:sz w:val="20"/>
          <w:szCs w:val="20"/>
        </w:rPr>
        <w:t>50 GB de ingesta diaria</w:t>
      </w:r>
      <w:r w:rsidRPr="00311FAA">
        <w:rPr>
          <w:rFonts w:ascii="Arial" w:hAnsi="Arial" w:cs="Arial"/>
          <w:sz w:val="20"/>
          <w:szCs w:val="20"/>
        </w:rPr>
        <w:t xml:space="preserve"> y un histórico de </w:t>
      </w:r>
      <w:r w:rsidRPr="00311FAA">
        <w:rPr>
          <w:rFonts w:ascii="Arial" w:hAnsi="Arial" w:cs="Arial"/>
          <w:b/>
          <w:bCs/>
          <w:sz w:val="20"/>
          <w:szCs w:val="20"/>
        </w:rPr>
        <w:t>2 TB</w:t>
      </w:r>
      <w:r w:rsidRPr="00311FAA">
        <w:rPr>
          <w:rFonts w:ascii="Arial" w:hAnsi="Arial" w:cs="Arial"/>
          <w:sz w:val="20"/>
          <w:szCs w:val="20"/>
        </w:rPr>
        <w:t>. Sin embargo, para la solución física (</w:t>
      </w:r>
      <w:proofErr w:type="spellStart"/>
      <w:r w:rsidRPr="00311FAA">
        <w:rPr>
          <w:rFonts w:ascii="Arial" w:hAnsi="Arial" w:cs="Arial"/>
          <w:sz w:val="20"/>
          <w:szCs w:val="20"/>
        </w:rPr>
        <w:t>On</w:t>
      </w:r>
      <w:proofErr w:type="spellEnd"/>
      <w:r w:rsidRPr="00311FAA">
        <w:rPr>
          <w:rFonts w:ascii="Arial" w:hAnsi="Arial" w:cs="Arial"/>
          <w:sz w:val="20"/>
          <w:szCs w:val="20"/>
        </w:rPr>
        <w:t>-Premise), hemos optimizado los requisitos para garantizar un ciclo de vida de al menos 3 años y un rendimiento superior:</w:t>
      </w:r>
    </w:p>
    <w:p w14:paraId="5E6066BF" w14:textId="77777777" w:rsidR="00914C73" w:rsidRPr="00311FAA" w:rsidRDefault="00914C73" w:rsidP="00914C73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b/>
          <w:bCs/>
          <w:sz w:val="20"/>
          <w:szCs w:val="20"/>
        </w:rPr>
        <w:t>Computación (</w:t>
      </w:r>
      <w:proofErr w:type="spellStart"/>
      <w:r w:rsidRPr="00311FAA">
        <w:rPr>
          <w:rFonts w:ascii="Arial" w:hAnsi="Arial" w:cs="Arial"/>
          <w:b/>
          <w:bCs/>
          <w:sz w:val="20"/>
          <w:szCs w:val="20"/>
        </w:rPr>
        <w:t>CPUs</w:t>
      </w:r>
      <w:proofErr w:type="spellEnd"/>
      <w:r w:rsidRPr="00311FAA">
        <w:rPr>
          <w:rFonts w:ascii="Arial" w:hAnsi="Arial" w:cs="Arial"/>
          <w:b/>
          <w:bCs/>
          <w:sz w:val="20"/>
          <w:szCs w:val="20"/>
        </w:rPr>
        <w:t xml:space="preserve"> Físicas):</w:t>
      </w:r>
      <w:r w:rsidRPr="00311FAA">
        <w:rPr>
          <w:rFonts w:ascii="Arial" w:hAnsi="Arial" w:cs="Arial"/>
          <w:sz w:val="20"/>
          <w:szCs w:val="20"/>
        </w:rPr>
        <w:t xml:space="preserve"> Pasamos de un clúster virtual de 16-24 </w:t>
      </w:r>
      <w:proofErr w:type="spellStart"/>
      <w:r w:rsidRPr="00311FAA">
        <w:rPr>
          <w:rFonts w:ascii="Arial" w:hAnsi="Arial" w:cs="Arial"/>
          <w:sz w:val="20"/>
          <w:szCs w:val="20"/>
        </w:rPr>
        <w:t>vCPUs</w:t>
      </w:r>
      <w:proofErr w:type="spellEnd"/>
      <w:r w:rsidRPr="00311FAA">
        <w:rPr>
          <w:rFonts w:ascii="Arial" w:hAnsi="Arial" w:cs="Arial"/>
          <w:sz w:val="20"/>
          <w:szCs w:val="20"/>
        </w:rPr>
        <w:t xml:space="preserve"> a una arquitectura de </w:t>
      </w:r>
      <w:r w:rsidRPr="00311FAA">
        <w:rPr>
          <w:rFonts w:ascii="Arial" w:hAnsi="Arial" w:cs="Arial"/>
          <w:b/>
          <w:bCs/>
          <w:sz w:val="20"/>
          <w:szCs w:val="20"/>
        </w:rPr>
        <w:t>doble socket (2 sockets)</w:t>
      </w:r>
      <w:r w:rsidRPr="00311FAA">
        <w:rPr>
          <w:rFonts w:ascii="Arial" w:hAnsi="Arial" w:cs="Arial"/>
          <w:sz w:val="20"/>
          <w:szCs w:val="20"/>
        </w:rPr>
        <w:t xml:space="preserve">. Utilizaremos dos procesadores físicos de última generación (Intel Xeon </w:t>
      </w:r>
      <w:proofErr w:type="spellStart"/>
      <w:r w:rsidRPr="00311FAA">
        <w:rPr>
          <w:rFonts w:ascii="Arial" w:hAnsi="Arial" w:cs="Arial"/>
          <w:sz w:val="20"/>
          <w:szCs w:val="20"/>
        </w:rPr>
        <w:t>Scalable</w:t>
      </w:r>
      <w:proofErr w:type="spellEnd"/>
      <w:r w:rsidRPr="00311FAA">
        <w:rPr>
          <w:rFonts w:ascii="Arial" w:hAnsi="Arial" w:cs="Arial"/>
          <w:sz w:val="20"/>
          <w:szCs w:val="20"/>
        </w:rPr>
        <w:t xml:space="preserve"> o similares) para obtener núcleos reales dedicados, eliminando la latencia de la virtualización y duplicando el ancho de banda de comunicación.</w:t>
      </w:r>
    </w:p>
    <w:p w14:paraId="33529936" w14:textId="77777777" w:rsidR="00914C73" w:rsidRPr="00311FAA" w:rsidRDefault="00914C73" w:rsidP="00914C73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b/>
          <w:bCs/>
          <w:sz w:val="20"/>
          <w:szCs w:val="20"/>
        </w:rPr>
        <w:t>Memoria RAM:</w:t>
      </w:r>
      <w:r w:rsidRPr="00311FAA">
        <w:rPr>
          <w:rFonts w:ascii="Arial" w:hAnsi="Arial" w:cs="Arial"/>
          <w:sz w:val="20"/>
          <w:szCs w:val="20"/>
        </w:rPr>
        <w:t xml:space="preserve"> Mantenemos el objetivo de </w:t>
      </w:r>
      <w:r w:rsidRPr="00311FAA">
        <w:rPr>
          <w:rFonts w:ascii="Arial" w:hAnsi="Arial" w:cs="Arial"/>
          <w:b/>
          <w:bCs/>
          <w:sz w:val="20"/>
          <w:szCs w:val="20"/>
        </w:rPr>
        <w:t>128 GB de RAM</w:t>
      </w:r>
      <w:r w:rsidRPr="00311FAA">
        <w:rPr>
          <w:rFonts w:ascii="Arial" w:hAnsi="Arial" w:cs="Arial"/>
          <w:sz w:val="20"/>
          <w:szCs w:val="20"/>
        </w:rPr>
        <w:t xml:space="preserve">, pero actualizamos a tecnología </w:t>
      </w:r>
      <w:r w:rsidRPr="00311FAA">
        <w:rPr>
          <w:rFonts w:ascii="Arial" w:hAnsi="Arial" w:cs="Arial"/>
          <w:b/>
          <w:bCs/>
          <w:sz w:val="20"/>
          <w:szCs w:val="20"/>
        </w:rPr>
        <w:t>DDR5 ECC</w:t>
      </w:r>
      <w:r w:rsidRPr="00311FAA">
        <w:rPr>
          <w:rFonts w:ascii="Arial" w:hAnsi="Arial" w:cs="Arial"/>
          <w:sz w:val="20"/>
          <w:szCs w:val="20"/>
        </w:rPr>
        <w:t xml:space="preserve"> (Error </w:t>
      </w:r>
      <w:proofErr w:type="spellStart"/>
      <w:r w:rsidRPr="00311FAA">
        <w:rPr>
          <w:rFonts w:ascii="Arial" w:hAnsi="Arial" w:cs="Arial"/>
          <w:sz w:val="20"/>
          <w:szCs w:val="20"/>
        </w:rPr>
        <w:t>Correcting</w:t>
      </w:r>
      <w:proofErr w:type="spellEnd"/>
      <w:r w:rsidRPr="00311FA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11FAA">
        <w:rPr>
          <w:rFonts w:ascii="Arial" w:hAnsi="Arial" w:cs="Arial"/>
          <w:sz w:val="20"/>
          <w:szCs w:val="20"/>
        </w:rPr>
        <w:t>Code</w:t>
      </w:r>
      <w:proofErr w:type="spellEnd"/>
      <w:r w:rsidRPr="00311FAA">
        <w:rPr>
          <w:rFonts w:ascii="Arial" w:hAnsi="Arial" w:cs="Arial"/>
          <w:sz w:val="20"/>
          <w:szCs w:val="20"/>
        </w:rPr>
        <w:t xml:space="preserve">). Esta memoria es significativamente más rápida que la de la práctica anterior y es vital para procesos de Big Data en memoria (como Apache </w:t>
      </w:r>
      <w:proofErr w:type="spellStart"/>
      <w:r w:rsidRPr="00311FAA">
        <w:rPr>
          <w:rFonts w:ascii="Arial" w:hAnsi="Arial" w:cs="Arial"/>
          <w:sz w:val="20"/>
          <w:szCs w:val="20"/>
        </w:rPr>
        <w:t>Spark</w:t>
      </w:r>
      <w:proofErr w:type="spellEnd"/>
      <w:r w:rsidRPr="00311FAA">
        <w:rPr>
          <w:rFonts w:ascii="Arial" w:hAnsi="Arial" w:cs="Arial"/>
          <w:sz w:val="20"/>
          <w:szCs w:val="20"/>
        </w:rPr>
        <w:t>), ya que detecta y corrige errores automáticamente, evitando caídas del sistema.</w:t>
      </w:r>
    </w:p>
    <w:p w14:paraId="02CC6EB5" w14:textId="77777777" w:rsidR="00914C73" w:rsidRPr="00311FAA" w:rsidRDefault="00914C73" w:rsidP="00914C73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b/>
          <w:bCs/>
          <w:sz w:val="20"/>
          <w:szCs w:val="20"/>
        </w:rPr>
        <w:t>Almacenamiento (Redundancia Enterprise):</w:t>
      </w:r>
      <w:r w:rsidRPr="00311FAA">
        <w:rPr>
          <w:rFonts w:ascii="Arial" w:hAnsi="Arial" w:cs="Arial"/>
          <w:sz w:val="20"/>
          <w:szCs w:val="20"/>
        </w:rPr>
        <w:t xml:space="preserve"> Aunque el uso base eran 2 TB, para el servidor físico el objetivo sube a </w:t>
      </w:r>
      <w:r w:rsidRPr="00311FAA">
        <w:rPr>
          <w:rFonts w:ascii="Arial" w:hAnsi="Arial" w:cs="Arial"/>
          <w:b/>
          <w:bCs/>
          <w:sz w:val="20"/>
          <w:szCs w:val="20"/>
        </w:rPr>
        <w:t>24 TB de capacidad bruta</w:t>
      </w:r>
      <w:r w:rsidRPr="00311FAA">
        <w:rPr>
          <w:rFonts w:ascii="Arial" w:hAnsi="Arial" w:cs="Arial"/>
          <w:sz w:val="20"/>
          <w:szCs w:val="20"/>
        </w:rPr>
        <w:t xml:space="preserve">. Esto se logra mediante la configuración de </w:t>
      </w:r>
      <w:r w:rsidRPr="00311FAA">
        <w:rPr>
          <w:rFonts w:ascii="Arial" w:hAnsi="Arial" w:cs="Arial"/>
          <w:b/>
          <w:bCs/>
          <w:sz w:val="20"/>
          <w:szCs w:val="20"/>
        </w:rPr>
        <w:t>discos Enterprise en RAID 5</w:t>
      </w:r>
      <w:r w:rsidRPr="00311FAA">
        <w:rPr>
          <w:rFonts w:ascii="Arial" w:hAnsi="Arial" w:cs="Arial"/>
          <w:sz w:val="20"/>
          <w:szCs w:val="20"/>
        </w:rPr>
        <w:t xml:space="preserve">, lo que nos permite tener aproximadamente </w:t>
      </w:r>
      <w:r w:rsidRPr="00311FAA">
        <w:rPr>
          <w:rFonts w:ascii="Arial" w:hAnsi="Arial" w:cs="Arial"/>
          <w:b/>
          <w:bCs/>
          <w:sz w:val="20"/>
          <w:szCs w:val="20"/>
        </w:rPr>
        <w:t>16 TB netos útiles</w:t>
      </w:r>
      <w:r w:rsidRPr="00311FAA">
        <w:rPr>
          <w:rFonts w:ascii="Arial" w:hAnsi="Arial" w:cs="Arial"/>
          <w:sz w:val="20"/>
          <w:szCs w:val="20"/>
        </w:rPr>
        <w:t>, asegurando el crecimiento a 3 años y protección total: si un disco falla físicamente, los datos no se pierden.</w:t>
      </w:r>
    </w:p>
    <w:p w14:paraId="77BFD12B" w14:textId="77777777" w:rsidR="00914C73" w:rsidRPr="00311FAA" w:rsidRDefault="00914C73" w:rsidP="00914C73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b/>
          <w:bCs/>
          <w:sz w:val="20"/>
          <w:szCs w:val="20"/>
        </w:rPr>
        <w:t>Aceleración (GPU Profesional):</w:t>
      </w:r>
      <w:r w:rsidRPr="00311FAA">
        <w:rPr>
          <w:rFonts w:ascii="Arial" w:hAnsi="Arial" w:cs="Arial"/>
          <w:sz w:val="20"/>
          <w:szCs w:val="20"/>
        </w:rPr>
        <w:t xml:space="preserve"> Para ejecutar tareas de IA localmente (inferencia de modelos y análisis de datos de </w:t>
      </w:r>
      <w:proofErr w:type="spellStart"/>
      <w:r w:rsidRPr="00311FAA">
        <w:rPr>
          <w:rFonts w:ascii="Arial" w:hAnsi="Arial" w:cs="Arial"/>
          <w:sz w:val="20"/>
          <w:szCs w:val="20"/>
        </w:rPr>
        <w:t>Bluesky</w:t>
      </w:r>
      <w:proofErr w:type="spellEnd"/>
      <w:r w:rsidRPr="00311FAA">
        <w:rPr>
          <w:rFonts w:ascii="Arial" w:hAnsi="Arial" w:cs="Arial"/>
          <w:sz w:val="20"/>
          <w:szCs w:val="20"/>
        </w:rPr>
        <w:t xml:space="preserve">), integraremos una </w:t>
      </w:r>
      <w:r w:rsidRPr="00311FAA">
        <w:rPr>
          <w:rFonts w:ascii="Arial" w:hAnsi="Arial" w:cs="Arial"/>
          <w:b/>
          <w:bCs/>
          <w:sz w:val="20"/>
          <w:szCs w:val="20"/>
        </w:rPr>
        <w:t>GPU de grado profesional</w:t>
      </w:r>
      <w:r w:rsidRPr="00311FAA">
        <w:rPr>
          <w:rFonts w:ascii="Arial" w:hAnsi="Arial" w:cs="Arial"/>
          <w:sz w:val="20"/>
          <w:szCs w:val="20"/>
        </w:rPr>
        <w:t xml:space="preserve"> (tipo NVIDIA L4 o A10). A diferencia de las tarjetas "</w:t>
      </w:r>
      <w:proofErr w:type="spellStart"/>
      <w:r w:rsidRPr="00311FAA">
        <w:rPr>
          <w:rFonts w:ascii="Arial" w:hAnsi="Arial" w:cs="Arial"/>
          <w:sz w:val="20"/>
          <w:szCs w:val="20"/>
        </w:rPr>
        <w:t>gaming</w:t>
      </w:r>
      <w:proofErr w:type="spellEnd"/>
      <w:r w:rsidRPr="00311FAA">
        <w:rPr>
          <w:rFonts w:ascii="Arial" w:hAnsi="Arial" w:cs="Arial"/>
          <w:sz w:val="20"/>
          <w:szCs w:val="20"/>
        </w:rPr>
        <w:t>", estas están diseñadas para cargas de trabajo 24/7 y encajan perfectamente en el chasis de servidor de 2 unidades (2U) elegido.</w:t>
      </w:r>
    </w:p>
    <w:p w14:paraId="38C9F9D2" w14:textId="77777777" w:rsidR="0007273C" w:rsidRPr="0007273C" w:rsidRDefault="0007273C" w:rsidP="0007273C">
      <w:pPr>
        <w:rPr>
          <w:lang w:eastAsia="es-ES"/>
        </w:rPr>
      </w:pPr>
    </w:p>
    <w:p w14:paraId="1C6071BF" w14:textId="13816883" w:rsidR="008740EA" w:rsidRDefault="008740EA" w:rsidP="008740EA">
      <w:pPr>
        <w:pStyle w:val="Ttulo2"/>
        <w:rPr>
          <w:rFonts w:eastAsia="Times New Roman"/>
          <w:lang w:eastAsia="es-ES"/>
        </w:rPr>
      </w:pPr>
      <w:r w:rsidRPr="008740EA">
        <w:rPr>
          <w:rFonts w:eastAsia="Times New Roman"/>
          <w:lang w:eastAsia="es-ES"/>
        </w:rPr>
        <w:t>Paso 2: Selección del "Hierro" (Hardware de Servidor)</w:t>
      </w:r>
    </w:p>
    <w:p w14:paraId="6693351E" w14:textId="3B0D937C" w:rsidR="00914C73" w:rsidRPr="00914C73" w:rsidRDefault="00914C73" w:rsidP="00914C73">
      <w:pPr>
        <w:rPr>
          <w:lang w:eastAsia="es-ES"/>
        </w:rPr>
      </w:pPr>
      <w:hyperlink r:id="rId5" w:history="1">
        <w:r w:rsidRPr="006E37AD">
          <w:rPr>
            <w:rStyle w:val="Hipervnculo"/>
            <w:lang w:eastAsia="es-ES"/>
          </w:rPr>
          <w:t>https://www.dell.com/es-es/shop/ipovw/poweredge-r770ap?hve=shop+now</w:t>
        </w:r>
      </w:hyperlink>
      <w:r>
        <w:rPr>
          <w:lang w:eastAsia="es-ES"/>
        </w:rPr>
        <w:t xml:space="preserve"> </w:t>
      </w:r>
    </w:p>
    <w:tbl>
      <w:tblPr>
        <w:tblStyle w:val="Tabladelista3-nfasis6"/>
        <w:tblW w:w="0" w:type="auto"/>
        <w:tblLook w:val="04A0" w:firstRow="1" w:lastRow="0" w:firstColumn="1" w:lastColumn="0" w:noHBand="0" w:noVBand="1"/>
      </w:tblPr>
      <w:tblGrid>
        <w:gridCol w:w="1949"/>
        <w:gridCol w:w="2752"/>
        <w:gridCol w:w="3793"/>
      </w:tblGrid>
      <w:tr w:rsidR="00914C73" w:rsidRPr="00914C73" w14:paraId="24EDE45D" w14:textId="77777777" w:rsidTr="00914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2BE3A0B" w14:textId="77777777" w:rsidR="00914C73" w:rsidRPr="00914C73" w:rsidRDefault="00914C73" w:rsidP="00914C73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46C5894B" w14:textId="77777777" w:rsidR="00914C73" w:rsidRPr="00914C73" w:rsidRDefault="00914C73" w:rsidP="00914C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Especificación: Dell </w:t>
            </w:r>
            <w:proofErr w:type="spellStart"/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PowerEdge</w:t>
            </w:r>
            <w:proofErr w:type="spellEnd"/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R760 / R770</w:t>
            </w:r>
          </w:p>
        </w:tc>
        <w:tc>
          <w:tcPr>
            <w:tcW w:w="0" w:type="auto"/>
            <w:hideMark/>
          </w:tcPr>
          <w:p w14:paraId="2330DF29" w14:textId="77777777" w:rsidR="00914C73" w:rsidRPr="00914C73" w:rsidRDefault="00914C73" w:rsidP="00914C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Justificación Técnica para Big Data</w:t>
            </w:r>
          </w:p>
        </w:tc>
      </w:tr>
      <w:tr w:rsidR="00914C73" w:rsidRPr="00914C73" w14:paraId="188C948A" w14:textId="77777777" w:rsidTr="00914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E8DAA" w14:textId="77777777" w:rsidR="00914C73" w:rsidRPr="00914C73" w:rsidRDefault="00914C73" w:rsidP="00914C73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Arquitectura</w:t>
            </w:r>
          </w:p>
        </w:tc>
        <w:tc>
          <w:tcPr>
            <w:tcW w:w="0" w:type="auto"/>
            <w:hideMark/>
          </w:tcPr>
          <w:p w14:paraId="276D9058" w14:textId="77777777" w:rsidR="00914C73" w:rsidRPr="00914C73" w:rsidRDefault="00914C73" w:rsidP="00914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2 </w:t>
            </w:r>
            <w:proofErr w:type="gramStart"/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Sockets</w:t>
            </w:r>
            <w:proofErr w:type="gramEnd"/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(Doble procesador)</w:t>
            </w:r>
          </w:p>
        </w:tc>
        <w:tc>
          <w:tcPr>
            <w:tcW w:w="0" w:type="auto"/>
            <w:hideMark/>
          </w:tcPr>
          <w:p w14:paraId="314754CA" w14:textId="77777777" w:rsidR="00914C73" w:rsidRPr="00914C73" w:rsidRDefault="00914C73" w:rsidP="00914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Permite dividir la carga de trabajo de los algoritmos entre dos </w:t>
            </w:r>
            <w:proofErr w:type="spellStart"/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CPUs</w:t>
            </w:r>
            <w:proofErr w:type="spellEnd"/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físicas.</w:t>
            </w:r>
          </w:p>
        </w:tc>
      </w:tr>
      <w:tr w:rsidR="00914C73" w:rsidRPr="00914C73" w14:paraId="094C9AEA" w14:textId="77777777" w:rsidTr="00914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B2CBA" w14:textId="77777777" w:rsidR="00914C73" w:rsidRPr="00914C73" w:rsidRDefault="00914C73" w:rsidP="00914C73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Procesador</w:t>
            </w:r>
          </w:p>
        </w:tc>
        <w:tc>
          <w:tcPr>
            <w:tcW w:w="0" w:type="auto"/>
            <w:hideMark/>
          </w:tcPr>
          <w:p w14:paraId="675FB70E" w14:textId="77777777" w:rsidR="00914C73" w:rsidRPr="00914C73" w:rsidRDefault="00914C73" w:rsidP="00914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2x Intel® Xeon® </w:t>
            </w:r>
            <w:proofErr w:type="spellStart"/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Scalable</w:t>
            </w:r>
            <w:proofErr w:type="spellEnd"/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Ej</w:t>
            </w:r>
            <w:proofErr w:type="spellEnd"/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: Gold 6530)</w:t>
            </w:r>
          </w:p>
        </w:tc>
        <w:tc>
          <w:tcPr>
            <w:tcW w:w="0" w:type="auto"/>
            <w:hideMark/>
          </w:tcPr>
          <w:p w14:paraId="5DFE8BF8" w14:textId="77777777" w:rsidR="00914C73" w:rsidRPr="00914C73" w:rsidRDefault="00914C73" w:rsidP="00914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Sumamos núcleos suficientes para procesar los 50 GB de ingesta diaria sin latencia.</w:t>
            </w:r>
          </w:p>
        </w:tc>
      </w:tr>
      <w:tr w:rsidR="00914C73" w:rsidRPr="00914C73" w14:paraId="06E692E7" w14:textId="77777777" w:rsidTr="00914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FB31C" w14:textId="77777777" w:rsidR="00914C73" w:rsidRPr="00914C73" w:rsidRDefault="00914C73" w:rsidP="00914C73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Memoria RAM</w:t>
            </w:r>
          </w:p>
        </w:tc>
        <w:tc>
          <w:tcPr>
            <w:tcW w:w="0" w:type="auto"/>
            <w:hideMark/>
          </w:tcPr>
          <w:p w14:paraId="52E72A8A" w14:textId="77777777" w:rsidR="00914C73" w:rsidRPr="00914C73" w:rsidRDefault="00914C73" w:rsidP="00914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128 GB DDR5 ECC</w:t>
            </w: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(Ampliable a 8 TB)</w:t>
            </w:r>
          </w:p>
        </w:tc>
        <w:tc>
          <w:tcPr>
            <w:tcW w:w="0" w:type="auto"/>
            <w:hideMark/>
          </w:tcPr>
          <w:p w14:paraId="0957C328" w14:textId="77777777" w:rsidR="00914C73" w:rsidRPr="00914C73" w:rsidRDefault="00914C73" w:rsidP="00914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El uso de </w:t>
            </w:r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ECC</w:t>
            </w: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es vital para evitar errores de bits que corrompan tus bases de datos.</w:t>
            </w:r>
          </w:p>
        </w:tc>
      </w:tr>
      <w:tr w:rsidR="00914C73" w:rsidRPr="00914C73" w14:paraId="3FD9040A" w14:textId="77777777" w:rsidTr="00914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E5254" w14:textId="77777777" w:rsidR="00914C73" w:rsidRPr="00914C73" w:rsidRDefault="00914C73" w:rsidP="00914C73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Factor de Forma</w:t>
            </w:r>
          </w:p>
        </w:tc>
        <w:tc>
          <w:tcPr>
            <w:tcW w:w="0" w:type="auto"/>
            <w:hideMark/>
          </w:tcPr>
          <w:p w14:paraId="12C93304" w14:textId="77777777" w:rsidR="00914C73" w:rsidRPr="00914C73" w:rsidRDefault="00914C73" w:rsidP="00914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2U</w:t>
            </w: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(Unidad de Rack)</w:t>
            </w:r>
          </w:p>
        </w:tc>
        <w:tc>
          <w:tcPr>
            <w:tcW w:w="0" w:type="auto"/>
            <w:hideMark/>
          </w:tcPr>
          <w:p w14:paraId="4BB6D367" w14:textId="77777777" w:rsidR="00914C73" w:rsidRPr="00914C73" w:rsidRDefault="00914C73" w:rsidP="00914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Ofrece el flujo de aire necesario para que la GPU no se sobrecaliente.</w:t>
            </w:r>
          </w:p>
        </w:tc>
      </w:tr>
      <w:tr w:rsidR="00914C73" w:rsidRPr="00914C73" w14:paraId="38391BFF" w14:textId="77777777" w:rsidTr="00914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CC383" w14:textId="77777777" w:rsidR="00914C73" w:rsidRPr="00914C73" w:rsidRDefault="00914C73" w:rsidP="00914C73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Almacenamiento</w:t>
            </w:r>
          </w:p>
        </w:tc>
        <w:tc>
          <w:tcPr>
            <w:tcW w:w="0" w:type="auto"/>
            <w:hideMark/>
          </w:tcPr>
          <w:p w14:paraId="64651DD4" w14:textId="77777777" w:rsidR="00914C73" w:rsidRPr="00914C73" w:rsidRDefault="00914C73" w:rsidP="00914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4x 8TB SAS/</w:t>
            </w:r>
            <w:proofErr w:type="spellStart"/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NVMe</w:t>
            </w:r>
            <w:proofErr w:type="spellEnd"/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Enterprise</w:t>
            </w: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(RAID 5)</w:t>
            </w:r>
          </w:p>
        </w:tc>
        <w:tc>
          <w:tcPr>
            <w:tcW w:w="0" w:type="auto"/>
            <w:hideMark/>
          </w:tcPr>
          <w:p w14:paraId="1636326C" w14:textId="77777777" w:rsidR="00914C73" w:rsidRPr="00914C73" w:rsidRDefault="00914C73" w:rsidP="00914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Proporciona 24 TB brutos con redundancia (si un disco falla, no pierdes datos).</w:t>
            </w:r>
          </w:p>
        </w:tc>
      </w:tr>
      <w:tr w:rsidR="00914C73" w:rsidRPr="00914C73" w14:paraId="44F09F8F" w14:textId="77777777" w:rsidTr="00914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3D969" w14:textId="77777777" w:rsidR="00914C73" w:rsidRPr="00914C73" w:rsidRDefault="00914C73" w:rsidP="00914C73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lastRenderedPageBreak/>
              <w:t>GPU para IA</w:t>
            </w:r>
          </w:p>
        </w:tc>
        <w:tc>
          <w:tcPr>
            <w:tcW w:w="0" w:type="auto"/>
            <w:hideMark/>
          </w:tcPr>
          <w:p w14:paraId="02E84779" w14:textId="77777777" w:rsidR="00914C73" w:rsidRPr="00914C73" w:rsidRDefault="00914C73" w:rsidP="00914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1x NVIDIA L4 o A10</w:t>
            </w:r>
          </w:p>
        </w:tc>
        <w:tc>
          <w:tcPr>
            <w:tcW w:w="0" w:type="auto"/>
            <w:hideMark/>
          </w:tcPr>
          <w:p w14:paraId="240A9486" w14:textId="77777777" w:rsidR="00914C73" w:rsidRPr="00914C73" w:rsidRDefault="00914C73" w:rsidP="00914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14C73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Acelera el análisis de sentimiento y el procesamiento de lenguaje natural de tu IA.</w:t>
            </w:r>
          </w:p>
        </w:tc>
      </w:tr>
    </w:tbl>
    <w:p w14:paraId="569088C1" w14:textId="77777777" w:rsidR="0007273C" w:rsidRPr="0007273C" w:rsidRDefault="0007273C" w:rsidP="0007273C">
      <w:pPr>
        <w:rPr>
          <w:lang w:eastAsia="es-ES"/>
        </w:rPr>
      </w:pPr>
    </w:p>
    <w:p w14:paraId="29D2D4B6" w14:textId="04578062" w:rsidR="008740EA" w:rsidRDefault="008740EA" w:rsidP="008740EA">
      <w:pPr>
        <w:pStyle w:val="Ttulo2"/>
        <w:rPr>
          <w:rFonts w:eastAsia="Times New Roman"/>
          <w:lang w:eastAsia="es-ES"/>
        </w:rPr>
      </w:pPr>
      <w:r w:rsidRPr="008740EA">
        <w:rPr>
          <w:rFonts w:eastAsia="Times New Roman"/>
          <w:lang w:eastAsia="es-ES"/>
        </w:rPr>
        <w:t>Paso 3: Infraestructura Pasiva (Lo que sostiene al servidor)</w:t>
      </w:r>
    </w:p>
    <w:p w14:paraId="2BE4DF68" w14:textId="7E62F2F5" w:rsidR="00534FB1" w:rsidRPr="00311FAA" w:rsidRDefault="00534FB1" w:rsidP="00534FB1">
      <w:pPr>
        <w:rPr>
          <w:rFonts w:ascii="Arial" w:hAnsi="Arial" w:cs="Arial"/>
          <w:lang w:eastAsia="es-ES"/>
        </w:rPr>
      </w:pPr>
      <w:r w:rsidRPr="00311FAA">
        <w:rPr>
          <w:rFonts w:ascii="Arial" w:hAnsi="Arial" w:cs="Arial"/>
          <w:lang w:eastAsia="es-ES"/>
        </w:rPr>
        <w:t>Ver en Hoja Excel.</w:t>
      </w:r>
    </w:p>
    <w:p w14:paraId="62BC03E2" w14:textId="350F8D6D" w:rsidR="008740EA" w:rsidRDefault="008740EA" w:rsidP="008740EA">
      <w:pPr>
        <w:pStyle w:val="Ttulo2"/>
        <w:rPr>
          <w:rFonts w:eastAsia="Times New Roman"/>
          <w:lang w:eastAsia="es-ES"/>
        </w:rPr>
      </w:pPr>
      <w:r w:rsidRPr="008740EA">
        <w:rPr>
          <w:rFonts w:eastAsia="Times New Roman"/>
          <w:lang w:eastAsia="es-ES"/>
        </w:rPr>
        <w:t>Paso 4: El coste de la energía</w:t>
      </w:r>
    </w:p>
    <w:p w14:paraId="79FB3E14" w14:textId="77777777" w:rsidR="00534FB1" w:rsidRPr="00311FAA" w:rsidRDefault="00534FB1" w:rsidP="00534FB1">
      <w:pPr>
        <w:pStyle w:val="NormalWeb"/>
        <w:numPr>
          <w:ilvl w:val="0"/>
          <w:numId w:val="10"/>
        </w:numP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Servidor (2 </w:t>
      </w:r>
      <w:proofErr w:type="spellStart"/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CPUs</w:t>
      </w:r>
      <w:proofErr w:type="spellEnd"/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+ 128GB RAM + Discos): ~450W en carga media/alta.</w:t>
      </w:r>
    </w:p>
    <w:p w14:paraId="3689773C" w14:textId="77777777" w:rsidR="00534FB1" w:rsidRPr="00311FAA" w:rsidRDefault="00534FB1" w:rsidP="00534FB1">
      <w:pPr>
        <w:pStyle w:val="NormalWeb"/>
        <w:numPr>
          <w:ilvl w:val="0"/>
          <w:numId w:val="10"/>
        </w:numP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GPU (NVIDIA A4000): ~140W durante procesos de inferencia de IA.</w:t>
      </w:r>
    </w:p>
    <w:p w14:paraId="52AFF6E9" w14:textId="77777777" w:rsidR="00534FB1" w:rsidRPr="00311FAA" w:rsidRDefault="00534FB1" w:rsidP="00534FB1">
      <w:pPr>
        <w:pStyle w:val="NormalWeb"/>
        <w:numPr>
          <w:ilvl w:val="0"/>
          <w:numId w:val="10"/>
        </w:numP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Infraestructura Pasiva (Switch + SAI): ~30W.</w:t>
      </w:r>
    </w:p>
    <w:p w14:paraId="43A038BD" w14:textId="77777777" w:rsidR="00534FB1" w:rsidRPr="00311FAA" w:rsidRDefault="00534FB1" w:rsidP="00534FB1">
      <w:pPr>
        <w:pStyle w:val="NormalWeb"/>
        <w:numPr>
          <w:ilvl w:val="0"/>
          <w:numId w:val="10"/>
        </w:numP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Subtotal Hardware: 620W.</w:t>
      </w:r>
    </w:p>
    <w:p w14:paraId="74AD7A4E" w14:textId="70D31754" w:rsidR="00534FB1" w:rsidRPr="00311FAA" w:rsidRDefault="00534FB1" w:rsidP="00534FB1">
      <w:pPr>
        <w:pStyle w:val="NormalWeb"/>
        <w:numPr>
          <w:ilvl w:val="0"/>
          <w:numId w:val="10"/>
        </w:numP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Factor de Refrigeración (PUE 1.2): Añadimos un 20% extra para cubrir el gasto de aire acondicionado/</w:t>
      </w: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ventilación necesaria</w:t>
      </w: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para mantener el Rack fresco.</w:t>
      </w:r>
    </w:p>
    <w:p w14:paraId="3E3A05C3" w14:textId="77777777" w:rsidR="00534FB1" w:rsidRPr="00311FAA" w:rsidRDefault="00534FB1" w:rsidP="00534FB1">
      <w:pPr>
        <w:pStyle w:val="NormalWeb"/>
        <w:numPr>
          <w:ilvl w:val="0"/>
          <w:numId w:val="10"/>
        </w:numP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Potencia Total Estimada: 744W (0,744 kW).</w:t>
      </w:r>
    </w:p>
    <w:p w14:paraId="52FBD465" w14:textId="679C161A" w:rsidR="00534FB1" w:rsidRPr="00534FB1" w:rsidRDefault="00534FB1" w:rsidP="00534FB1">
      <w:pPr>
        <w:pStyle w:val="Ttulo4"/>
        <w:rPr>
          <w:rFonts w:asciiTheme="minorHAnsi" w:eastAsiaTheme="minorHAnsi" w:hAnsiTheme="minorHAnsi" w:cstheme="minorBidi"/>
          <w:b/>
          <w:bCs/>
          <w:color w:val="auto"/>
        </w:rPr>
      </w:pPr>
      <w:r w:rsidRPr="00534FB1">
        <w:rPr>
          <w:rFonts w:asciiTheme="minorHAnsi" w:eastAsiaTheme="minorHAnsi" w:hAnsiTheme="minorHAnsi" w:cstheme="minorBidi"/>
          <w:b/>
          <w:bCs/>
          <w:color w:val="auto"/>
        </w:rPr>
        <w:t>Consumo Energético Mensual (kWh)</w:t>
      </w:r>
    </w:p>
    <w:p w14:paraId="220FF644" w14:textId="77777777" w:rsidR="00534FB1" w:rsidRPr="00311FAA" w:rsidRDefault="00534FB1" w:rsidP="00534FB1">
      <w:pPr>
        <w:pStyle w:val="NormalWeb"/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Como el servidor de Big Data debe estar disponible 24/7 para ingesta y procesado:</w:t>
      </w:r>
    </w:p>
    <w:p w14:paraId="596764CB" w14:textId="0C70A167" w:rsidR="00534FB1" w:rsidRPr="00311FAA" w:rsidRDefault="00534FB1" w:rsidP="00534FB1">
      <w:pPr>
        <w:pStyle w:val="NormalWeb"/>
        <w:rPr>
          <w:rFonts w:ascii="Arial" w:eastAsiaTheme="minorHAnsi" w:hAnsi="Arial" w:cs="Arial"/>
          <w:b/>
          <w:bCs/>
          <w:i/>
          <w:iCs/>
          <w:color w:val="FF0000"/>
          <w:kern w:val="2"/>
          <w:sz w:val="22"/>
          <w:szCs w:val="22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b/>
          <w:bCs/>
          <w:i/>
          <w:iCs/>
          <w:color w:val="FF0000"/>
          <w:kern w:val="2"/>
          <w:sz w:val="22"/>
          <w:szCs w:val="22"/>
          <w:lang w:eastAsia="en-US"/>
          <w14:ligatures w14:val="standardContextual"/>
        </w:rPr>
        <w:t xml:space="preserve">0,744 kW \24 horas \ 30 días </w:t>
      </w:r>
      <w:r w:rsidRPr="00311FAA">
        <w:rPr>
          <w:rFonts w:ascii="Arial" w:eastAsiaTheme="minorHAnsi" w:hAnsi="Arial" w:cs="Arial"/>
          <w:b/>
          <w:bCs/>
          <w:i/>
          <w:iCs/>
          <w:color w:val="FF0000"/>
          <w:kern w:val="2"/>
          <w:sz w:val="22"/>
          <w:szCs w:val="22"/>
          <w:lang w:eastAsia="en-US"/>
          <w14:ligatures w14:val="standardContextual"/>
        </w:rPr>
        <w:t xml:space="preserve">535,68 </w:t>
      </w:r>
      <w:proofErr w:type="spellStart"/>
      <w:r w:rsidRPr="00311FAA">
        <w:rPr>
          <w:rFonts w:ascii="Arial" w:eastAsiaTheme="minorHAnsi" w:hAnsi="Arial" w:cs="Arial"/>
          <w:b/>
          <w:bCs/>
          <w:i/>
          <w:iCs/>
          <w:color w:val="FF0000"/>
          <w:kern w:val="2"/>
          <w:sz w:val="22"/>
          <w:szCs w:val="22"/>
          <w:lang w:eastAsia="en-US"/>
          <w14:ligatures w14:val="standardContextual"/>
        </w:rPr>
        <w:t>Wh</w:t>
      </w:r>
      <w:proofErr w:type="spellEnd"/>
      <w:r w:rsidRPr="00311FAA">
        <w:rPr>
          <w:rFonts w:ascii="Arial" w:eastAsiaTheme="minorHAnsi" w:hAnsi="Arial" w:cs="Arial"/>
          <w:b/>
          <w:bCs/>
          <w:i/>
          <w:iCs/>
          <w:color w:val="FF0000"/>
          <w:kern w:val="2"/>
          <w:sz w:val="22"/>
          <w:szCs w:val="22"/>
          <w:lang w:eastAsia="en-US"/>
          <w14:ligatures w14:val="standardContextual"/>
        </w:rPr>
        <w:t>/mes</w:t>
      </w:r>
    </w:p>
    <w:p w14:paraId="6E92B4A2" w14:textId="3D365114" w:rsidR="00534FB1" w:rsidRPr="00311FAA" w:rsidRDefault="00534FB1" w:rsidP="00534FB1">
      <w:pPr>
        <w:pStyle w:val="Ttulo4"/>
        <w:rPr>
          <w:rFonts w:ascii="Arial" w:eastAsiaTheme="minorHAnsi" w:hAnsi="Arial" w:cs="Arial"/>
          <w:b/>
          <w:bCs/>
          <w:color w:val="auto"/>
        </w:rPr>
      </w:pPr>
      <w:r w:rsidRPr="00311FAA">
        <w:rPr>
          <w:rFonts w:ascii="Arial" w:eastAsiaTheme="minorHAnsi" w:hAnsi="Arial" w:cs="Arial"/>
          <w:b/>
          <w:bCs/>
          <w:color w:val="auto"/>
        </w:rPr>
        <w:t>Coste Económico (Mercado Español 2026)</w:t>
      </w:r>
    </w:p>
    <w:p w14:paraId="0D28927B" w14:textId="77777777" w:rsidR="00534FB1" w:rsidRPr="00311FAA" w:rsidRDefault="00534FB1" w:rsidP="00534FB1">
      <w:pPr>
        <w:pStyle w:val="NormalWeb"/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Aplicando un precio medio para empresas en España (estimado en 0,20 €/kWh incluyendo impuestos y cargos de potencia):</w:t>
      </w:r>
    </w:p>
    <w:p w14:paraId="68883440" w14:textId="201DA89F" w:rsidR="00534FB1" w:rsidRPr="00311FAA" w:rsidRDefault="00534FB1" w:rsidP="00534FB1">
      <w:pPr>
        <w:pStyle w:val="NormalWeb"/>
        <w:rPr>
          <w:rFonts w:ascii="Arial" w:eastAsiaTheme="minorHAnsi" w:hAnsi="Arial" w:cs="Arial"/>
          <w:b/>
          <w:bCs/>
          <w:color w:val="FF0000"/>
          <w:kern w:val="2"/>
          <w:sz w:val="22"/>
          <w:szCs w:val="22"/>
          <w:lang w:eastAsia="en-US"/>
          <w14:ligatures w14:val="standardContextual"/>
        </w:rPr>
      </w:pPr>
      <w:r w:rsidRPr="00311FAA">
        <w:rPr>
          <w:rFonts w:ascii="Arial" w:eastAsiaTheme="minorHAnsi" w:hAnsi="Arial" w:cs="Arial"/>
          <w:b/>
          <w:bCs/>
          <w:color w:val="FF0000"/>
          <w:kern w:val="2"/>
          <w:sz w:val="22"/>
          <w:szCs w:val="22"/>
          <w:lang w:eastAsia="en-US"/>
          <w14:ligatures w14:val="standardContextual"/>
        </w:rPr>
        <w:t>535,68 kWh \ 0,20 €/kWh = 107,14 €/mes}</w:t>
      </w:r>
    </w:p>
    <w:p w14:paraId="30B16225" w14:textId="77777777" w:rsidR="00534FB1" w:rsidRPr="00311FAA" w:rsidRDefault="00534FB1" w:rsidP="00534FB1">
      <w:pPr>
        <w:rPr>
          <w:rFonts w:ascii="Arial" w:hAnsi="Arial" w:cs="Arial"/>
          <w:lang w:eastAsia="es-ES"/>
        </w:rPr>
      </w:pPr>
    </w:p>
    <w:p w14:paraId="20364B32" w14:textId="516B9762" w:rsidR="008740EA" w:rsidRPr="00311FAA" w:rsidRDefault="008740EA" w:rsidP="008740EA">
      <w:pPr>
        <w:pStyle w:val="Ttulo2"/>
        <w:rPr>
          <w:rFonts w:ascii="Arial" w:eastAsia="Times New Roman" w:hAnsi="Arial" w:cs="Arial"/>
          <w:lang w:eastAsia="es-ES"/>
        </w:rPr>
      </w:pPr>
      <w:r w:rsidRPr="00311FAA">
        <w:rPr>
          <w:rFonts w:ascii="Arial" w:eastAsia="Times New Roman" w:hAnsi="Arial" w:cs="Arial"/>
          <w:lang w:eastAsia="es-ES"/>
        </w:rPr>
        <w:t>Paso 5: La Comparativa Final</w:t>
      </w:r>
    </w:p>
    <w:p w14:paraId="279B6E09" w14:textId="2DE731BF" w:rsidR="00311FAA" w:rsidRPr="00311FAA" w:rsidRDefault="00311FAA" w:rsidP="00311FAA">
      <w:pPr>
        <w:rPr>
          <w:rFonts w:ascii="Arial" w:hAnsi="Arial" w:cs="Arial"/>
          <w:sz w:val="20"/>
          <w:szCs w:val="20"/>
          <w:lang w:eastAsia="es-ES"/>
        </w:rPr>
      </w:pPr>
      <w:r w:rsidRPr="00311FAA">
        <w:rPr>
          <w:rFonts w:ascii="Arial" w:hAnsi="Arial" w:cs="Arial"/>
          <w:sz w:val="20"/>
          <w:szCs w:val="20"/>
        </w:rPr>
        <w:t>Realizo</w:t>
      </w:r>
      <w:r w:rsidRPr="00311FAA">
        <w:rPr>
          <w:rFonts w:ascii="Arial" w:hAnsi="Arial" w:cs="Arial"/>
          <w:sz w:val="20"/>
          <w:szCs w:val="20"/>
        </w:rPr>
        <w:t xml:space="preserve"> la proyección económica a 36 meses (3 años) comparando ambas estrategias.</w:t>
      </w:r>
    </w:p>
    <w:p w14:paraId="4F6C99EA" w14:textId="77777777" w:rsidR="00311FAA" w:rsidRPr="00311FAA" w:rsidRDefault="00311FAA" w:rsidP="00311FAA">
      <w:pPr>
        <w:pStyle w:val="Ttulo4"/>
        <w:rPr>
          <w:rFonts w:ascii="Arial" w:hAnsi="Arial" w:cs="Arial"/>
        </w:rPr>
      </w:pPr>
      <w:r w:rsidRPr="00311FAA">
        <w:rPr>
          <w:rFonts w:ascii="Arial" w:hAnsi="Arial" w:cs="Arial"/>
        </w:rPr>
        <w:t>1. Opción A: Solución Cloud (Google Cloud - Práctica 1.8)</w:t>
      </w:r>
    </w:p>
    <w:p w14:paraId="14597B6E" w14:textId="084B7246" w:rsidR="00311FAA" w:rsidRPr="00311FAA" w:rsidRDefault="00311FAA" w:rsidP="00311FAA">
      <w:pPr>
        <w:pStyle w:val="NormalWeb"/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sz w:val="20"/>
          <w:szCs w:val="20"/>
        </w:rPr>
        <w:t xml:space="preserve">En la práctica anterior, determinamos que el coste base mensual para gestionar 50 GB de ingesta diaria era de </w:t>
      </w:r>
      <w:r w:rsidRPr="00311FAA">
        <w:rPr>
          <w:rFonts w:ascii="Arial" w:hAnsi="Arial" w:cs="Arial"/>
          <w:b/>
          <w:bCs/>
          <w:sz w:val="20"/>
          <w:szCs w:val="20"/>
        </w:rPr>
        <w:t>130,00 €</w:t>
      </w:r>
      <w:r w:rsidRPr="00311FAA">
        <w:rPr>
          <w:rFonts w:ascii="Arial" w:hAnsi="Arial" w:cs="Arial"/>
          <w:sz w:val="20"/>
          <w:szCs w:val="20"/>
        </w:rPr>
        <w:t>.</w:t>
      </w:r>
    </w:p>
    <w:p w14:paraId="47E0E122" w14:textId="77777777" w:rsidR="00311FAA" w:rsidRPr="00311FAA" w:rsidRDefault="00311FAA" w:rsidP="00311FAA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b/>
          <w:bCs/>
          <w:sz w:val="20"/>
          <w:szCs w:val="20"/>
        </w:rPr>
        <w:t>Coste Mensual:</w:t>
      </w:r>
      <w:r w:rsidRPr="00311FAA">
        <w:rPr>
          <w:rFonts w:ascii="Arial" w:hAnsi="Arial" w:cs="Arial"/>
          <w:sz w:val="20"/>
          <w:szCs w:val="20"/>
        </w:rPr>
        <w:t xml:space="preserve"> 130,00 €</w:t>
      </w:r>
    </w:p>
    <w:p w14:paraId="1929BBB5" w14:textId="77777777" w:rsidR="00311FAA" w:rsidRPr="00311FAA" w:rsidRDefault="00311FAA" w:rsidP="00311FAA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b/>
          <w:bCs/>
          <w:sz w:val="20"/>
          <w:szCs w:val="20"/>
        </w:rPr>
        <w:t>Inversión Inicial:</w:t>
      </w:r>
      <w:r w:rsidRPr="00311FAA">
        <w:rPr>
          <w:rFonts w:ascii="Arial" w:hAnsi="Arial" w:cs="Arial"/>
          <w:sz w:val="20"/>
          <w:szCs w:val="20"/>
        </w:rPr>
        <w:t xml:space="preserve"> 0 €</w:t>
      </w:r>
    </w:p>
    <w:p w14:paraId="7112C6DF" w14:textId="77777777" w:rsidR="00311FAA" w:rsidRPr="00311FAA" w:rsidRDefault="00311FAA" w:rsidP="00311FAA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b/>
          <w:bCs/>
          <w:sz w:val="20"/>
          <w:szCs w:val="20"/>
        </w:rPr>
        <w:t>Proyección (130 € x 36 meses):</w:t>
      </w:r>
      <w:r w:rsidRPr="00311FAA">
        <w:rPr>
          <w:rFonts w:ascii="Arial" w:hAnsi="Arial" w:cs="Arial"/>
          <w:sz w:val="20"/>
          <w:szCs w:val="20"/>
        </w:rPr>
        <w:t xml:space="preserve"> </w:t>
      </w:r>
      <w:r w:rsidRPr="00311FAA">
        <w:rPr>
          <w:rFonts w:ascii="Arial" w:hAnsi="Arial" w:cs="Arial"/>
          <w:b/>
          <w:bCs/>
          <w:sz w:val="20"/>
          <w:szCs w:val="20"/>
        </w:rPr>
        <w:t>4.680,00 €</w:t>
      </w:r>
    </w:p>
    <w:p w14:paraId="78645B16" w14:textId="77777777" w:rsidR="00311FAA" w:rsidRPr="00311FAA" w:rsidRDefault="00311FAA" w:rsidP="00311FAA">
      <w:pPr>
        <w:pStyle w:val="Ttulo4"/>
        <w:rPr>
          <w:rFonts w:ascii="Arial" w:hAnsi="Arial" w:cs="Arial"/>
        </w:rPr>
      </w:pPr>
      <w:r w:rsidRPr="00311FAA">
        <w:rPr>
          <w:rFonts w:ascii="Arial" w:hAnsi="Arial" w:cs="Arial"/>
        </w:rPr>
        <w:t xml:space="preserve">2. Opción B: Solución </w:t>
      </w:r>
      <w:proofErr w:type="spellStart"/>
      <w:r w:rsidRPr="00311FAA">
        <w:rPr>
          <w:rFonts w:ascii="Arial" w:hAnsi="Arial" w:cs="Arial"/>
        </w:rPr>
        <w:t>On</w:t>
      </w:r>
      <w:proofErr w:type="spellEnd"/>
      <w:r w:rsidRPr="00311FAA">
        <w:rPr>
          <w:rFonts w:ascii="Arial" w:hAnsi="Arial" w:cs="Arial"/>
        </w:rPr>
        <w:t>-Premise (Servidor R770 - Práctica 1.9)</w:t>
      </w:r>
    </w:p>
    <w:p w14:paraId="3D07416B" w14:textId="77777777" w:rsidR="00311FAA" w:rsidRPr="00311FAA" w:rsidRDefault="00311FAA" w:rsidP="00311FAA">
      <w:pPr>
        <w:pStyle w:val="NormalWeb"/>
        <w:rPr>
          <w:rFonts w:ascii="Arial" w:hAnsi="Arial" w:cs="Arial"/>
          <w:sz w:val="20"/>
          <w:szCs w:val="20"/>
        </w:rPr>
      </w:pPr>
      <w:r w:rsidRPr="00311FAA">
        <w:rPr>
          <w:rFonts w:ascii="Arial" w:hAnsi="Arial" w:cs="Arial"/>
          <w:sz w:val="20"/>
          <w:szCs w:val="20"/>
        </w:rPr>
        <w:t>Aquí sumamos la inversión en hardware (CAPEX) y los costes operativos de electricidad (OPEX).</w:t>
      </w:r>
    </w:p>
    <w:p w14:paraId="5A658B66" w14:textId="77777777" w:rsidR="00311FAA" w:rsidRPr="00311FAA" w:rsidRDefault="00311FAA" w:rsidP="00311FA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11FAA">
        <w:rPr>
          <w:rFonts w:ascii="Arial" w:hAnsi="Arial" w:cs="Arial"/>
          <w:b/>
          <w:bCs/>
        </w:rPr>
        <w:t>Inversión Inicial (Hardware + Pasiva):</w:t>
      </w:r>
      <w:r w:rsidRPr="00311FAA">
        <w:rPr>
          <w:rFonts w:ascii="Arial" w:hAnsi="Arial" w:cs="Arial"/>
        </w:rPr>
        <w:t xml:space="preserve"> 8.620,00 €</w:t>
      </w:r>
    </w:p>
    <w:p w14:paraId="04A1A69E" w14:textId="77777777" w:rsidR="00311FAA" w:rsidRPr="00311FAA" w:rsidRDefault="00311FAA" w:rsidP="00311FA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11FAA">
        <w:rPr>
          <w:rFonts w:ascii="Arial" w:hAnsi="Arial" w:cs="Arial"/>
          <w:b/>
          <w:bCs/>
        </w:rPr>
        <w:t>Coste Luz Mensual:</w:t>
      </w:r>
      <w:r w:rsidRPr="00311FAA">
        <w:rPr>
          <w:rFonts w:ascii="Arial" w:hAnsi="Arial" w:cs="Arial"/>
        </w:rPr>
        <w:t xml:space="preserve"> 107,14 €</w:t>
      </w:r>
    </w:p>
    <w:p w14:paraId="4881B7B7" w14:textId="77777777" w:rsidR="00311FAA" w:rsidRPr="00311FAA" w:rsidRDefault="00311FAA" w:rsidP="00311FA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11FAA">
        <w:rPr>
          <w:rFonts w:ascii="Arial" w:hAnsi="Arial" w:cs="Arial"/>
          <w:b/>
          <w:bCs/>
        </w:rPr>
        <w:t>Coste Operativo 3 años (107,14 € x 36 meses):</w:t>
      </w:r>
      <w:r w:rsidRPr="00311FAA">
        <w:rPr>
          <w:rFonts w:ascii="Arial" w:hAnsi="Arial" w:cs="Arial"/>
        </w:rPr>
        <w:t xml:space="preserve"> 3.857,04 €</w:t>
      </w:r>
    </w:p>
    <w:p w14:paraId="3371C9CA" w14:textId="77777777" w:rsidR="00311FAA" w:rsidRPr="00311FAA" w:rsidRDefault="00311FAA" w:rsidP="00311FAA">
      <w:pPr>
        <w:pStyle w:val="NormalWeb"/>
        <w:numPr>
          <w:ilvl w:val="0"/>
          <w:numId w:val="14"/>
        </w:numPr>
        <w:rPr>
          <w:rFonts w:ascii="Arial" w:hAnsi="Arial" w:cs="Arial"/>
        </w:rPr>
      </w:pPr>
      <w:proofErr w:type="gramStart"/>
      <w:r w:rsidRPr="00311FAA">
        <w:rPr>
          <w:rFonts w:ascii="Arial" w:hAnsi="Arial" w:cs="Arial"/>
          <w:b/>
          <w:bCs/>
        </w:rPr>
        <w:t>Total</w:t>
      </w:r>
      <w:proofErr w:type="gramEnd"/>
      <w:r w:rsidRPr="00311FAA">
        <w:rPr>
          <w:rFonts w:ascii="Arial" w:hAnsi="Arial" w:cs="Arial"/>
          <w:b/>
          <w:bCs/>
        </w:rPr>
        <w:t xml:space="preserve"> Proyección:</w:t>
      </w:r>
      <w:r w:rsidRPr="00311FAA">
        <w:rPr>
          <w:rFonts w:ascii="Arial" w:hAnsi="Arial" w:cs="Arial"/>
        </w:rPr>
        <w:t xml:space="preserve"> </w:t>
      </w:r>
      <w:r w:rsidRPr="00311FAA">
        <w:rPr>
          <w:rFonts w:ascii="Arial" w:hAnsi="Arial" w:cs="Arial"/>
          <w:b/>
          <w:bCs/>
        </w:rPr>
        <w:t>12.477,04 €</w:t>
      </w:r>
    </w:p>
    <w:p w14:paraId="3394EE12" w14:textId="3B90B49E" w:rsidR="008740EA" w:rsidRPr="00311FAA" w:rsidRDefault="00311FAA" w:rsidP="008740EA">
      <w:pPr>
        <w:rPr>
          <w:rFonts w:ascii="Arial" w:hAnsi="Arial" w:cs="Arial"/>
          <w:sz w:val="20"/>
          <w:szCs w:val="20"/>
          <w:lang w:eastAsia="es-ES"/>
        </w:rPr>
      </w:pPr>
      <w:r w:rsidRPr="00311FAA">
        <w:rPr>
          <w:rFonts w:ascii="Arial" w:hAnsi="Arial" w:cs="Arial"/>
          <w:sz w:val="20"/>
          <w:szCs w:val="20"/>
        </w:rPr>
        <w:lastRenderedPageBreak/>
        <w:t xml:space="preserve">Tras comparar ambas opciones, la conclusión es clara: para el volumen actual de 50 GB diarios, la nube (GCP) es mucho más rentable. Aunque el </w:t>
      </w:r>
      <w:proofErr w:type="spellStart"/>
      <w:r w:rsidRPr="00311FAA">
        <w:rPr>
          <w:rFonts w:ascii="Arial" w:hAnsi="Arial" w:cs="Arial"/>
          <w:sz w:val="20"/>
          <w:szCs w:val="20"/>
        </w:rPr>
        <w:t>PowerEdge</w:t>
      </w:r>
      <w:proofErr w:type="spellEnd"/>
      <w:r w:rsidRPr="00311FAA">
        <w:rPr>
          <w:rFonts w:ascii="Arial" w:hAnsi="Arial" w:cs="Arial"/>
          <w:sz w:val="20"/>
          <w:szCs w:val="20"/>
        </w:rPr>
        <w:t xml:space="preserve"> R770 es una máquina excepcional, su coste total a 3 años (12.477 €) casi triplica al de la nube debido a la enorme inversión inicial y al gasto eléctrico en España. Por tanto, la infraestructura física solo sería recomendable si los datos crecieran masivamente o por motivos de privacidad absoluta; de lo contrario, el modelo de pago por uso sigue siendo la decisión financiera más inteligente para la empresa.</w:t>
      </w:r>
    </w:p>
    <w:p w14:paraId="514AFFBC" w14:textId="77777777" w:rsidR="00524C3C" w:rsidRPr="00311FAA" w:rsidRDefault="00524C3C" w:rsidP="008740EA">
      <w:pPr>
        <w:pStyle w:val="Ttulo"/>
        <w:rPr>
          <w:rFonts w:ascii="Arial" w:hAnsi="Arial" w:cs="Arial"/>
        </w:rPr>
      </w:pPr>
    </w:p>
    <w:sectPr w:rsidR="00524C3C" w:rsidRPr="00311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554E"/>
    <w:multiLevelType w:val="multilevel"/>
    <w:tmpl w:val="997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4942"/>
    <w:multiLevelType w:val="multilevel"/>
    <w:tmpl w:val="4E0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31E30"/>
    <w:multiLevelType w:val="multilevel"/>
    <w:tmpl w:val="8EE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5B68"/>
    <w:multiLevelType w:val="multilevel"/>
    <w:tmpl w:val="C9B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85A26"/>
    <w:multiLevelType w:val="multilevel"/>
    <w:tmpl w:val="6D7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951C2"/>
    <w:multiLevelType w:val="multilevel"/>
    <w:tmpl w:val="996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36C4E"/>
    <w:multiLevelType w:val="hybridMultilevel"/>
    <w:tmpl w:val="55144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C664B"/>
    <w:multiLevelType w:val="hybridMultilevel"/>
    <w:tmpl w:val="7324C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C3715"/>
    <w:multiLevelType w:val="multilevel"/>
    <w:tmpl w:val="9EE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121D"/>
    <w:multiLevelType w:val="multilevel"/>
    <w:tmpl w:val="35B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9105C"/>
    <w:multiLevelType w:val="multilevel"/>
    <w:tmpl w:val="AF90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4701B"/>
    <w:multiLevelType w:val="multilevel"/>
    <w:tmpl w:val="188A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C6BF3"/>
    <w:multiLevelType w:val="multilevel"/>
    <w:tmpl w:val="1538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334B3"/>
    <w:multiLevelType w:val="multilevel"/>
    <w:tmpl w:val="C732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13"/>
  </w:num>
  <w:num w:numId="5">
    <w:abstractNumId w:val="1"/>
  </w:num>
  <w:num w:numId="6">
    <w:abstractNumId w:val="12"/>
  </w:num>
  <w:num w:numId="7">
    <w:abstractNumId w:val="6"/>
  </w:num>
  <w:num w:numId="8">
    <w:abstractNumId w:val="10"/>
  </w:num>
  <w:num w:numId="9">
    <w:abstractNumId w:val="7"/>
  </w:num>
  <w:num w:numId="10">
    <w:abstractNumId w:val="3"/>
  </w:num>
  <w:num w:numId="11">
    <w:abstractNumId w:val="2"/>
  </w:num>
  <w:num w:numId="12">
    <w:abstractNumId w:val="9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97"/>
    <w:rsid w:val="0007273C"/>
    <w:rsid w:val="00311FAA"/>
    <w:rsid w:val="003B6B5E"/>
    <w:rsid w:val="00410397"/>
    <w:rsid w:val="00524C3C"/>
    <w:rsid w:val="00534FB1"/>
    <w:rsid w:val="005879A9"/>
    <w:rsid w:val="008740EA"/>
    <w:rsid w:val="00914C73"/>
    <w:rsid w:val="009E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6861"/>
  <w15:chartTrackingRefBased/>
  <w15:docId w15:val="{8220244F-81B7-4AA5-A691-C9050C46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74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40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C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F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0E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8740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874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8740E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740EA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740E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07273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7273C"/>
    <w:pPr>
      <w:ind w:left="720"/>
      <w:contextualSpacing/>
    </w:pPr>
  </w:style>
  <w:style w:type="table" w:styleId="Tabladelista4-nfasis3">
    <w:name w:val="List Table 4 Accent 3"/>
    <w:basedOn w:val="Tablanormal"/>
    <w:uiPriority w:val="49"/>
    <w:rsid w:val="0007273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14C73"/>
    <w:rPr>
      <w:color w:val="605E5C"/>
      <w:shd w:val="clear" w:color="auto" w:fill="E1DFDD"/>
    </w:rPr>
  </w:style>
  <w:style w:type="table" w:styleId="Tabladelista3-nfasis6">
    <w:name w:val="List Table 3 Accent 6"/>
    <w:basedOn w:val="Tablanormal"/>
    <w:uiPriority w:val="48"/>
    <w:rsid w:val="00914C73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914C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FB1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math-inline">
    <w:name w:val="math-inline"/>
    <w:basedOn w:val="Fuentedeprrafopredeter"/>
    <w:rsid w:val="00534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ll.com/es-es/shop/ipovw/poweredge-r770ap?hve=shop+no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782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3</cp:revision>
  <dcterms:created xsi:type="dcterms:W3CDTF">2026-01-05T10:51:00Z</dcterms:created>
  <dcterms:modified xsi:type="dcterms:W3CDTF">2026-01-05T11:59:00Z</dcterms:modified>
</cp:coreProperties>
</file>