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sf9or4tqgom" w:id="0"/>
      <w:bookmarkEnd w:id="0"/>
      <w:r w:rsidDel="00000000" w:rsidR="00000000" w:rsidRPr="00000000">
        <w:rPr>
          <w:rtl w:val="0"/>
        </w:rPr>
        <w:t xml:space="preserve">PRE-ENTREGA DE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Captación del cliente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un e-commerce la aplicación de BI es fundamental ya que esta </w:t>
      </w:r>
      <w:r w:rsidDel="00000000" w:rsidR="00000000" w:rsidRPr="00000000">
        <w:rPr>
          <w:rtl w:val="0"/>
        </w:rPr>
        <w:t xml:space="preserve">transforma los datos brutos en conocimiento accionable. Permite dejar de tomar decisiones basadas en la intuición y empezar a tomarlas basadas en la realidad del mercado. </w:t>
      </w:r>
      <w:r w:rsidDel="00000000" w:rsidR="00000000" w:rsidRPr="00000000">
        <w:rPr>
          <w:rtl w:val="0"/>
        </w:rPr>
        <w:t xml:space="preserve">Incluye la recopilación de datos de fuentes como </w:t>
      </w:r>
      <w:r w:rsidDel="00000000" w:rsidR="00000000" w:rsidRPr="00000000">
        <w:rPr>
          <w:rtl w:val="0"/>
        </w:rPr>
        <w:t xml:space="preserve">las Bases de Datos (BBDD) Internas</w:t>
      </w:r>
      <w:r w:rsidDel="00000000" w:rsidR="00000000" w:rsidRPr="00000000">
        <w:rPr>
          <w:rtl w:val="0"/>
        </w:rPr>
        <w:t xml:space="preserve"> y las </w:t>
      </w:r>
      <w:r w:rsidDel="00000000" w:rsidR="00000000" w:rsidRPr="00000000">
        <w:rPr>
          <w:rtl w:val="0"/>
        </w:rPr>
        <w:t xml:space="preserve">Redes Sociales (RRSS)</w:t>
      </w:r>
      <w:r w:rsidDel="00000000" w:rsidR="00000000" w:rsidRPr="00000000">
        <w:rPr>
          <w:rtl w:val="0"/>
        </w:rPr>
        <w:t xml:space="preserve">; su integración que consiste en consolidar, limpiar y normalizar los datos; el análisis para identificar patrones y la presentación de información mediante informes y visualizaciones interactivas como sucede al usar Looker Studio. </w:t>
      </w:r>
      <w:r w:rsidDel="00000000" w:rsidR="00000000" w:rsidRPr="00000000">
        <w:rPr>
          <w:sz w:val="24"/>
          <w:szCs w:val="24"/>
          <w:rtl w:val="0"/>
        </w:rPr>
        <w:t xml:space="preserve">Permite, entre otras, detectar caídas en las ventas o cambios en el mercado en tiempo real para reaccionar rápidamente.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Investigación del contexto ético y legal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Caso de Estudio: Escándalo de Cambridge Analytica y Facebook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Este es uno de los casos más emblemáticos de violación de ética en datos y privacidad en el ámbito internacional, afectando indirectamente al comercio electrónico al manipular el comportamiento del consumidor y del votante.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Contexto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2018, se reveló que la consultora política </w:t>
      </w:r>
      <w:r w:rsidDel="00000000" w:rsidR="00000000" w:rsidRPr="00000000">
        <w:rPr>
          <w:u w:val="single"/>
          <w:rtl w:val="0"/>
        </w:rPr>
        <w:t xml:space="preserve">Cambridge Analytica</w:t>
      </w:r>
      <w:r w:rsidDel="00000000" w:rsidR="00000000" w:rsidRPr="00000000">
        <w:rPr>
          <w:rtl w:val="0"/>
        </w:rPr>
        <w:t xml:space="preserve"> recolectó datos personales de aproximadamente 87 millones de usuarios de </w:t>
      </w:r>
      <w:r w:rsidDel="00000000" w:rsidR="00000000" w:rsidRPr="00000000">
        <w:rPr>
          <w:u w:val="single"/>
          <w:rtl w:val="0"/>
        </w:rPr>
        <w:t xml:space="preserve">Facebook</w:t>
      </w:r>
      <w:r w:rsidDel="00000000" w:rsidR="00000000" w:rsidRPr="00000000">
        <w:rPr>
          <w:rtl w:val="0"/>
        </w:rPr>
        <w:t xml:space="preserve"> sin su consentimiento explícito. Los datos fueron obtenidos a través de una aplicación de pruebas de personalidad ("thisisyourdigitallife") que no solo </w:t>
      </w:r>
      <w:r w:rsidDel="00000000" w:rsidR="00000000" w:rsidRPr="00000000">
        <w:rPr>
          <w:rtl w:val="0"/>
        </w:rPr>
        <w:t xml:space="preserve">recopilaba</w:t>
      </w:r>
      <w:r w:rsidDel="00000000" w:rsidR="00000000" w:rsidRPr="00000000">
        <w:rPr>
          <w:rtl w:val="0"/>
        </w:rPr>
        <w:t xml:space="preserve"> información de quienes hacían el test, sino también de todos sus amigos en la red social.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Faltas Éticas y Legales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Falta de consentimiento informado</w:t>
      </w:r>
      <w:r w:rsidDel="00000000" w:rsidR="00000000" w:rsidRPr="00000000">
        <w:rPr>
          <w:rtl w:val="0"/>
        </w:rPr>
        <w:t xml:space="preserve">: Los usuarios no sabían que sus datos (y los de sus contactos) serían vendidos para crear perfiles psicológicos con fines políticos.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Violación de Políticas de Datos</w:t>
      </w:r>
      <w:r w:rsidDel="00000000" w:rsidR="00000000" w:rsidRPr="00000000">
        <w:rPr>
          <w:rtl w:val="0"/>
        </w:rPr>
        <w:t xml:space="preserve">: Facebook permitió que un tercero extrajera datos masivos de amigos de usuarios, una vulnerabilidad en su API que conocían pero no controlaron adecuadamente.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Uso Indebido de la Información</w:t>
      </w:r>
      <w:r w:rsidDel="00000000" w:rsidR="00000000" w:rsidRPr="00000000">
        <w:rPr>
          <w:rtl w:val="0"/>
        </w:rPr>
        <w:t xml:space="preserve">: Los datos se usaron para el "micro-targeting" conductual, enviando anuncios altamente personalizados para manipular la opinión pública.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Consecuencias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Legales</w:t>
      </w:r>
      <w:r w:rsidDel="00000000" w:rsidR="00000000" w:rsidRPr="00000000">
        <w:rPr>
          <w:rtl w:val="0"/>
        </w:rPr>
        <w:t xml:space="preserve">: La Comisión Federal de Comercio (FTC) de EE. UU. impuso a Facebook una multa récord de 5,000 millones de dólares en 2019.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Reputacionales</w:t>
      </w:r>
      <w:r w:rsidDel="00000000" w:rsidR="00000000" w:rsidRPr="00000000">
        <w:rPr>
          <w:rtl w:val="0"/>
        </w:rPr>
        <w:t xml:space="preserve">: Surgió el movimiento #DeleteFacebook; la confianza del consumidor en las plataformas digitales cayó drásticamente.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Regulatorias</w:t>
      </w:r>
      <w:r w:rsidDel="00000000" w:rsidR="00000000" w:rsidRPr="00000000">
        <w:rPr>
          <w:rtl w:val="0"/>
        </w:rPr>
        <w:t xml:space="preserve">: El caso aceleró la implementación y el rigor del Reglamento General de Protección de Datos (GDPR) en la Unión Europea.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Lecciones Aprendidas y Errores a Evitar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Transparencia Radical</w:t>
      </w:r>
      <w:r w:rsidDel="00000000" w:rsidR="00000000" w:rsidRPr="00000000">
        <w:rPr>
          <w:rtl w:val="0"/>
        </w:rPr>
        <w:t xml:space="preserve">: Las empresas deben ser claras sobre qué datos recolectan, para qué se usan y con quién se comparten.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Privacidad por Diseño</w:t>
      </w:r>
      <w:r w:rsidDel="00000000" w:rsidR="00000000" w:rsidRPr="00000000">
        <w:rPr>
          <w:rtl w:val="0"/>
        </w:rPr>
        <w:t xml:space="preserve">: El acceso de terceros a las bases de datos debe estar restringido por defecto y monitoreado constantemente.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Responsabilidad Corporativa</w:t>
      </w:r>
      <w:r w:rsidDel="00000000" w:rsidR="00000000" w:rsidRPr="00000000">
        <w:rPr>
          <w:rtl w:val="0"/>
        </w:rPr>
        <w:t xml:space="preserve">: El "no saber" lo que un socio hace con tus datos no exime de responsabilidad legal y ética.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Empoderamiento del Usuario</w:t>
      </w:r>
      <w:r w:rsidDel="00000000" w:rsidR="00000000" w:rsidRPr="00000000">
        <w:rPr>
          <w:rtl w:val="0"/>
        </w:rPr>
        <w:t xml:space="preserve">: Se deben ofrecer herramientas sencillas para que el usuario gestione, vea y elimine sus datos personales en cualquier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Investigación sobre fuentes de datos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Fuente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Statista (Sección E-commerce)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statista.com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Tipos de datos</w:t>
      </w:r>
      <w:r w:rsidDel="00000000" w:rsidR="00000000" w:rsidRPr="00000000">
        <w:rPr>
          <w:rtl w:val="0"/>
        </w:rPr>
        <w:t xml:space="preserve">: Ingresos por mercado, número de usuarios, penetración de mercado y ticket promedio.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Potencial de análisis</w:t>
      </w:r>
      <w:r w:rsidDel="00000000" w:rsidR="00000000" w:rsidRPr="00000000">
        <w:rPr>
          <w:rtl w:val="0"/>
        </w:rPr>
        <w:t xml:space="preserve">: Permite realizar comparativas internacionales y proyecciones de crecimiento por sector y región.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Fuente</w:t>
      </w:r>
      <w:r w:rsidDel="00000000" w:rsidR="00000000" w:rsidRPr="00000000">
        <w:rPr>
          <w:rtl w:val="0"/>
        </w:rPr>
        <w:t xml:space="preserve">: Google Trends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https://trends.google.es/trends/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Tipos de datos</w:t>
      </w:r>
      <w:r w:rsidDel="00000000" w:rsidR="00000000" w:rsidRPr="00000000">
        <w:rPr>
          <w:rtl w:val="0"/>
        </w:rPr>
        <w:t xml:space="preserve">: Volumen de búsqueda de términos, estacionalidad y popularidad geográfica.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Potencial de análisis</w:t>
      </w:r>
      <w:r w:rsidDel="00000000" w:rsidR="00000000" w:rsidRPr="00000000">
        <w:rPr>
          <w:rtl w:val="0"/>
        </w:rPr>
        <w:t xml:space="preserve">: Ideal para identificar tendencias de consumo emergentes y analizar el comportamiento de búsqueda del usuario.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Fuente</w:t>
      </w:r>
      <w:r w:rsidDel="00000000" w:rsidR="00000000" w:rsidRPr="00000000">
        <w:rPr>
          <w:rtl w:val="0"/>
        </w:rPr>
        <w:t xml:space="preserve">: Data.gov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data.gov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Tipos de datos</w:t>
      </w:r>
      <w:r w:rsidDel="00000000" w:rsidR="00000000" w:rsidRPr="00000000">
        <w:rPr>
          <w:rtl w:val="0"/>
        </w:rPr>
        <w:t xml:space="preserve">: Estadísticas gubernamentales oficiales sobre ventas minoristas digitales y uso de TIC.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Potencial de análisis</w:t>
      </w:r>
      <w:r w:rsidDel="00000000" w:rsidR="00000000" w:rsidRPr="00000000">
        <w:rPr>
          <w:rtl w:val="0"/>
        </w:rPr>
        <w:t xml:space="preserve">: Útil para análisis macroeconómicos y estudios sobre la adopción digital en empresas y hogares.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 de calidad de los datos</w:t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Precisión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Los datos son correctos y reflejan la realidad.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Las fechas no están en el formato correcto.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Los valores numéricos no presentan errores tipográficos.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Completitud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No hay campos vacíos en información crítica.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Todos los registros tienen la información necesaria.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Se han incluido todos los datos pertinentes al contexto del análisis.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Consistencia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Los datos no están formateados de manera uniforme.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No hay discrepancias entre diferentes fuentes de datos.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Se han definido reglas claras sobre la categorización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Relevancia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Los datos son relevantes para el análisis que se va a realizar.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La información está alineada con los objetivos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Con esta checklist podemos dar por sentado la calidad de los datos a trabajar. Solamente hubo 2 errores a la hora de normalizar los datos. El primero fue la aparición de un booleano en la columna “</w:t>
      </w:r>
      <w:r w:rsidDel="00000000" w:rsidR="00000000" w:rsidRPr="00000000">
        <w:rPr>
          <w:i w:val="1"/>
          <w:iCs w:val="1"/>
          <w:rtl w:val="0"/>
        </w:rPr>
        <w:t xml:space="preserve">Apellido</w:t>
      </w:r>
      <w:r w:rsidDel="00000000" w:rsidR="00000000" w:rsidRPr="00000000">
        <w:rPr>
          <w:rtl w:val="0"/>
        </w:rPr>
        <w:t xml:space="preserve">” del conjunto de datos de “</w:t>
      </w:r>
      <w:r w:rsidDel="00000000" w:rsidR="00000000" w:rsidRPr="00000000">
        <w:rPr>
          <w:i w:val="1"/>
          <w:i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”. El segundo fue la diferencia de formatos en las fechas.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Modificaciones sobre los sets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presente hoja de cálculo consta de 4 secciones: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Datos</w:t>
      </w:r>
      <w:r w:rsidDel="00000000" w:rsidR="00000000" w:rsidRPr="00000000">
        <w:rPr>
          <w:rtl w:val="0"/>
        </w:rPr>
        <w:t xml:space="preserve">: En esta hoja se importó todo el conjunto de datos.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Normalizados</w:t>
      </w:r>
      <w:r w:rsidDel="00000000" w:rsidR="00000000" w:rsidRPr="00000000">
        <w:rPr>
          <w:rtl w:val="0"/>
        </w:rPr>
        <w:t xml:space="preserve">: En esta hoja se normalizaron los datos. Se utilizaron las herramientas de ELIMINAR DUPLICADOS y las SUGERENCIAS DE BORRADO cuya opción, entre otras, fue ELIMINAR ESPACIOS EN BLANCO.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 el fin de poder usarse en algún futuro, en la tabla </w:t>
      </w:r>
      <w:r w:rsidDel="00000000" w:rsidR="00000000" w:rsidRPr="00000000">
        <w:rPr>
          <w:i w:val="1"/>
          <w:iCs w:val="1"/>
          <w:rtl w:val="0"/>
        </w:rPr>
        <w:t xml:space="preserve">“productos” </w:t>
      </w:r>
      <w:r w:rsidDel="00000000" w:rsidR="00000000" w:rsidRPr="00000000">
        <w:rPr>
          <w:rtl w:val="0"/>
        </w:rPr>
        <w:t xml:space="preserve">se agregó una nueva columna con el nombre </w:t>
      </w:r>
      <w:r w:rsidDel="00000000" w:rsidR="00000000" w:rsidRPr="00000000">
        <w:rPr>
          <w:i w:val="1"/>
          <w:iCs w:val="1"/>
          <w:rtl w:val="0"/>
        </w:rPr>
        <w:t xml:space="preserve">“ID_Categoria”</w:t>
      </w:r>
      <w:r w:rsidDel="00000000" w:rsidR="00000000" w:rsidRPr="00000000">
        <w:rPr>
          <w:rtl w:val="0"/>
        </w:rPr>
        <w:t xml:space="preserve"> para poder anexarse con la tabla </w:t>
      </w: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categorias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 utilizando las fórmulas de ARRAYFORMULA y </w:t>
      </w:r>
      <w:r w:rsidDel="00000000" w:rsidR="00000000" w:rsidRPr="00000000">
        <w:rPr>
          <w:rtl w:val="0"/>
        </w:rPr>
        <w:t xml:space="preserve">BUSCARX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 las tablas </w:t>
      </w:r>
      <w:r w:rsidDel="00000000" w:rsidR="00000000" w:rsidRPr="00000000">
        <w:rPr>
          <w:i w:val="1"/>
          <w:iCs w:val="1"/>
          <w:rtl w:val="0"/>
        </w:rPr>
        <w:t xml:space="preserve">“clientes”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“ventas”</w:t>
      </w:r>
      <w:r w:rsidDel="00000000" w:rsidR="00000000" w:rsidRPr="00000000">
        <w:rPr>
          <w:rtl w:val="0"/>
        </w:rPr>
        <w:t xml:space="preserve"> se unificó el formato de las fechas añadiendo sus columnas respectivamente, utilizando las fórmulas de ARRAYFORMULA y TEXTO.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 la tabla </w:t>
      </w:r>
      <w:r w:rsidDel="00000000" w:rsidR="00000000" w:rsidRPr="00000000">
        <w:rPr>
          <w:i w:val="1"/>
          <w:iCs w:val="1"/>
          <w:rtl w:val="0"/>
        </w:rPr>
        <w:t xml:space="preserve">“clientes”</w:t>
      </w:r>
      <w:r w:rsidDel="00000000" w:rsidR="00000000" w:rsidRPr="00000000">
        <w:rPr>
          <w:rtl w:val="0"/>
        </w:rPr>
        <w:t xml:space="preserve"> no se corrigió el valor booleano aclarado en la consigna anterior debido a que no era un dato crítico a la hora de hacer el análisis.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Tabla</w:t>
      </w:r>
      <w:r w:rsidDel="00000000" w:rsidR="00000000" w:rsidRPr="00000000">
        <w:rPr>
          <w:rtl w:val="0"/>
        </w:rPr>
        <w:t xml:space="preserve">: En esta hoja se utilizó la función QUERY para traer las columnas necesarias para el análisis. El proceso consistió en anexar todos los id correspondientes, agregar la columnas de</w:t>
      </w:r>
      <w:r w:rsidDel="00000000" w:rsidR="00000000" w:rsidRPr="00000000">
        <w:rPr>
          <w:i w:val="1"/>
          <w:iCs w:val="1"/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Precio_Total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“Mes”</w:t>
      </w:r>
      <w:r w:rsidDel="00000000" w:rsidR="00000000" w:rsidRPr="00000000">
        <w:rPr>
          <w:rtl w:val="0"/>
        </w:rPr>
        <w:t xml:space="preserve"> ya que iban a ser utilizadas para el informe.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Informe</w:t>
      </w:r>
      <w:r w:rsidDel="00000000" w:rsidR="00000000" w:rsidRPr="00000000">
        <w:rPr>
          <w:rtl w:val="0"/>
        </w:rPr>
        <w:t xml:space="preserve">: Para realizar el informe primeramente se descartaron los </w:t>
      </w:r>
      <w:r w:rsidDel="00000000" w:rsidR="00000000" w:rsidRPr="00000000">
        <w:rPr>
          <w:i w:val="1"/>
          <w:iCs w:val="1"/>
          <w:rtl w:val="0"/>
        </w:rPr>
        <w:t xml:space="preserve">“Estados Pendientes” </w:t>
      </w:r>
      <w:r w:rsidDel="00000000" w:rsidR="00000000" w:rsidRPr="00000000">
        <w:rPr>
          <w:rtl w:val="0"/>
        </w:rPr>
        <w:t xml:space="preserve">y se optó por utilizar solamente las columnas de mes, nombre del producto, categoría, cantidad, precio total, método de pago y región. Cabe aclarar que se acotó la fecha a tan solo el mes porque todas estas corresponden al mismo año.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raíz de los datos seleccionados se pueden apreciar las tablas y gráficos de “Métodos de pago”, “Regiones”, “Categorías”, “Productos” y “Ganancias” habidos durante el año.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de referencia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Carpeta del proyecto: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Carrera Lucas Alejandro - Comision 26128 - TPI BI Consulting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Hoja de cálculo: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Carrera Lucas Alejandro - Comision 26128 - TPI BI Consulting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Carrera Lucas Alejandro - Comision 26128 - TPI BI Consulting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ya2awvr12yUjOVxCP38gYITmvJhPCPl_HdeN_tpJpuw/edit?usp=sharing" TargetMode="External"/><Relationship Id="rId10" Type="http://schemas.openxmlformats.org/officeDocument/2006/relationships/hyperlink" Target="https://docs.google.com/spreadsheets/d/1gWzcGImKSoAMY2hPMCzct6uGDE4G0iQ-d-DvYNn4aLc/edit?usp=sharing" TargetMode="External"/><Relationship Id="rId9" Type="http://schemas.openxmlformats.org/officeDocument/2006/relationships/hyperlink" Target="https://drive.google.com/drive/folders/1EGLdxaPMdWmcNT_DWsdLBB2XydQ0jqYO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://statista.com" TargetMode="External"/><Relationship Id="rId7" Type="http://schemas.openxmlformats.org/officeDocument/2006/relationships/hyperlink" Target="https://trends.google.es/trends/" TargetMode="External"/><Relationship Id="rId8" Type="http://schemas.openxmlformats.org/officeDocument/2006/relationships/hyperlink" Target="http://dat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