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E296" w14:textId="77777777" w:rsidR="00AA03D0" w:rsidRDefault="00000000">
      <w:pPr>
        <w:rPr>
          <w:i/>
          <w:sz w:val="20"/>
          <w:szCs w:val="20"/>
          <w:lang w:val="en-GB" w:eastAsia="en-GB"/>
        </w:rPr>
      </w:pPr>
      <w:r>
        <w:rPr>
          <w:b/>
          <w:sz w:val="40"/>
        </w:rPr>
        <w:t>Comparing Three AI Clarification Interfaces for Text-to-SQL: A Within-Subjects Study of Appropriate Reliance in Non-Expert Database Querying</w:t>
      </w:r>
    </w:p>
    <w:p w14:paraId="199D6617" w14:textId="34BFE035" w:rsidR="00AA03D0" w:rsidRDefault="001E084D">
      <w:pPr>
        <w:pStyle w:val="IEEEAuthorName"/>
      </w:pPr>
      <w:r>
        <w:rPr>
          <w:szCs w:val="22"/>
        </w:rPr>
        <w:t>Aled Rowlands</w:t>
      </w:r>
      <w:r w:rsidR="00000000">
        <w:rPr>
          <w:szCs w:val="22"/>
        </w:rPr>
        <w:t xml:space="preserve">, </w:t>
      </w:r>
      <w:r>
        <w:rPr>
          <w:szCs w:val="22"/>
        </w:rPr>
        <w:t>Colin Kuka</w:t>
      </w:r>
      <w:r w:rsidR="00000000">
        <w:rPr>
          <w:szCs w:val="22"/>
          <w:vertAlign w:val="superscript"/>
        </w:rPr>
        <w:t>1</w:t>
      </w:r>
    </w:p>
    <w:p w14:paraId="466252C7" w14:textId="4B6A33B8" w:rsidR="00AA03D0" w:rsidRDefault="00000000">
      <w:pPr>
        <w:pStyle w:val="IEEEAuthorAffiliation"/>
        <w:rPr>
          <w:i w:val="0"/>
          <w:szCs w:val="20"/>
        </w:rPr>
      </w:pPr>
      <w:r>
        <w:rPr>
          <w:i w:val="0"/>
          <w:sz w:val="22"/>
          <w:szCs w:val="22"/>
        </w:rPr>
        <w:t>¹</w:t>
      </w:r>
      <w:r w:rsidR="001E084D" w:rsidRPr="001E084D">
        <w:rPr>
          <w:rFonts w:ascii="Segoe UI" w:eastAsia="SimSun;宋体" w:hAnsi="Segoe UI" w:cs="Segoe UI"/>
          <w:i w:val="0"/>
          <w:color w:val="000000"/>
          <w:sz w:val="21"/>
          <w:szCs w:val="21"/>
          <w:shd w:val="clear" w:color="auto" w:fill="FFFFFF"/>
          <w:lang w:val="en-AU"/>
        </w:rPr>
        <w:t xml:space="preserve"> </w:t>
      </w:r>
      <w:r w:rsidR="001E084D" w:rsidRPr="001E084D">
        <w:rPr>
          <w:i w:val="0"/>
          <w:szCs w:val="20"/>
          <w:lang w:val="en-AU"/>
        </w:rPr>
        <w:t>Cyber &amp; Computing</w:t>
      </w:r>
      <w:r w:rsidR="001E084D">
        <w:rPr>
          <w:i w:val="0"/>
          <w:szCs w:val="20"/>
          <w:lang w:val="en-AU"/>
        </w:rPr>
        <w:t xml:space="preserve"> </w:t>
      </w:r>
      <w:r>
        <w:rPr>
          <w:i w:val="0"/>
          <w:szCs w:val="20"/>
        </w:rPr>
        <w:t xml:space="preserve">&amp; </w:t>
      </w:r>
      <w:r w:rsidR="001E084D">
        <w:rPr>
          <w:i w:val="0"/>
          <w:szCs w:val="20"/>
        </w:rPr>
        <w:t>Wrexham U</w:t>
      </w:r>
      <w:r>
        <w:rPr>
          <w:i w:val="0"/>
          <w:szCs w:val="20"/>
        </w:rPr>
        <w:t xml:space="preserve">niversity, </w:t>
      </w:r>
      <w:r w:rsidR="001E084D">
        <w:rPr>
          <w:i w:val="0"/>
          <w:szCs w:val="20"/>
        </w:rPr>
        <w:t>Wales</w:t>
      </w:r>
    </w:p>
    <w:p w14:paraId="450E6EA4" w14:textId="77777777" w:rsidR="00AA03D0" w:rsidRDefault="00AA03D0">
      <w:pPr>
        <w:jc w:val="center"/>
        <w:rPr>
          <w:i/>
          <w:sz w:val="20"/>
          <w:szCs w:val="20"/>
          <w:lang w:val="en-GB" w:eastAsia="en-GB"/>
        </w:rPr>
      </w:pPr>
    </w:p>
    <w:p w14:paraId="55B754F4" w14:textId="77777777" w:rsidR="00AA03D0" w:rsidRDefault="00AA03D0">
      <w:pPr>
        <w:rPr>
          <w:sz w:val="20"/>
          <w:szCs w:val="20"/>
          <w:lang w:val="en-GB" w:eastAsia="en-GB"/>
        </w:rPr>
      </w:pPr>
    </w:p>
    <w:p w14:paraId="75430A80" w14:textId="2254DBA6" w:rsidR="00AA03D0" w:rsidRDefault="008C5815">
      <w:pPr>
        <w:rPr>
          <w:b/>
          <w:i/>
          <w:sz w:val="20"/>
          <w:szCs w:val="20"/>
          <w:lang w:val="en-GB" w:eastAsia="en-GB"/>
        </w:rPr>
      </w:pPr>
      <w:r>
        <w:rPr>
          <w:noProof/>
        </w:rPr>
        <w:pict w14:anchorId="60192AAE">
          <v:shapetype id="_x0000_t32" coordsize="21600,21600" o:spt="32" o:oned="t" path="m,l21600,21600e" filled="f">
            <v:path arrowok="t" fillok="f" o:connecttype="none"/>
            <o:lock v:ext="edit" shapetype="t"/>
          </v:shapetype>
          <v:shape id="Straight Arrow Connector 1" o:spid="_x0000_s1027" type="#_x0000_t32" style="position:absolute;margin-left:-1.55pt;margin-top:5.45pt;width:459.1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" strokeweight=".26mm">
            <v:stroke joinstyle="miter"/>
          </v:shape>
        </w:pict>
      </w:r>
    </w:p>
    <w:p w14:paraId="27F6C5FD" w14:textId="77777777" w:rsidR="00AA03D0" w:rsidRDefault="00AA03D0">
      <w:pPr>
        <w:sectPr w:rsidR="00AA03D0">
          <w:headerReference w:type="default" r:id="rId7"/>
          <w:footerReference w:type="default" r:id="rId8"/>
          <w:pgSz w:w="11906" w:h="16838"/>
          <w:pgMar w:top="1440" w:right="1440" w:bottom="1440" w:left="1440" w:header="709" w:footer="709" w:gutter="0"/>
          <w:cols w:space="720"/>
          <w:formProt w:val="0"/>
          <w:docGrid w:linePitch="360"/>
        </w:sectPr>
      </w:pPr>
    </w:p>
    <w:p w14:paraId="41164D8E" w14:textId="77777777" w:rsidR="00AA03D0" w:rsidRDefault="00000000">
      <w:pPr>
        <w:pStyle w:val="IEEEAbtract"/>
        <w:rPr>
          <w:i/>
          <w:sz w:val="20"/>
          <w:szCs w:val="20"/>
        </w:rPr>
      </w:pPr>
      <w:r>
        <w:rPr>
          <w:rStyle w:val="IEEEAbstractHeadingChar"/>
          <w:sz w:val="20"/>
          <w:szCs w:val="20"/>
        </w:rPr>
        <w:t>Abstract— This study compares three AI-mediated clarification interfaces that help non-expert users retrieve information from a relational database through natural-language, text-to-SQL questions. Because plain-English questions are frequently ambiguous or underspecified, an AI system must resolve a user's intent before it can generate a correct query; yet a non-expert cannot read SQL and therefore cannot judge whether the query produced is faithful to what they meant. We hold the model, database, prompt context, temperature and finalisation step constant, and vary only the clarification interface: a plain-text chatbot (C1), a fixed AmbiSQL-inspired wizard (C2), and a dynamic interface whose controls the model generates per question (C3). In a within-subjects design, non-expert participants each author and resolve questions across all three conditions. We measure actual query success against researcher-written gold SQL, the gap between perceived and actual success (over- and under-reliance), and interface cost and agency. The work contributes a direct human study of real-time ambiguity resolution, complementing benchmark-driven text-to-SQL evaluation and emerging work on AI-generated interfaces.</w:t>
      </w:r>
    </w:p>
    <w:p w14:paraId="0FAA27D7" w14:textId="77777777" w:rsidR="00AA03D0" w:rsidRDefault="00AA03D0">
      <w:pPr>
        <w:rPr>
          <w:b/>
          <w:i/>
          <w:sz w:val="20"/>
          <w:szCs w:val="20"/>
          <w:lang w:val="en-GB" w:eastAsia="en-GB"/>
        </w:rPr>
      </w:pPr>
    </w:p>
    <w:p w14:paraId="0DC72220" w14:textId="77777777" w:rsidR="00AA03D0" w:rsidRDefault="00000000">
      <w:pPr>
        <w:rPr>
          <w:b/>
          <w:i/>
          <w:sz w:val="20"/>
          <w:szCs w:val="20"/>
          <w:lang w:val="en-GB" w:eastAsia="en-GB"/>
        </w:rPr>
      </w:pPr>
      <w:r>
        <w:rPr>
          <w:rStyle w:val="IEEEAbstractHeadingChar"/>
          <w:sz w:val="20"/>
          <w:szCs w:val="20"/>
        </w:rPr>
        <w:t>Keywords— text-to-SQL; natural-language database interfaces; ambiguity resolution; human–AI interaction; appropriate reliance; overreliance; generated UI</w:t>
      </w:r>
    </w:p>
    <w:p>
      <w:pPr>
        <w:pStyle w:val="IEEEHeading1"/>
        <w:numPr>
          <w:ilvl w:val="0"/>
          <w:numId w:val="0"/>
        </w:numPr>
      </w:pPr>
      <w:r>
        <w:t>I.  Introduction</w:t>
      </w:r>
    </w:p>
    <w:p>
      <w:pPr>
        <w:pStyle w:val="IEEEParagraph"/>
      </w:pPr>
      <w:r>
        <w:t>When a person asks a database a question in plain English, the question can be ambiguous, it could mean more than one thing {[reference on ambiguity or underspecification in natural-language database querying, to motivate the clarification step]}. Thus, AI must clarify what is meant before it can write the right query.</w:t>
      </w:r>
    </w:p>
    <w:p>
      <w:pPr>
        <w:pStyle w:val="IEEEParagraph"/>
      </w:pPr>
      <w:r>
        <w:t>This study asks whether the design of that clarification step changes how well people get what they want. Three designs are tested. This study attempt to only change the controlled variable of the interface design everything else: the AI model, the database, the prompts (for the most part), the temperature {cite}, is held constant. Only the interface changes.</w:t>
      </w:r>
    </w:p>
    <w:p>
      <w:pPr>
        <w:pStyle w:val="IEEEHeading2"/>
        <w:numPr>
          <w:ilvl w:val="0"/>
          <w:numId w:val="0"/>
        </w:numPr>
      </w:pPr>
      <w:r>
        <w:t>A.  Study Materials</w:t>
      </w:r>
    </w:p>
    <w:p>
      <w:pPr>
        <w:pStyle w:val="IEEEParagraph"/>
      </w:pPr>
      <w:r>
        <w:t>A 15 minute walkthrough showing what the study looks like in use is available here: {YouTube walkthrough link}.</w:t>
      </w:r>
    </w:p>
    <w:p>
      <w:pPr>
        <w:pStyle w:val="IEEEParagraph"/>
      </w:pPr>
      <w:r>
        <w:t>The full code (backend, prompts, and frontend) of the prototype (except an API key) is on GitHub: {GitHub repository link}.</w:t>
      </w:r>
    </w:p>
    <w:p>
      <w:pPr>
        <w:pStyle w:val="IEEEHeading1"/>
        <w:numPr>
          <w:ilvl w:val="0"/>
          <w:numId w:val="0"/>
        </w:numPr>
      </w:pPr>
      <w:r>
        <w:t>II.  Literature Review</w:t>
      </w:r>
    </w:p>
    <w:p>
      <w:pPr>
        <w:pStyle w:val="IEEEParagraph"/>
      </w:pPr>
      <w:r>
        <w:t>Text-to-SQL research aims to enable non-expert users to query relational databases in natural language rather than by writing SQL. It is an important research area because SQL requires technical knowledge of schema structure, joins, columns, values, and query logic, which most people lack. Early interactive systems such as 'NaLIR' argued that natural language database interfaces should not simply return an answer, but should expose how the system interpreted the question and allow users to choose among possible meanings [1]. These findings are important because users may not detect incorrect answers when a system silently misinterprets their intent, especially when they lack the expertise to inspect SQL themselves [1].</w:t>
      </w:r>
    </w:p>
    <w:p>
      <w:pPr>
        <w:pStyle w:val="IEEEParagraph"/>
      </w:pPr>
      <w:r>
        <w:t>Recent benchmark work shows that text-to-SQL remains an unsolved problem. Spider established cross-domain text-to-SQL as a major benchmark challenge, while BIRD and BEAVER show that real-world and enterprise database settings remain difficult for current systems [2]–[4]. BIRD was created to narrow the gap between academic benchmarks and real-world database use by including large databases, noisy values, external knowledge, and SQL efficiency [3]. It contains 12,751 question-SQL pairs across 95 databases and 37 professional domains, and shows a large gap between model and human execution accuracy [3]. This study uses a database from BIRD because it provides sufficient realism while remaining manageable for a controlled user study. However, subsequent work also shows that benchmark results should be treated with caution. Studies have found annotation errors, ambiguous questions, and incorrect gold SQL in BIRD and other text-to-SQL benchmarks, meaning that a single gold query does not always capture the only valid interpretation of a user’s question [5], [6]. This matters because real users’ needs are not always static: the correct query can depend on what the user meant, whether their concept exists in the database, and whether it can be translated into SQL without losing meaning.</w:t>
      </w:r>
    </w:p>
    <w:p>
      <w:pPr>
        <w:pStyle w:val="IEEEParagraph"/>
      </w:pPr>
      <w:r>
        <w:t>This underlines a central issue within text-to-SQL: natural language questions are often ambiguous or underspecified. Saparina and Lapata argue for resolving ambiguity before parsing, because LLMs tend to default to preferred interpretations and may miss other valid meanings [7]. Their “disambiguate first, parse later” approach makes multiple possible interpretations and constraints explicit in natural language before converting them into SQL, improving transparency and interpretation coverage [7]. AmbiSQL extends this logic directly into text-to-SQL interface design by detecting types of ambiguity, generating targeted multiple-choice clarification questions, storing user preferences, and rewriting the query before SQL generation [8]. AmbiSQL is especially relevant here because it demonstrates how ambiguity resolution can change the generated SQL, for example, by correcting schema mappings and temporal interpretations through user clarification [8].</w:t>
      </w:r>
    </w:p>
    <w:p>
      <w:pPr>
        <w:pStyle w:val="IEEEParagraph"/>
      </w:pPr>
      <w:r>
        <w:t>The SQL-specific challenge is not only whether the model can produce valid SQL syntax. It must also identify the correct tables, columns, values, joins, filters, aggregations, and interpretations of vague terms. Recent schema-linking work shows that providing the full schema can introduce irrelevant context and increase hallucination, while retrieving only relevant schema elements can improve SQL generation accuracy and efficiency [9]. Therefore, a clarification interface may matter because it can help the system collect the missing intent needed for schema linking, value selection, and query construction before the SQL is produced.</w:t>
      </w:r>
    </w:p>
    <w:p>
      <w:pPr>
        <w:pStyle w:val="IEEEParagraph"/>
      </w:pPr>
      <w:r>
        <w:t>This study builds on this literature by providing what much of the recent benchmark-driven work lacks: a direct human study of how non-expert users experience ambiguity resolution in real time. This is a major gap because recent NLIDB research notes that user-centred evaluations of interaction behaviour, query refinement, trust, and error recovery remain sparse compared with technical benchmark evaluation [10]. BIRD-Interact moves the field toward dynamic interaction by showing that real database tasks require clarification, recovery from errors, and evolving user requirements, but it still evaluates interaction through a user simulator rather than direct user experience [11]. The present study, therefore, uses human participants and asks whether different interface designs change how users clarify their intent, how much they trust the answer, and whether the final SQL result actually matches what they wanted.</w:t>
      </w:r>
    </w:p>
    <w:p>
      <w:pPr>
        <w:pStyle w:val="IEEEParagraph"/>
      </w:pPr>
      <w:r>
        <w:t>This is timely because generated UI is becoming a live research direction in human-agent interaction. A very recent BIRD news update on 17 May 2026 announced the release of GenUI-Agent. Although the project is still new, its stated aim is clear: it explores whether agents can interact with users through AI-generated, context-aware front-end interfaces rather than natural language alone [12]. Therefore, comparing plain text, static clarification UI, and dynamic AI-generated UI is not just a design preference; it addresses a current gap at the intersection of text-to-SQL reliability, ambiguity resolution, and emerging AI interface design.</w:t>
      </w:r>
    </w:p>
    <w:p>
      <w:pPr>
        <w:pStyle w:val="IEEEHeading1"/>
        <w:numPr>
          <w:ilvl w:val="0"/>
          <w:numId w:val="0"/>
        </w:numPr>
      </w:pPr>
      <w:r>
        <w:t>III.  Research Questions and Hypotheses</w:t>
      </w:r>
    </w:p>
    <w:p>
      <w:pPr>
        <w:pStyle w:val="IEEEParagraph"/>
      </w:pPr>
      <w:r>
        <w:t>This study compares three AI-powered interfaces for helping people ask questions of a database in plain English. The central idea is appropriate reliance: a non-expert cannot read SQL, so they cannot tell whether the query the AI wrote actually answers their question. The study measures the gap between how well a participant thinks the system did and how well it actually did. {[reference defining appropriate reliance and overreliance in AI-assisted decision-making, to ground the construct]}</w:t>
      </w:r>
    </w:p>
    <w:p>
      <w:pPr>
        <w:pStyle w:val="IEEEHeading2"/>
        <w:numPr>
          <w:ilvl w:val="0"/>
          <w:numId w:val="0"/>
        </w:numPr>
      </w:pPr>
      <w:r>
        <w:t>A.  Research Questions</w:t>
      </w:r>
    </w:p>
    <w:p>
      <w:pPr>
        <w:pStyle w:val="IEEEParagraph"/>
        <w:ind w:firstLine="0" w:left="504"/>
      </w:pPr>
      <w:r>
        <w:t>• RQ1. Does the interface change the actual success of the resulting query for non-expert users?</w:t>
      </w:r>
    </w:p>
    <w:p>
      <w:pPr>
        <w:pStyle w:val="IEEEParagraph"/>
        <w:ind w:firstLine="0" w:left="504"/>
      </w:pPr>
      <w:r>
        <w:t>• RQ2. Does it change the gap between perceived and actual success — overreliance (confident in a wrong answer) and underreliance (distrusting a right one)?</w:t>
      </w:r>
    </w:p>
    <w:p>
      <w:pPr>
        <w:pStyle w:val="IEEEParagraph"/>
        <w:ind w:firstLine="0" w:left="504"/>
      </w:pPr>
      <w:r>
        <w:t>• RQ3. How do the static (C2) and dynamic (C3) interfaces compare on ease of use, sense of agency, and cost?</w:t>
      </w:r>
    </w:p>
    <w:p>
      <w:pPr>
        <w:pStyle w:val="IEEEParagraph"/>
        <w:ind w:firstLine="0" w:left="504"/>
      </w:pPr>
      <w:r>
        <w:t>• RQ4. Relative to no human involvement at all, does an interface change the outcome, and for which questions? (see Section IV-B.7, The No-Intervention Baseline)</w:t>
      </w:r>
    </w:p>
    <w:p>
      <w:pPr>
        <w:pStyle w:val="IEEEHeading2"/>
        <w:numPr>
          <w:ilvl w:val="0"/>
          <w:numId w:val="0"/>
        </w:numPr>
      </w:pPr>
      <w:r>
        <w:t>B.  Hypotheses</w:t>
      </w:r>
    </w:p>
    <w:p>
      <w:pPr>
        <w:pStyle w:val="IEEEParagraph"/>
      </w:pPr>
      <w:r>
        <w:t>Because the study is exploratory and small-N (see Section IV-A.1), the following are framed as directional expectations to be assessed through effect-size estimation and qualitative pattern-finding rather than confirmatory significance tests. They map one-to-one onto the research questions above.</w:t>
      </w:r>
    </w:p>
    <w:p>
      <w:pPr>
        <w:pStyle w:val="IEEEParagraph"/>
        <w:ind w:firstLine="0" w:left="504"/>
      </w:pPr>
      <w:r>
        <w:t>• H1 (actual success — RQ1). Structured clarification (C2 and C3) will yield higher actual query success than plain text (C1), because explicit, schema-grounded controls elicit the missing intent more reliably than free-form chat.</w:t>
      </w:r>
    </w:p>
    <w:p>
      <w:pPr>
        <w:pStyle w:val="IEEEParagraph"/>
        <w:ind w:firstLine="0" w:left="504"/>
      </w:pPr>
      <w:r>
        <w:t>• H2 (overreliance — RQ2). Plain text (C1) will show the largest gap between perceived and actual success — the most overreliance — because a fluent natural-language reply can read as competent even when the underlying SQL is wrong; structured interfaces, by making the resolved choices explicit, will narrow this gap.</w:t>
      </w:r>
    </w:p>
    <w:p>
      <w:pPr>
        <w:pStyle w:val="IEEEParagraph"/>
        <w:ind w:firstLine="0" w:left="504"/>
      </w:pPr>
      <w:r>
        <w:t>• H3 (agency, ease and cost — RQ3). The dynamic interface (C3) will be rated at least as high as the fixed wizard (C2) on sense of agency and perceived contribution, but C2 will be more consistent on ease of use, cheaper on cost (tokens and latency), and free of C3's risk of failing to render.</w:t>
      </w:r>
    </w:p>
    <w:p>
      <w:pPr>
        <w:pStyle w:val="IEEEParagraph"/>
        <w:ind w:firstLine="0" w:left="504"/>
      </w:pPr>
      <w:r>
        <w:t>• H4 (baseline value — RQ4). An interface will add value chiefly on questions the model answers incorrectly unaided; where the no-intervention baseline is already correct, the interfaces will show little or no improvement and may add friction.</w:t>
      </w:r>
    </w:p>
    <w:p>
      <w:pPr>
        <w:pStyle w:val="IEEEParagraph"/>
        <w:ind w:firstLine="0" w:left="504"/>
      </w:pPr>
      <w:r>
        <w:t>• H5 (calibration — RQ2). The model's stated confidence will be poorly calibrated to actual correctness, so confidence alone will not protect a non-expert from overreliance. {[reference on confidence calibration in AI-assisted decision-making]}</w:t>
      </w:r>
    </w:p>
    <w:p>
      <w:pPr>
        <w:pStyle w:val="IEEEHeading1"/>
        <w:numPr>
          <w:ilvl w:val="0"/>
          <w:numId w:val="0"/>
        </w:numPr>
      </w:pPr>
      <w:r>
        <w:t>IV.  Methodology</w:t>
      </w:r>
    </w:p>
    <w:p>
      <w:pPr>
        <w:pStyle w:val="IEEEParagraph"/>
      </w:pPr>
      <w:r>
        <w:t>The methodology has two clearly separated parts. Section IV-A describes the human-participant study — who takes part, what they do, what is measured, and how the data are analysed. Section IV-B describes the technical system that delivers the three conditions — the database, the interfaces, the prompts, the experimental controls that keep the comparison fair, and the logging. The two are kept distinct because they answer different questions: the first concerns research design and human behaviour; the second concerns the apparatus and its prompt engineering.</w:t>
      </w:r>
    </w:p>
    <w:p>
      <w:pPr>
        <w:pStyle w:val="IEEEHeading2"/>
        <w:numPr>
          <w:ilvl w:val="0"/>
          <w:numId w:val="0"/>
        </w:numPr>
      </w:pPr>
      <w:r>
        <w:t>A.  The Human-Participant Study</w:t>
      </w:r>
    </w:p>
    <w:p>
      <w:pPr>
        <w:pStyle w:val="IEEEHeading3"/>
        <w:numPr>
          <w:ilvl w:val="0"/>
          <w:numId w:val="0"/>
        </w:numPr>
      </w:pPr>
      <w:r>
        <w:t>1)  Research design and approach:</w:t>
      </w:r>
    </w:p>
    <w:p>
      <w:pPr>
        <w:pStyle w:val="IEEEParagraph"/>
      </w:pPr>
      <w:r>
        <w:t>The study is within-subjects: every participant uses all three interfaces, one for each question they write. The interface is the only thing that changes between conditions (see Section IV-B.5, What Is Held Constant), so a difference in outcome points to the interface.</w:t>
      </w:r>
    </w:p>
    <w:p>
      <w:pPr>
        <w:pStyle w:val="IEEEParagraph"/>
      </w:pPr>
      <w:r>
        <w:t>This is an exploratory analysis using both quantative data and qualitative analysis fo that data, ie. Not using inferential statistics but drawing meaning from it {this sentence above needs huge reform and a [reference about this type of research method]}. As it is an explotarty study the participant sample size is small. This study looks for patterns and estimates the size of any effect {with effect size but also u know like analysis qualitatively through finindg things that fit into taxonomie and things about sql and the ambigurites } rather than running formal tests to prove a hypothesis. {[reference supporting an exploratory, effect-size-estimation stance for small-N HCI studies]}</w:t>
      </w:r>
    </w:p>
    <w:p>
      <w:pPr>
        <w:pStyle w:val="IEEEHeading3"/>
        <w:numPr>
          <w:ilvl w:val="0"/>
          <w:numId w:val="0"/>
        </w:numPr>
      </w:pPr>
      <w:r>
        <w:t>2)  Participants and sampling:</w:t>
      </w:r>
    </w:p>
    <w:p>
      <w:pPr>
        <w:pStyle w:val="IEEEParagraph"/>
      </w:pPr>
      <w:r>
        <w:t>The study is for non-experts: people who want answers from data but cannot write or check SQL. SQL fluency is an exclusion criterion, not something recruited for.</w:t>
      </w:r>
    </w:p>
    <w:p>
      <w:pPr>
        <w:pStyle w:val="IEEEParagraph"/>
      </w:pPr>
      <w:r>
        <w:t>The target is 10–12 participants — small, and treated as such. It is enough for within-subjects process data, the descriptive reliance analysis, and thematic analysis of what participants say, which is where the contribution sits. Recruitment is by convenience sampling. A short screener at the start confirms the participant is a non-expert and matches the demographics captured on screen (age band, SQL experience, database/spreadsheet use). {[reference on appropriate sample sizes for exploratory or qualitative HCI studies, to support N = 10–12]}</w:t>
      </w:r>
    </w:p>
    <w:p>
      <w:pPr>
        <w:pStyle w:val="IEEEHeading3"/>
        <w:numPr>
          <w:ilvl w:val="0"/>
          <w:numId w:val="0"/>
        </w:numPr>
      </w:pPr>
      <w:r>
        <w:t>3)  Procedure:</w:t>
      </w:r>
    </w:p>
    <w:p>
      <w:pPr>
        <w:pStyle w:val="IEEEParagraph"/>
      </w:pPr>
      <w:r>
        <w:t>A session takes about 10–15 minutes and follows the flow below.</w:t>
      </w:r>
    </w:p>
    <w:p>
      <w:pPr>
        <w:pStyle w:val="IEEEParagraph"/>
        <w:spacing w:after="40"/>
        <w:ind w:firstLine="0"/>
      </w:pPr>
      <w:r>
        <w:rPr>
          <w:i/>
          <w:sz w:val="17"/>
        </w:rPr>
        <w:t>frontend/src/StudyShell.jsx — the participant journey</w:t>
      </w:r>
    </w:p>
    <w:p>
      <w:pPr>
        <w:pStyle w:val="IEEEParagraph"/>
        <w:spacing w:before="60" w:after="160"/>
        <w:ind w:firstLine="0" w:left="144"/>
        <w:jc w:val="left"/>
        <w:shd w:val="clear" w:color="auto" w:fill="F2F2F2"/>
      </w:pPr>
      <w:r>
        <w:rPr>
          <w:rFonts w:ascii="Consolas" w:hAnsi="Consolas"/>
          <w:sz w:val="17"/>
        </w:rPr>
        <w:t>Welcome</w:t>
        <w:br/>
      </w:r>
      <w:r>
        <w:rPr>
          <w:rFonts w:ascii="Consolas" w:hAnsi="Consolas"/>
          <w:sz w:val="17"/>
        </w:rPr>
        <w:t xml:space="preserve">  ↓</w:t>
        <w:br/>
      </w:r>
      <w:r>
        <w:rPr>
          <w:rFonts w:ascii="Consolas" w:hAnsi="Consolas"/>
          <w:sz w:val="17"/>
        </w:rPr>
        <w:t>Consent  (recording, anonymisation, voluntary, data use)</w:t>
        <w:br/>
      </w:r>
      <w:r>
        <w:rPr>
          <w:rFonts w:ascii="Consolas" w:hAnsi="Consolas"/>
          <w:sz w:val="17"/>
        </w:rPr>
        <w:t xml:space="preserve">  ↓</w:t>
        <w:br/>
      </w:r>
      <w:r>
        <w:rPr>
          <w:rFonts w:ascii="Consolas" w:hAnsi="Consolas"/>
          <w:sz w:val="17"/>
        </w:rPr>
        <w:t>Demographics  (age band, SQL experience, database/spreadsheet use)</w:t>
        <w:br/>
      </w:r>
      <w:r>
        <w:rPr>
          <w:rFonts w:ascii="Consolas" w:hAnsi="Consolas"/>
          <w:sz w:val="17"/>
        </w:rPr>
        <w:t xml:space="preserve">  ↓</w:t>
        <w:br/>
      </w:r>
      <w:r>
        <w:rPr>
          <w:rFonts w:ascii="Consolas" w:hAnsi="Consolas"/>
          <w:sz w:val="17"/>
        </w:rPr>
        <w:t>What you'll be doing  (overview of the task)</w:t>
        <w:br/>
      </w:r>
      <w:r>
        <w:rPr>
          <w:rFonts w:ascii="Consolas" w:hAnsi="Consolas"/>
          <w:sz w:val="17"/>
        </w:rPr>
        <w:t xml:space="preserve">  ↓</w:t>
        <w:br/>
      </w:r>
      <w:r>
        <w:rPr>
          <w:rFonts w:ascii="Consolas" w:hAnsi="Consolas"/>
          <w:sz w:val="17"/>
        </w:rPr>
        <w:t>Guidance  (how to write a good, ambiguous question)</w:t>
        <w:br/>
      </w:r>
      <w:r>
        <w:rPr>
          <w:rFonts w:ascii="Consolas" w:hAnsi="Consolas"/>
          <w:sz w:val="17"/>
        </w:rPr>
        <w:t xml:space="preserve">  ↓</w:t>
        <w:br/>
      </w:r>
      <w:r>
        <w:rPr>
          <w:rFonts w:ascii="Consolas" w:hAnsi="Consolas"/>
          <w:sz w:val="17"/>
        </w:rPr>
        <w:t>Task  (read the records, write 3 plain-English questions)</w:t>
        <w:br/>
      </w:r>
      <w:r>
        <w:rPr>
          <w:rFonts w:ascii="Consolas" w:hAnsi="Consolas"/>
          <w:sz w:val="17"/>
        </w:rPr>
        <w:t xml:space="preserve">  ↓</w:t>
        <w:br/>
      </w:r>
      <w:r>
        <w:rPr>
          <w:rFonts w:ascii="Consolas" w:hAnsi="Consolas"/>
          <w:sz w:val="17"/>
        </w:rPr>
        <w:t>For each of the 3 questions (one per condition):</w:t>
        <w:br/>
      </w:r>
      <w:r>
        <w:rPr>
          <w:rFonts w:ascii="Consolas" w:hAnsi="Consolas"/>
          <w:sz w:val="17"/>
        </w:rPr>
        <w:t xml:space="preserve">  Interface → resolve ambiguities</w:t>
        <w:br/>
      </w:r>
      <w:r>
        <w:rPr>
          <w:rFonts w:ascii="Consolas" w:hAnsi="Consolas"/>
          <w:sz w:val="17"/>
        </w:rPr>
        <w:t xml:space="preserve">  Output    → see the AI's SQL result</w:t>
        <w:br/>
      </w:r>
      <w:r>
        <w:rPr>
          <w:rFonts w:ascii="Consolas" w:hAnsi="Consolas"/>
          <w:sz w:val="17"/>
        </w:rPr>
        <w:t xml:space="preserve">  Feedback  → short interface ratings</w:t>
        <w:br/>
      </w:r>
      <w:r>
        <w:rPr>
          <w:rFonts w:ascii="Consolas" w:hAnsi="Consolas"/>
          <w:sz w:val="17"/>
        </w:rPr>
        <w:t xml:space="preserve">  ↓</w:t>
        <w:br/>
      </w:r>
      <w:r>
        <w:rPr>
          <w:rFonts w:ascii="Consolas" w:hAnsi="Consolas"/>
          <w:sz w:val="17"/>
        </w:rPr>
        <w:t>End</w:t>
      </w:r>
    </w:p>
    <w:p>
      <w:pPr>
        <w:pStyle w:val="IEEEParagraph"/>
        <w:spacing w:before="40" w:after="120"/>
        <w:ind w:firstLine="0"/>
        <w:shd w:val="clear" w:color="auto" w:fill="FFF3CD"/>
      </w:pPr>
      <w:r>
        <w:rPr>
          <w:b/>
          <w:color w:val="B00000"/>
          <w:sz w:val="18"/>
        </w:rPr>
        <w:t>[VERIFY: Added the “What you'll be doing” screen to match the SCREENS list in StudyShell.jsx (it sits between Demographics and Guidance).]</w:t>
      </w:r>
    </w:p>
    <w:p>
      <w:pPr>
        <w:pStyle w:val="IEEEParagraph"/>
      </w:pPr>
      <w:r>
        <w:t>After brief consent and the demographics screen, a short warm-up shows how a database schema is laid out — tables, columns, relationships — with no SQL, just so the participant is comfortable reading one.</w:t>
      </w:r>
    </w:p>
    <w:p>
      <w:pPr>
        <w:pStyle w:val="IEEEParagraph"/>
      </w:pPr>
      <w:r>
        <w:t>The participant then writes three plain-English questions about the student_club database. They write their own because they know what they actually want to know; pre-written questions would impose the researcher's idea of what is ambiguous. The guidance screen helps them make questions that are genuinely ambiguous rather than trivial. On screen, the guidance frames a challenging question as one that does at least one of four things: it could mean more than one thing; it combines more than one kind of information (people, events, money); it involves working something out (an aggregate, average, or comparison); or it leaves a specific detail unstated (a time frame, place, or cutoff that must be settled). These prompts are only a writing aid: questions are not sorted by class, and class is not a variable. They are meant to elicit the kinds of ambiguity the static C2 interface can detect, so the C2-vs-C3 comparison stays about the interface rather than about one condition missing the ambiguity {[reference: AmbiSQL, for the ambiguity taxonomy]}. The participant also notes in one line what they meant the question to ask; this intent note is used later for scoring. The researcher checks each question is answerable before moving on.</w:t>
      </w:r>
    </w:p>
    <w:p>
      <w:pPr>
        <w:pStyle w:val="IEEEParagraph"/>
        <w:spacing w:before="40" w:after="120"/>
        <w:ind w:firstLine="0"/>
        <w:shd w:val="clear" w:color="auto" w:fill="FFF3CD"/>
      </w:pPr>
      <w:r>
        <w:rPr>
          <w:b/>
          <w:color w:val="B00000"/>
          <w:sz w:val="18"/>
        </w:rPr>
        <w:t>[VERIFY: The earlier draft labelled the writing prompts “schema reference / superlative / value reference / temporal window.” The on-screen guidance (StudyShell.jsx) actually frames the four prompts as described above, and the backend A2 detector uses seven types (see Section IV-B.4). I have described what participants see; please confirm the framing and how it maps onto AmbiSQL's taxonomy.]</w:t>
      </w:r>
    </w:p>
    <w:p>
      <w:pPr>
        <w:pStyle w:val="IEEEParagraph"/>
      </w:pPr>
      <w:r>
        <w:t>Each question is then answered through one interface, with order counterbalanced (see Section IV-A.5). Participants are encouraged to think aloud. After each result is shown, they give that interface a short rating (see Section IV-A.4). The session ends with a brief debrief: which interface they preferred and why, and any point where they were unsure whether the answer was really what they asked for.</w:t>
      </w:r>
    </w:p>
    <w:p>
      <w:pPr>
        <w:pStyle w:val="IEEEHeading3"/>
        <w:numPr>
          <w:ilvl w:val="0"/>
          <w:numId w:val="0"/>
        </w:numPr>
      </w:pPr>
      <w:r>
        <w:t>4)  Measures:</w:t>
      </w:r>
    </w:p>
    <w:p>
      <w:pPr>
        <w:pStyle w:val="IEEEParagraph"/>
      </w:pPr>
      <w:r>
        <w:t>Three kinds of measure are collected.</w:t>
      </w:r>
    </w:p>
    <w:p>
      <w:pPr>
        <w:pStyle w:val="IEEEParagraph"/>
      </w:pPr>
      <w:r>
        <w:t>Objective — actual success. Scored by the researcher afterwards, not by the system. For each question the researcher writes a correct (gold) SQL query, runs it against the read-only database, and compares its result to the one the participant accepted. Scoring is by execution accuracy — does the result match — rather than exact query text, which is the BIRD standard {[reference: BIRD benchmark, for execution-accuracy scoring]}. Each trial is correct, partial, or incorrect, with a false-confidence flag where a confident participant accepted a wrong result, and a failure-attribution label on wrong trials (e.g. schema-linking error, unanswerable question, misread ambiguity).</w:t>
      </w:r>
    </w:p>
    <w:p>
      <w:pPr>
        <w:pStyle w:val="IEEEParagraph"/>
      </w:pPr>
      <w:r>
        <w:t>Combined with the participant's perceived success, these populate the 2×2 reliance matrix, computed per condition:</w:t>
      </w:r>
    </w:p>
    <w:p>
      <w:pPr>
        <w:pStyle w:val="IEEETableCaption"/>
        <w:jc w:val="center"/>
      </w:pPr>
      <w:r>
        <w:rPr>
          <w:sz w:val="16"/>
        </w:rPr>
        <w:t>TABLE I. The Appropriate-Reliance Matrix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
              <w:rPr>
                <w:b/>
                <w:sz w:val="18"/>
              </w:rPr>
            </w:r>
          </w:p>
        </w:tc>
        <w:tc>
          <w:tcPr>
            <w:tcW w:type="dxa" w:w="3009"/>
          </w:tcPr>
          <w:p>
            <w:r/>
            <w:r>
              <w:rPr>
                <w:b/>
                <w:sz w:val="18"/>
              </w:rPr>
              <w:t>Actually correct</w:t>
            </w:r>
          </w:p>
        </w:tc>
        <w:tc>
          <w:tcPr>
            <w:tcW w:type="dxa" w:w="3009"/>
          </w:tcPr>
          <w:p>
            <w:r/>
            <w:r>
              <w:rPr>
                <w:b/>
                <w:sz w:val="18"/>
              </w:rPr>
              <w:t>Actually wrong</w:t>
            </w:r>
          </w:p>
        </w:tc>
      </w:tr>
      <w:tr>
        <w:tc>
          <w:tcPr>
            <w:tcW w:type="dxa" w:w="3009"/>
          </w:tcPr>
          <w:p>
            <w:r/>
            <w:r>
              <w:rPr>
                <w:b/>
                <w:sz w:val="18"/>
              </w:rPr>
              <w:t>Perceived success</w:t>
            </w:r>
          </w:p>
        </w:tc>
        <w:tc>
          <w:tcPr>
            <w:tcW w:type="dxa" w:w="3009"/>
          </w:tcPr>
          <w:p>
            <w:r/>
            <w:r>
              <w:rPr>
                <w:sz w:val="18"/>
              </w:rPr>
              <w:t>appropriate reliance</w:t>
            </w:r>
          </w:p>
        </w:tc>
        <w:tc>
          <w:tcPr>
            <w:tcW w:type="dxa" w:w="3009"/>
          </w:tcPr>
          <w:p>
            <w:r/>
            <w:r>
              <w:rPr>
                <w:sz w:val="18"/>
              </w:rPr>
              <w:t>overreliance</w:t>
            </w:r>
          </w:p>
        </w:tc>
      </w:tr>
      <w:tr>
        <w:tc>
          <w:tcPr>
            <w:tcW w:type="dxa" w:w="3009"/>
          </w:tcPr>
          <w:p>
            <w:r/>
            <w:r>
              <w:rPr>
                <w:b/>
                <w:sz w:val="18"/>
              </w:rPr>
              <w:t>Perceived failure</w:t>
            </w:r>
          </w:p>
        </w:tc>
        <w:tc>
          <w:tcPr>
            <w:tcW w:type="dxa" w:w="3009"/>
          </w:tcPr>
          <w:p>
            <w:r/>
            <w:r>
              <w:rPr>
                <w:sz w:val="18"/>
              </w:rPr>
              <w:t>underreliance</w:t>
            </w:r>
          </w:p>
        </w:tc>
        <w:tc>
          <w:tcPr>
            <w:tcW w:type="dxa" w:w="3009"/>
          </w:tcPr>
          <w:p>
            <w:r/>
            <w:r>
              <w:rPr>
                <w:sz w:val="18"/>
              </w:rPr>
              <w:t>appropriate self-reliance</w:t>
            </w:r>
          </w:p>
        </w:tc>
      </w:tr>
    </w:tbl>
    <w:p>
      <w:pPr>
        <w:pStyle w:val="IEEEParagraph"/>
      </w:pPr>
      <w:r>
        <w:t>The overreliance cell is the headline. Stated confidence (the 0–100 the finalise prompt returns) is also compared against actual correctness as a calibration check. {[reference on confidence calibration in AI-assisted decision-making]}</w:t>
      </w:r>
    </w:p>
    <w:p>
      <w:pPr>
        <w:pStyle w:val="IEEEParagraph"/>
      </w:pPr>
      <w:r>
        <w:t>Subjective. After each interface the participant answers two short Likert-5 items: ‘The response gave me what I wanted’ (the perceived half of the reliance matrix) and ‘The interface was intuitive and easy to use’. Optional free text is collected. At the end they say which interface they preferred overall, and why. Sense of agency (RQ3) — whether participants felt they contributed to the answer, and whether the choices the system asked them made sense — is read qualitatively from the think-aloud and the debrief rather than from a dedicated Likert item.</w:t>
      </w:r>
    </w:p>
    <w:p>
      <w:pPr>
        <w:pStyle w:val="IEEEParagraph"/>
        <w:spacing w:before="40" w:after="120"/>
        <w:ind w:firstLine="0"/>
        <w:shd w:val="clear" w:color="auto" w:fill="FFF3CD"/>
      </w:pPr>
      <w:r>
        <w:rPr>
          <w:b/>
          <w:color w:val="B00000"/>
          <w:sz w:val="18"/>
        </w:rPr>
        <w:t>[VERIFY: Reduced to the two Likert items actually in the build (StudyShell.jsx feedback screen) plus free text. The two agency/clarity items in the earlier draft are not implemented, so RQ3's ‘sense of agency’ is treated qualitatively here. Add the items to the UI if you want them quantified.]</w:t>
      </w:r>
    </w:p>
    <w:p>
      <w:pPr>
        <w:pStyle w:val="IEEEParagraph"/>
      </w:pPr>
      <w:r>
        <w:t>A fuller usability instrument such as the System Usability Scale {[reference: System Usability Scale (SUS)]} would be the standard alternative here. It is deliberately not used: with three conditions inside a 10–15 minute session, a ten-item scale per condition would fatigue participants and lengthen the session, so a few targeted items are used instead.</w:t>
      </w:r>
    </w:p>
    <w:p>
      <w:pPr>
        <w:pStyle w:val="IEEEParagraph"/>
      </w:pPr>
      <w:r>
        <w:t>Process. Time-on-task, the number of clarifications shown and answered, the pre- and post-clarification SQL, the explanation shown with the result, and the full interaction trace, all logged automatically. Think-aloud is recorded and transcribed, anonymised at the point of transcription.</w:t>
      </w:r>
    </w:p>
    <w:p>
      <w:pPr>
        <w:pStyle w:val="IEEEHeading3"/>
        <w:numPr>
          <w:ilvl w:val="0"/>
          <w:numId w:val="0"/>
        </w:numPr>
      </w:pPr>
      <w:r>
        <w:t>5)  Counterbalancing:</w:t>
      </w:r>
    </w:p>
    <w:p>
      <w:pPr>
        <w:pStyle w:val="IEEEParagraph"/>
      </w:pPr>
      <w:r>
        <w:t>Two things are counterbalanced. Condition order controls for learning and fatigue across the three trials. Question-to-condition pairing controls for the fact that a participant's three self-authored questions are not equally hard or equally ambiguous; rotating which question is answered under which interface stops any one condition from systematically receiving the best or first-written question. A 3×3 Latin square handles both {[reference on Latin-square counterbalancing in within-subjects designs]}: each participant is assigned one row, so across every block of three participants each condition appears in each position once and each question slot maps to each condition once. At N = 10–12 the square is not perfectly balanced (it repeats every three participants with a remainder), so the analysis reports the realised counts and treats any residual imbalance as a covariate rather than ignoring it.</w:t>
      </w:r>
    </w:p>
    <w:p>
      <w:pPr>
        <w:pStyle w:val="IEEEParagraph"/>
        <w:spacing w:after="40"/>
        <w:ind w:firstLine="0"/>
      </w:pPr>
      <w:r>
        <w:rPr>
          <w:i/>
          <w:sz w:val="17"/>
        </w:rPr>
        <w:t>backend/main.py — condition order (line 33)</w:t>
      </w:r>
    </w:p>
    <w:p>
      <w:pPr>
        <w:pStyle w:val="IEEEParagraph"/>
        <w:spacing w:before="60" w:after="160"/>
        <w:ind w:firstLine="0" w:left="144"/>
        <w:jc w:val="left"/>
        <w:shd w:val="clear" w:color="auto" w:fill="F2F2F2"/>
      </w:pPr>
      <w:r>
        <w:rPr>
          <w:rFonts w:ascii="Consolas" w:hAnsi="Consolas"/>
          <w:sz w:val="17"/>
        </w:rPr>
        <w:t>DEFAULT_CONDITION_ORDER = ["1", "2", "3"]  # counterbalanced in the study</w:t>
      </w:r>
    </w:p>
    <w:p>
      <w:pPr>
        <w:pStyle w:val="IEEEHeading3"/>
        <w:numPr>
          <w:ilvl w:val="0"/>
          <w:numId w:val="0"/>
        </w:numPr>
      </w:pPr>
      <w:r>
        <w:t>6)  Scoring and analysis plan:</w:t>
      </w:r>
    </w:p>
    <w:p>
      <w:pPr>
        <w:pStyle w:val="IEEEParagraph"/>
      </w:pPr>
      <w:r>
        <w:t>Gold scoring is done by the researcher afterwards, using the participant's intent note to settle what the question meant. To check for single-rater bias, a second rater independently scores a subset and Cohen's kappa is reported on the overlap {[reference: Cohen's kappa for inter-rater reliability]}.</w:t>
      </w:r>
    </w:p>
    <w:p>
      <w:pPr>
        <w:pStyle w:val="IEEEParagraph"/>
      </w:pPr>
      <w:r>
        <w:t>Given the small sample, the main analysis is descriptive and qualitative. It reports actual-success rates by condition; the perceived-vs-actual gap by condition; the 2×2 reliance matrix per condition; the spread of failure-attribution labels; and confidence calibration. The C2-vs-C3 comparison also reports cost — mean input/output tokens and latency per condition — and the C3 compile-success rate, since a generated interface can fail to render where a fixed one cannot.</w:t>
      </w:r>
    </w:p>
    <w:p>
      <w:pPr>
        <w:pStyle w:val="IEEEParagraph"/>
      </w:pPr>
      <w:r>
        <w:t>Any statistical model is secondary and reported as effect-size estimation, not significance testing — for example a mixed-effects logistic regression of actual success on condition with random intercepts for participant and question {[reference on mixed-effects models for repeated-measures HCI data]}. Free-text and think-aloud are thematically coded {[reference: reflexive thematic analysis, e.g. Braun &amp; Clarke]} to explain why an interface helped or misled.</w:t>
      </w:r>
    </w:p>
    <w:p>
      <w:pPr>
        <w:pStyle w:val="IEEEParagraph"/>
      </w:pPr>
      <w:r>
        <w:t>Because each question is answered through only one interface, the content an interface actually shows varies from question to question. For every trial the researcher also reviews what the interface presented — the specific clarifications it surfaced and how they were framed — to judge whether differences in the content shown, rather than the interface type alone, may explain a difference in outcome. This is a qualitative confound check sitting alongside the quantitative comparison.</w:t>
      </w:r>
    </w:p>
    <w:p>
      <w:pPr>
        <w:pStyle w:val="IEEEHeading2"/>
        <w:numPr>
          <w:ilvl w:val="0"/>
          <w:numId w:val="0"/>
        </w:numPr>
      </w:pPr>
      <w:r>
        <w:t>B.  The Technical System</w:t>
      </w:r>
    </w:p>
    <w:p>
      <w:pPr>
        <w:pStyle w:val="IEEEHeading3"/>
        <w:numPr>
          <w:ilvl w:val="0"/>
          <w:numId w:val="0"/>
        </w:numPr>
      </w:pPr>
      <w:r>
        <w:t>1)  System overview:</w:t>
      </w:r>
    </w:p>
    <w:p>
      <w:pPr>
        <w:pStyle w:val="IEEEParagraph"/>
      </w:pPr>
      <w:r>
        <w:t>The prototype is a FastAPI backend and a Vite + React frontend. The backend powers all three conditions from a single model at temperature 0, using the prompts in PROMPTS.md verbatim, and logs every interaction. Each (question, condition) pair is one model conversation: the first turn differs by condition (text, JSON, or code) and a shared finalise turn is appended to the same window to write the SQL. The content database is opened read-only and the model never gets a live query tool — its only knowledge of the data is a frozen description injected identically into every call.</w:t>
      </w:r>
    </w:p>
    <w:p>
      <w:pPr>
        <w:pStyle w:val="IEEEHeading3"/>
        <w:numPr>
          <w:ilvl w:val="0"/>
          <w:numId w:val="0"/>
        </w:numPr>
      </w:pPr>
      <w:r>
        <w:t>2)  The database queried:</w:t>
      </w:r>
    </w:p>
    <w:p>
      <w:pPr>
        <w:pStyle w:val="IEEEParagraph"/>
      </w:pPr>
      <w:r>
        <w:t>Participants query the student_club database — a snapshot of a university club's 2019–20 academic year. It comes from an established SQL benchmark, BIRD Mini-Dev {[reference: BIRD / BIRD Mini-Dev benchmark, for the dataset]}, chosen because it is complex enough to produce genuinely ambiguous questions but familiar enough that no specialist knowledge is needed.</w:t>
      </w:r>
    </w:p>
    <w:p>
      <w:pPr>
        <w:pStyle w:val="IEEEParagraph"/>
      </w:pPr>
      <w:r>
        <w:t>The database has five main areas:</w:t>
      </w:r>
    </w:p>
    <w:p>
      <w:pPr>
        <w:pStyle w:val="IEEEParagraph"/>
        <w:ind w:firstLine="0" w:left="504"/>
      </w:pPr>
      <w:r>
        <w:t>• Members: name, email, position (Member/President/Treasurer), major, T-shirt size</w:t>
      </w:r>
    </w:p>
    <w:p>
      <w:pPr>
        <w:pStyle w:val="IEEEParagraph"/>
        <w:ind w:firstLine="0" w:left="504"/>
      </w:pPr>
      <w:r>
        <w:t>• Events: name, date, type (Meeting/Game/Social/Election), location, status</w:t>
      </w:r>
    </w:p>
    <w:p>
      <w:pPr>
        <w:pStyle w:val="IEEEParagraph"/>
        <w:ind w:firstLine="0" w:left="504"/>
      </w:pPr>
      <w:r>
        <w:t>• Budget: per-event budget lines, by category (Food, Advertising, etc.)</w:t>
      </w:r>
    </w:p>
    <w:p>
      <w:pPr>
        <w:pStyle w:val="IEEEParagraph"/>
        <w:ind w:firstLine="0" w:left="504"/>
      </w:pPr>
      <w:r>
        <w:t>• Expenses &amp; Income: costs paid and money received, linked to events</w:t>
      </w:r>
    </w:p>
    <w:p>
      <w:pPr>
        <w:pStyle w:val="IEEEParagraph"/>
        <w:ind w:firstLine="0" w:left="504"/>
      </w:pPr>
      <w:r>
        <w:t>• Attendance: which members attended which events</w:t>
      </w:r>
    </w:p>
    <w:p>
      <w:pPr>
        <w:pStyle w:val="IEEEParagraph"/>
      </w:pPr>
      <w:r>
        <w:t>The database is opened read-only at the connection level. The AI never gets a live query tool — it sees only a frozen description of the schema and sample data, so it cannot explore the database on its own.</w:t>
      </w:r>
    </w:p>
    <w:p>
      <w:pPr>
        <w:pStyle w:val="IEEEParagraph"/>
        <w:spacing w:after="40"/>
        <w:ind w:firstLine="0"/>
      </w:pPr>
      <w:r>
        <w:rPr>
          <w:i/>
          <w:sz w:val="17"/>
        </w:rPr>
        <w:t>backend/content_db.py — read-only at both the URI and driver level (line 37)</w:t>
      </w:r>
    </w:p>
    <w:p>
      <w:pPr>
        <w:pStyle w:val="IEEEParagraph"/>
        <w:spacing w:before="60" w:after="160"/>
        <w:ind w:firstLine="0" w:left="144"/>
        <w:jc w:val="left"/>
        <w:shd w:val="clear" w:color="auto" w:fill="F2F2F2"/>
      </w:pPr>
      <w:r>
        <w:rPr>
          <w:rFonts w:ascii="Consolas" w:hAnsi="Consolas"/>
          <w:sz w:val="17"/>
        </w:rPr>
        <w:t>uri = f"file:{DB_PATH}?mode=ro"</w:t>
        <w:br/>
      </w:r>
      <w:r>
        <w:rPr>
          <w:rFonts w:ascii="Consolas" w:hAnsi="Consolas"/>
          <w:sz w:val="17"/>
        </w:rPr>
        <w:t>conn = sqlite3.connect(uri, uri=True)</w:t>
        <w:br/>
      </w:r>
      <w:r>
        <w:rPr>
          <w:rFonts w:ascii="Consolas" w:hAnsi="Consolas"/>
          <w:sz w:val="17"/>
        </w:rPr>
        <w:t>conn.execute("PRAGMA query_only = ON;")</w:t>
      </w:r>
    </w:p>
    <w:p>
      <w:pPr>
        <w:pStyle w:val="IEEEHeading3"/>
        <w:numPr>
          <w:ilvl w:val="0"/>
          <w:numId w:val="0"/>
        </w:numPr>
      </w:pPr>
      <w:r>
        <w:t>3)  The three interface conditions:</w:t>
      </w:r>
    </w:p>
    <w:p>
      <w:pPr>
        <w:pStyle w:val="IEEEParagraph"/>
      </w:pPr>
      <w:r>
        <w:t>Each participant works through all three conditions, one per question they wrote; the order is counterbalanced (see Section IV-A.5). The conditions differ only in what happens during the clarification step — the first turn in the conversation. The prompts that drive each condition are reproduced and explained in full in Section IV-B.4.</w:t>
      </w:r>
    </w:p>
    <w:p>
      <w:pPr>
        <w:pStyle w:val="IEEEParagraph"/>
      </w:pPr>
      <w:r>
        <w:t>Condition 1 — Chatbot (plain text). The AI reads the question and replies in plain English, explaining what it understood and asking about anything still unclear. The participant types a reply. No structure, no controls, just text — a single clarifying round-trip before the answer is written.</w:t>
      </w:r>
    </w:p>
    <w:p>
      <w:pPr>
        <w:pStyle w:val="IEEEParagraph"/>
      </w:pPr>
      <w:r>
        <w:t>Condition 2 — Structured, fixed UI. The AI returns structured JSON listing every ambiguity it found, each with a UI control type. A fixed wizard renders those controls one at a time, so the participant resolves them without typing. This design is based on the AmbiSQL framework from prior NLP research {[reference: AmbiSQL, for the static clarification design this condition replicates]}. The wizard is deliberately conditional but not creative: the model decides which control fits each ambiguity and fills it only with real values from the frozen database description, but the layout, order, and styling are fixed by the wizard rather than authored by the model. Each ambiguity is shown as one card carrying the phrase in question, a plain-language clarification question, a short line of evidence (the schema columns behind it), and one polymorphic input slot whose control is chosen by the ambiguity's ‘affordance’ field — a radio group (choice), a dropdown of stored values (value), a slider (range), a two-state segmented control (toggle), or a date-range picker (dateRange). A free-text ‘other/custom’ escape hatch is offered unless a free-text answer makes no sense, each item can be skipped, and a running rewrite of the question shows progress. What the model can vary is therefore bounded to the choice of control and the values inside it; everything else is held constant by the fixed shell. {more explaaniton on the actual like information on the design of this one as it’s quite conditional the UI but just not creative liket eh dynamic one}</w:t>
      </w:r>
    </w:p>
    <w:p>
      <w:pPr>
        <w:pStyle w:val="IEEEParagraph"/>
      </w:pPr>
      <w:r>
        <w:t>Condition 3 — Dynamic (AI-generated interface). The AI generates a custom React component tailored to the specific question, rendered in a sandboxed iframe that cannot reach the internet or the parent page. The ambiguity list used to generate it is the same list Condition 2 would use, so the AI's reading of what is ambiguous is held constant between the two — only the interface design changes. The component runs under a Content Security Policy of connect-src 'none', so it can make no network requests; React, ReactDOM, and Babel are bundled locally, so there are no external CDN calls. The sandbox is allow-scripts only (no same-origin), so the generated code cannot reach the host page. If the component fails to compile or render, or does not report itself within a timeout, the host falls back to a minimal ‘what did you mean by X?’ form so the participant is never stuck — and whether a trial rendered live or fell back is logged.</w:t>
      </w:r>
    </w:p>
    <w:p>
      <w:pPr>
        <w:pStyle w:val="IEEEHeading3"/>
        <w:numPr>
          <w:ilvl w:val="0"/>
          <w:numId w:val="0"/>
        </w:numPr>
      </w:pPr>
      <w:r>
        <w:t>4)  The clarification prompts in detail:</w:t>
      </w:r>
    </w:p>
    <w:p>
      <w:pPr>
        <w:pStyle w:val="IEEEParagraph"/>
      </w:pPr>
      <w:r>
        <w:t>Every condition is driven by the same small set of prompts, reproduced verbatim from PROMPTS.md and prompts.py. They are layered so that what differs between conditions is isolated to a single block: every system prompt opens with the same context stack, and only the task and output contract change. This subsection walks through each prompt and the design intent behind it.</w:t>
      </w:r>
    </w:p>
    <w:p>
      <w:pPr>
        <w:pStyle w:val="IEEEParagraph"/>
      </w:pPr>
      <w:r>
        <w:t>(a) The shared context stack. Every condition's system prompt opens with the same ROLE line and the same DATABASE block, so no condition is better-informed than another. The {{DB_CONTEXT}} placeholder is the frozen schema-plus-sample-data artifact described in Section IV-B.5; it is read once and injected identically into every call.</w:t>
      </w:r>
    </w:p>
    <w:p>
      <w:pPr>
        <w:pStyle w:val="IEEEParagraph"/>
        <w:spacing w:after="40"/>
        <w:ind w:firstLine="0"/>
      </w:pPr>
      <w:r>
        <w:rPr>
          <w:i/>
          <w:sz w:val="17"/>
        </w:rPr>
        <w:t>backend/prompts.py — ROLE and DATABASE (open every system prompt)</w:t>
      </w:r>
    </w:p>
    <w:p>
      <w:pPr>
        <w:pStyle w:val="IEEEParagraph"/>
        <w:spacing w:before="60" w:after="160"/>
        <w:ind w:firstLine="0" w:left="144"/>
        <w:jc w:val="left"/>
        <w:shd w:val="clear" w:color="auto" w:fill="F2F2F2"/>
      </w:pPr>
      <w:r>
        <w:rPr>
          <w:rFonts w:ascii="Consolas" w:hAnsi="Consolas"/>
          <w:sz w:val="17"/>
        </w:rPr>
        <w:t>ROLE</w:t>
        <w:br/>
      </w:r>
      <w:r>
        <w:rPr>
          <w:rFonts w:ascii="Consolas" w:hAnsi="Consolas"/>
          <w:sz w:val="17"/>
        </w:rPr>
        <w:t>You are helping a person who does not know SQL get information out of the</w:t>
        <w:br/>
      </w:r>
      <w:r>
        <w:rPr>
          <w:rFonts w:ascii="Consolas" w:hAnsi="Consolas"/>
          <w:sz w:val="17"/>
        </w:rPr>
        <w:t>student_club database. They have written a question in plain English.</w:t>
        <w:br/>
      </w:r>
      <w:r>
        <w:rPr>
          <w:rFonts w:ascii="Consolas" w:hAnsi="Consolas"/>
          <w:sz w:val="17"/>
        </w:rPr>
        <w:br/>
      </w:r>
      <w:r>
        <w:rPr>
          <w:rFonts w:ascii="Consolas" w:hAnsi="Consolas"/>
          <w:sz w:val="17"/>
        </w:rPr>
        <w:t>DATABASE</w:t>
        <w:br/>
      </w:r>
      <w:r>
        <w:rPr>
          <w:rFonts w:ascii="Consolas" w:hAnsi="Consolas"/>
          <w:sz w:val="17"/>
        </w:rPr>
        <w:t>DATABASE: student_club (SQLite). The following is the only thing you know</w:t>
        <w:br/>
      </w:r>
      <w:r>
        <w:rPr>
          <w:rFonts w:ascii="Consolas" w:hAnsi="Consolas"/>
          <w:sz w:val="17"/>
        </w:rPr>
        <w:t>about it:</w:t>
        <w:br/>
      </w:r>
      <w:r>
        <w:rPr>
          <w:rFonts w:ascii="Consolas" w:hAnsi="Consolas"/>
          <w:sz w:val="17"/>
        </w:rPr>
        <w:br/>
      </w:r>
      <w:r>
        <w:rPr>
          <w:rFonts w:ascii="Consolas" w:hAnsi="Consolas"/>
          <w:sz w:val="17"/>
        </w:rPr>
        <w:t>{{DB_CONTEXT}}</w:t>
      </w:r>
    </w:p>
    <w:p>
      <w:pPr>
        <w:pStyle w:val="IEEEParagraph"/>
      </w:pPr>
      <w:r>
        <w:t>(b) First turn — C1 (A1_CHATBOT). The chatbot prompt asks the model to find the parts of the question that are unclear or could be read more than one way and that would change the SQL, then to reply in one short plain-language message. It is explicitly told not to write SQL yet — the query comes later, in the shared finalise turn.</w:t>
      </w:r>
    </w:p>
    <w:p>
      <w:pPr>
        <w:pStyle w:val="IEEEParagraph"/>
        <w:spacing w:after="40"/>
        <w:ind w:firstLine="0"/>
      </w:pPr>
      <w:r>
        <w:rPr>
          <w:i/>
          <w:sz w:val="17"/>
        </w:rPr>
        <w:t>backend/prompts.py — A1_CHATBOT (task and output)</w:t>
      </w:r>
    </w:p>
    <w:p>
      <w:pPr>
        <w:pStyle w:val="IEEEParagraph"/>
        <w:spacing w:before="60" w:after="160"/>
        <w:ind w:firstLine="0" w:left="144"/>
        <w:jc w:val="left"/>
        <w:shd w:val="clear" w:color="auto" w:fill="F2F2F2"/>
      </w:pPr>
      <w:r>
        <w:rPr>
          <w:rFonts w:ascii="Consolas" w:hAnsi="Consolas"/>
          <w:sz w:val="17"/>
        </w:rPr>
        <w:t>YOUR TASK</w:t>
        <w:br/>
      </w:r>
      <w:r>
        <w:rPr>
          <w:rFonts w:ascii="Consolas" w:hAnsi="Consolas"/>
          <w:sz w:val="17"/>
        </w:rPr>
        <w:t>Find the parts of the person's question that are unclear or could be read</w:t>
        <w:br/>
      </w:r>
      <w:r>
        <w:rPr>
          <w:rFonts w:ascii="Consolas" w:hAnsi="Consolas"/>
          <w:sz w:val="17"/>
        </w:rPr>
        <w:t>more than one way and that would change the SQL query needed to answer it.</w:t>
        <w:br/>
      </w:r>
      <w:r>
        <w:rPr>
          <w:rFonts w:ascii="Consolas" w:hAnsi="Consolas"/>
          <w:sz w:val="17"/>
        </w:rPr>
        <w:t>Then reply in one short, plain-language message telling them what you</w:t>
        <w:br/>
      </w:r>
      <w:r>
        <w:rPr>
          <w:rFonts w:ascii="Consolas" w:hAnsi="Consolas"/>
          <w:sz w:val="17"/>
        </w:rPr>
        <w:t>understood and asking about anything still unclear.</w:t>
        <w:br/>
      </w:r>
      <w:r>
        <w:rPr>
          <w:rFonts w:ascii="Consolas" w:hAnsi="Consolas"/>
          <w:sz w:val="17"/>
        </w:rPr>
        <w:br/>
      </w:r>
      <w:r>
        <w:rPr>
          <w:rFonts w:ascii="Consolas" w:hAnsi="Consolas"/>
          <w:sz w:val="17"/>
        </w:rPr>
        <w:t>OUTPUT</w:t>
        <w:br/>
      </w:r>
      <w:r>
        <w:rPr>
          <w:rFonts w:ascii="Consolas" w:hAnsi="Consolas"/>
          <w:sz w:val="17"/>
        </w:rPr>
        <w:t>One plain-language message, with no technical or database terms. You do not</w:t>
        <w:br/>
      </w:r>
      <w:r>
        <w:rPr>
          <w:rFonts w:ascii="Consolas" w:hAnsi="Consolas"/>
          <w:sz w:val="17"/>
        </w:rPr>
        <w:t>write SQL here; after the person's single reply you will be asked for the</w:t>
        <w:br/>
      </w:r>
      <w:r>
        <w:rPr>
          <w:rFonts w:ascii="Consolas" w:hAnsi="Consolas"/>
          <w:sz w:val="17"/>
        </w:rPr>
        <w:t>query.</w:t>
      </w:r>
    </w:p>
    <w:p>
      <w:pPr>
        <w:pStyle w:val="IEEEParagraph"/>
      </w:pPr>
      <w:r>
        <w:t>(c) First turn — C2 (A2_AMBIGUITY). The wizard prompt asks for the same ambiguity-finding, but the output is a strict JSON object loaded straight into the interface. Each ambiguity carries an id, the exact phrase, a type drawn from a seven-value taxonomy, an affordance that decides which control the wizard renders, a plain-English clarification question, a line of evidence naming the schema columns behind it, an allowCustom flag, and exactly one affordance-specific payload (options, range, toggle, or dateRange). The key constraint is that options, ranges and dates are filled only from the frozen DATABASE block — the model may never invent values — which is what keeps C2 ‘structured but bounded.’ A summary restatement is always returned, and if nothing is ambiguous the model returns the summary with an empty ambiguities list.</w:t>
      </w:r>
    </w:p>
    <w:p>
      <w:pPr>
        <w:pStyle w:val="IEEEParagraph"/>
        <w:spacing w:after="40"/>
        <w:ind w:firstLine="0"/>
      </w:pPr>
      <w:r>
        <w:rPr>
          <w:i/>
          <w:sz w:val="17"/>
        </w:rPr>
        <w:t>backend/prompts.py — A2_AMBIGUITY (the JSON shape it must return)</w:t>
      </w:r>
    </w:p>
    <w:p>
      <w:pPr>
        <w:pStyle w:val="IEEEParagraph"/>
        <w:spacing w:before="60" w:after="160"/>
        <w:ind w:firstLine="0" w:left="144"/>
        <w:jc w:val="left"/>
        <w:shd w:val="clear" w:color="auto" w:fill="F2F2F2"/>
      </w:pPr>
      <w:r>
        <w:rPr>
          <w:rFonts w:ascii="Consolas" w:hAnsi="Consolas"/>
          <w:sz w:val="17"/>
        </w:rPr>
        <w:t>{</w:t>
        <w:br/>
      </w:r>
      <w:r>
        <w:rPr>
          <w:rFonts w:ascii="Consolas" w:hAnsi="Consolas"/>
          <w:sz w:val="17"/>
        </w:rPr>
        <w:t xml:space="preserve">  "originalQuestion": "&lt;the person's question, unchanged&gt;",</w:t>
        <w:br/>
      </w:r>
      <w:r>
        <w:rPr>
          <w:rFonts w:ascii="Consolas" w:hAnsi="Consolas"/>
          <w:sz w:val="17"/>
        </w:rPr>
        <w:t xml:space="preserve">  "summary": "&lt;one short plain-language restatement, shown to confirm&gt;",</w:t>
        <w:br/>
      </w:r>
      <w:r>
        <w:rPr>
          <w:rFonts w:ascii="Consolas" w:hAnsi="Consolas"/>
          <w:sz w:val="17"/>
        </w:rPr>
        <w:t xml:space="preserve">  "ambiguities": [</w:t>
        <w:br/>
      </w:r>
      <w:r>
        <w:rPr>
          <w:rFonts w:ascii="Consolas" w:hAnsi="Consolas"/>
          <w:sz w:val="17"/>
        </w:rPr>
        <w:t xml:space="preserve">    {</w:t>
        <w:br/>
      </w:r>
      <w:r>
        <w:rPr>
          <w:rFonts w:ascii="Consolas" w:hAnsi="Consolas"/>
          <w:sz w:val="17"/>
        </w:rPr>
        <w:t xml:space="preserve">      "id": "&lt;short snake_case id&gt;",</w:t>
        <w:br/>
      </w:r>
      <w:r>
        <w:rPr>
          <w:rFonts w:ascii="Consolas" w:hAnsi="Consolas"/>
          <w:sz w:val="17"/>
        </w:rPr>
        <w:t xml:space="preserve">      "phrase": "&lt;the exact words from the question&gt;",</w:t>
        <w:br/>
      </w:r>
      <w:r>
        <w:rPr>
          <w:rFonts w:ascii="Consolas" w:hAnsi="Consolas"/>
          <w:sz w:val="17"/>
        </w:rPr>
        <w:t xml:space="preserve">      "type": "&lt;one of: unclear_schema_reference, unclear_value_reference,</w:t>
        <w:br/>
      </w:r>
      <w:r>
        <w:rPr>
          <w:rFonts w:ascii="Consolas" w:hAnsi="Consolas"/>
          <w:sz w:val="17"/>
        </w:rPr>
        <w:t xml:space="preserve">              missing_keyword, unclear_knowledge_source,</w:t>
        <w:br/>
      </w:r>
      <w:r>
        <w:rPr>
          <w:rFonts w:ascii="Consolas" w:hAnsi="Consolas"/>
          <w:sz w:val="17"/>
        </w:rPr>
        <w:t xml:space="preserve">              insufficient_reasoning_context, conflicting_knowledge,</w:t>
        <w:br/>
      </w:r>
      <w:r>
        <w:rPr>
          <w:rFonts w:ascii="Consolas" w:hAnsi="Consolas"/>
          <w:sz w:val="17"/>
        </w:rPr>
        <w:t xml:space="preserve">              ambiguous_temporal_spatial_scope&gt;",</w:t>
        <w:br/>
      </w:r>
      <w:r>
        <w:rPr>
          <w:rFonts w:ascii="Consolas" w:hAnsi="Consolas"/>
          <w:sz w:val="17"/>
        </w:rPr>
        <w:t xml:space="preserve">      "affordance": "&lt;one of: choice, value, range, toggle, dateRange&gt;",</w:t>
        <w:br/>
      </w:r>
      <w:r>
        <w:rPr>
          <w:rFonts w:ascii="Consolas" w:hAnsi="Consolas"/>
          <w:sz w:val="17"/>
        </w:rPr>
        <w:t xml:space="preserve">      "clarificationQuestion": "&lt;one short plain-English question&gt;",</w:t>
        <w:br/>
      </w:r>
      <w:r>
        <w:rPr>
          <w:rFonts w:ascii="Consolas" w:hAnsi="Consolas"/>
          <w:sz w:val="17"/>
        </w:rPr>
        <w:t xml:space="preserve">      "evidence": "&lt;one short line naming the schema columns behind it&gt;",</w:t>
        <w:br/>
      </w:r>
      <w:r>
        <w:rPr>
          <w:rFonts w:ascii="Consolas" w:hAnsi="Consolas"/>
          <w:sz w:val="17"/>
        </w:rPr>
        <w:t xml:space="preserve">      "allowCustom": &lt;true unless a free-text answer makes no sense&gt;,</w:t>
        <w:br/>
      </w:r>
      <w:r>
        <w:rPr>
          <w:rFonts w:ascii="Consolas" w:hAnsi="Consolas"/>
          <w:sz w:val="17"/>
        </w:rPr>
        <w:t xml:space="preserve">      // include EXACTLY ONE of these, matching "affordance":</w:t>
        <w:br/>
      </w:r>
      <w:r>
        <w:rPr>
          <w:rFonts w:ascii="Consolas" w:hAnsi="Consolas"/>
          <w:sz w:val="17"/>
        </w:rPr>
        <w:t xml:space="preserve">      "options":   [ { "value": "&lt;value&gt;", "label": "&lt;seen&gt;" } ],</w:t>
        <w:br/>
      </w:r>
      <w:r>
        <w:rPr>
          <w:rFonts w:ascii="Consolas" w:hAnsi="Consolas"/>
          <w:sz w:val="17"/>
        </w:rPr>
        <w:t xml:space="preserve">      "range":     { "min": &lt;n&gt;, "max": &lt;n&gt;, "step": &lt;n&gt;, "unit": "&lt;text&gt;" },</w:t>
        <w:br/>
      </w:r>
      <w:r>
        <w:rPr>
          <w:rFonts w:ascii="Consolas" w:hAnsi="Consolas"/>
          <w:sz w:val="17"/>
        </w:rPr>
        <w:t xml:space="preserve">      "toggle":    { "onLabel": "&lt;text&gt;", "offLabel": "&lt;text&gt;" },</w:t>
        <w:br/>
      </w:r>
      <w:r>
        <w:rPr>
          <w:rFonts w:ascii="Consolas" w:hAnsi="Consolas"/>
          <w:sz w:val="17"/>
        </w:rPr>
        <w:t xml:space="preserve">      "dateRange": { "earliest": "&lt;YYYY-MM-DD&gt;", "latest": "&lt;YYYY-MM-DD&gt;" }</w:t>
        <w:br/>
      </w:r>
      <w:r>
        <w:rPr>
          <w:rFonts w:ascii="Consolas" w:hAnsi="Consolas"/>
          <w:sz w:val="17"/>
        </w:rPr>
        <w:t xml:space="preserve">    }</w:t>
        <w:br/>
      </w:r>
      <w:r>
        <w:rPr>
          <w:rFonts w:ascii="Consolas" w:hAnsi="Consolas"/>
          <w:sz w:val="17"/>
        </w:rPr>
        <w:t xml:space="preserve">  ]</w:t>
        <w:br/>
      </w:r>
      <w:r>
        <w:rPr>
          <w:rFonts w:ascii="Consolas" w:hAnsi="Consolas"/>
          <w:sz w:val="17"/>
        </w:rPr>
        <w:t>}</w:t>
      </w:r>
    </w:p>
    <w:p>
      <w:pPr>
        <w:pStyle w:val="IEEEParagraph"/>
      </w:pPr>
      <w:r>
        <w:t>(d) First turn — C3 (A3_DYNAMIC). The dynamic prompt asks for the same ambiguity-finding, but the output is the source code of a small interface tailored to the question. The model must return one React function component named Clarifier using only injected globals — React, an onResolve callback it calls once when the person finishes, and a logEvent callback it must call on every interaction — under strict constraints (no imports, no network, no window/document access, a fixed panel size, a skip for every item, one finish button). The same ambiguity set C2 would use is passed in the user turn, so the model's reading of what is ambiguous is held constant and only the rendering is free.</w:t>
      </w:r>
    </w:p>
    <w:p>
      <w:pPr>
        <w:pStyle w:val="IEEEParagraph"/>
        <w:spacing w:after="40"/>
        <w:ind w:firstLine="0"/>
      </w:pPr>
      <w:r>
        <w:rPr>
          <w:i/>
          <w:sz w:val="17"/>
        </w:rPr>
        <w:t>backend/prompts.py — A3_DYNAMIC (strict output contract)</w:t>
      </w:r>
    </w:p>
    <w:p>
      <w:pPr>
        <w:pStyle w:val="IEEEParagraph"/>
        <w:spacing w:before="60" w:after="160"/>
        <w:ind w:firstLine="0" w:left="144"/>
        <w:jc w:val="left"/>
        <w:shd w:val="clear" w:color="auto" w:fill="F2F2F2"/>
      </w:pPr>
      <w:r>
        <w:rPr>
          <w:rFonts w:ascii="Consolas" w:hAnsi="Consolas"/>
          <w:sz w:val="17"/>
        </w:rPr>
        <w:t>OUTPUT (strict)</w:t>
        <w:br/>
      </w:r>
      <w:r>
        <w:rPr>
          <w:rFonts w:ascii="Consolas" w:hAnsi="Consolas"/>
          <w:sz w:val="17"/>
        </w:rPr>
        <w:t>Return CODE ONLY — no prose, no markdown fences, no imports. Write one</w:t>
        <w:br/>
      </w:r>
      <w:r>
        <w:rPr>
          <w:rFonts w:ascii="Consolas" w:hAnsi="Consolas"/>
          <w:sz w:val="17"/>
        </w:rPr>
        <w:t>React function component named Clarifier that uses ONLY these injected</w:t>
        <w:br/>
      </w:r>
      <w:r>
        <w:rPr>
          <w:rFonts w:ascii="Consolas" w:hAnsi="Consolas"/>
          <w:sz w:val="17"/>
        </w:rPr>
        <w:t>globals:</w:t>
        <w:br/>
      </w:r>
      <w:r>
        <w:rPr>
          <w:rFonts w:ascii="Consolas" w:hAnsi="Consolas"/>
          <w:sz w:val="17"/>
        </w:rPr>
        <w:t>- React (use hooks as React.useState, etc.)</w:t>
        <w:br/>
      </w:r>
      <w:r>
        <w:rPr>
          <w:rFonts w:ascii="Consolas" w:hAnsi="Consolas"/>
          <w:sz w:val="17"/>
        </w:rPr>
        <w:t>- onResolve(resolutions): call ONCE when the person finishes.</w:t>
        <w:br/>
      </w:r>
      <w:r>
        <w:rPr>
          <w:rFonts w:ascii="Consolas" w:hAnsi="Consolas"/>
          <w:sz w:val="17"/>
        </w:rPr>
        <w:t>- logEvent(type, payload): call on EVERY interaction.</w:t>
        <w:br/>
      </w:r>
      <w:r>
        <w:rPr>
          <w:rFonts w:ascii="Consolas" w:hAnsi="Consolas"/>
          <w:sz w:val="17"/>
        </w:rPr>
        <w:t>Constraints:</w:t>
        <w:br/>
      </w:r>
      <w:r>
        <w:rPr>
          <w:rFonts w:ascii="Consolas" w:hAnsi="Consolas"/>
          <w:sz w:val="17"/>
        </w:rPr>
        <w:t>- No import/require, no fetch/network, no window or document access.</w:t>
        <w:br/>
      </w:r>
      <w:r>
        <w:rPr>
          <w:rFonts w:ascii="Consolas" w:hAnsi="Consolas"/>
          <w:sz w:val="17"/>
        </w:rPr>
        <w:t>- Runs in a fixed panel; use 100% width and let content scroll.</w:t>
        <w:br/>
      </w:r>
      <w:r>
        <w:rPr>
          <w:rFonts w:ascii="Consolas" w:hAnsi="Consolas"/>
          <w:sz w:val="17"/>
        </w:rPr>
        <w:t>- Build controls from the DATABASE block only; give a skip and a finish.</w:t>
        <w:br/>
      </w:r>
      <w:r>
        <w:rPr>
          <w:rFonts w:ascii="Consolas" w:hAnsi="Consolas"/>
          <w:sz w:val="17"/>
        </w:rPr>
        <w:t>Begin your output with: function Clarifier() {</w:t>
      </w:r>
    </w:p>
    <w:p>
      <w:pPr>
        <w:pStyle w:val="IEEEParagraph"/>
      </w:pPr>
      <w:r>
        <w:t>(e) The shared finalise turn. After the participant resolves their question — however they did it — the backend appends one more user turn to the same conversation. This turn is word-for-word identical for C1, C2 and C3: the model already has the question, the database context, and its own first turn in the window, so it sees what it built, and it is asked to set the earlier format aside and write the final query in a strict output contract. Because this prompt never changes, any difference in SQL quality between conditions cannot be blamed on it.</w:t>
      </w:r>
    </w:p>
    <w:p>
      <w:pPr>
        <w:pStyle w:val="IEEEParagraph"/>
        <w:spacing w:after="40"/>
        <w:ind w:firstLine="0"/>
      </w:pPr>
      <w:r>
        <w:rPr>
          <w:i/>
          <w:sz w:val="17"/>
        </w:rPr>
        <w:t>backend/prompts.py — OUTPUT_CONTRACT (the shared finalise format)</w:t>
      </w:r>
    </w:p>
    <w:p>
      <w:pPr>
        <w:pStyle w:val="IEEEParagraph"/>
        <w:spacing w:before="60" w:after="160"/>
        <w:ind w:firstLine="0" w:left="144"/>
        <w:jc w:val="left"/>
        <w:shd w:val="clear" w:color="auto" w:fill="F2F2F2"/>
      </w:pPr>
      <w:r>
        <w:rPr>
          <w:rFonts w:ascii="Consolas" w:hAnsi="Consolas"/>
          <w:sz w:val="17"/>
        </w:rPr>
        <w:t>EXPLANATION: &lt;one plain-English paragraph, 50 words or fewer, saying what</w:t>
        <w:br/>
      </w:r>
      <w:r>
        <w:rPr>
          <w:rFonts w:ascii="Consolas" w:hAnsi="Consolas"/>
          <w:sz w:val="17"/>
        </w:rPr>
        <w:t>the query returns and how it matches the question. No SQL jargon.&gt;</w:t>
        <w:br/>
      </w:r>
      <w:r>
        <w:rPr>
          <w:rFonts w:ascii="Consolas" w:hAnsi="Consolas"/>
          <w:sz w:val="17"/>
        </w:rPr>
        <w:t>CONFIDENCE: &lt;a single integer 0-100&gt;</w:t>
        <w:br/>
      </w:r>
      <w:r>
        <w:rPr>
          <w:rFonts w:ascii="Consolas" w:hAnsi="Consolas"/>
          <w:sz w:val="17"/>
        </w:rPr>
        <w:t>SQL:</w:t>
        <w:br/>
      </w:r>
      <w:r>
        <w:rPr>
          <w:rFonts w:ascii="Consolas" w:hAnsi="Consolas"/>
          <w:sz w:val="17"/>
        </w:rPr>
        <w:t>&lt;one SQLite SELECT statement that answers the question, as the very last</w:t>
        <w:br/>
      </w:r>
      <w:r>
        <w:rPr>
          <w:rFonts w:ascii="Consolas" w:hAnsi="Consolas"/>
          <w:sz w:val="17"/>
        </w:rPr>
        <w:t>thing in your response&gt;</w:t>
        <w:br/>
      </w:r>
      <w:r>
        <w:rPr>
          <w:rFonts w:ascii="Consolas" w:hAnsi="Consolas"/>
          <w:sz w:val="17"/>
        </w:rPr>
        <w:br/>
      </w:r>
      <w:r>
        <w:rPr>
          <w:rFonts w:ascii="Consolas" w:hAnsi="Consolas"/>
          <w:sz w:val="17"/>
        </w:rPr>
        <w:t>SQL rules:</w:t>
        <w:br/>
      </w:r>
      <w:r>
        <w:rPr>
          <w:rFonts w:ascii="Consolas" w:hAnsi="Consolas"/>
          <w:sz w:val="17"/>
        </w:rPr>
        <w:t>- Exactly one statement, SELECT only. No INSERT/UPDATE/DELETE/CREATE/PRAGMA,</w:t>
        <w:br/>
      </w:r>
      <w:r>
        <w:rPr>
          <w:rFonts w:ascii="Consolas" w:hAnsi="Consolas"/>
          <w:sz w:val="17"/>
        </w:rPr>
        <w:t xml:space="preserve">  no second statement, no comments, no markdown fences.</w:t>
        <w:br/>
      </w:r>
      <w:r>
        <w:rPr>
          <w:rFonts w:ascii="Consolas" w:hAnsi="Consolas"/>
          <w:sz w:val="17"/>
        </w:rPr>
        <w:t>- Use only tables and columns from the schema; join on the foreign keys shown.</w:t>
        <w:br/>
      </w:r>
      <w:r>
        <w:rPr>
          <w:rFonts w:ascii="Consolas" w:hAnsi="Consolas"/>
          <w:sz w:val="17"/>
        </w:rPr>
        <w:t>- Do not add LIMIT unless the question asks for a specific number.</w:t>
      </w:r>
    </w:p>
    <w:p>
      <w:pPr>
        <w:pStyle w:val="IEEEParagraph"/>
      </w:pPr>
      <w:r>
        <w:t>The backend parses the reply by splitting on the SQL: line, validates that what follows is a single SELECT (or WITH … SELECT) with no second statement, no comments and no write keywords, runs it against the read-only database, and shows up to 15 preview rows plus the total row count; the full result is stored for analysis.</w:t>
      </w:r>
    </w:p>
    <w:p>
      <w:pPr>
        <w:pStyle w:val="IEEEParagraph"/>
        <w:spacing w:before="40" w:after="120"/>
        <w:ind w:firstLine="0"/>
        <w:shd w:val="clear" w:color="auto" w:fill="FFF3CD"/>
      </w:pPr>
      <w:r>
        <w:rPr>
          <w:b/>
          <w:color w:val="B00000"/>
          <w:sz w:val="18"/>
        </w:rPr>
        <w:t>[VERIFY: Changed “one or more SELECT statements / prefer one” to “exactly one SELECT statement” to match the OUTPUT_CONTRACT (“Exactly one statement … no second statement”) and content_db.validate_select, which rejects a second statement (any ';') and comments. Revert if you intend to allow multi-statement output.]</w:t>
      </w:r>
    </w:p>
    <w:p>
      <w:pPr>
        <w:pStyle w:val="IEEEHeading3"/>
        <w:numPr>
          <w:ilvl w:val="0"/>
          <w:numId w:val="0"/>
        </w:numPr>
      </w:pPr>
      <w:r>
        <w:t>5)  What is held constant across conditions:</w:t>
      </w:r>
    </w:p>
    <w:p>
      <w:pPr>
        <w:pStyle w:val="IEEEParagraph"/>
      </w:pPr>
      <w:r>
        <w:t>Only the interface varies. Everything that could otherwise explain a difference is held constant.</w:t>
      </w:r>
    </w:p>
    <w:p>
      <w:pPr>
        <w:pStyle w:val="IEEEParagraph"/>
      </w:pPr>
      <w:r>
        <w:t>Temperature = 0. Every model call is made at temperature 0, so the model gives the same output for the same input — randomness cannot become a confound. Identical questions would receive identical AI responses.</w:t>
      </w:r>
    </w:p>
    <w:p>
      <w:pPr>
        <w:pStyle w:val="IEEEParagraph"/>
        <w:spacing w:after="40"/>
        <w:ind w:firstLine="0"/>
      </w:pPr>
      <w:r>
        <w:rPr>
          <w:i/>
          <w:sz w:val="17"/>
        </w:rPr>
        <w:t>backend/llm.py — temperature set once, never overridable by a prompt (lines 37–43)</w:t>
      </w:r>
    </w:p>
    <w:p>
      <w:pPr>
        <w:pStyle w:val="IEEEParagraph"/>
        <w:spacing w:before="60" w:after="160"/>
        <w:ind w:firstLine="0" w:left="144"/>
        <w:jc w:val="left"/>
        <w:shd w:val="clear" w:color="auto" w:fill="F2F2F2"/>
      </w:pPr>
      <w:r>
        <w:rPr>
          <w:rFonts w:ascii="Consolas" w:hAnsi="Consolas"/>
          <w:sz w:val="17"/>
        </w:rPr>
        <w:t>request_json = {</w:t>
        <w:br/>
      </w:r>
      <w:r>
        <w:rPr>
          <w:rFonts w:ascii="Consolas" w:hAnsi="Consolas"/>
          <w:sz w:val="17"/>
        </w:rPr>
        <w:t xml:space="preserve">    "model": MODEL,</w:t>
        <w:br/>
      </w:r>
      <w:r>
        <w:rPr>
          <w:rFonts w:ascii="Consolas" w:hAnsi="Consolas"/>
          <w:sz w:val="17"/>
        </w:rPr>
        <w:t xml:space="preserve">    "max_tokens": MAX_TOKENS,</w:t>
        <w:br/>
      </w:r>
      <w:r>
        <w:rPr>
          <w:rFonts w:ascii="Consolas" w:hAnsi="Consolas"/>
          <w:sz w:val="17"/>
        </w:rPr>
        <w:t xml:space="preserve">    "temperature": 0,     # enforced here, not in the prompt</w:t>
        <w:br/>
      </w:r>
      <w:r>
        <w:rPr>
          <w:rFonts w:ascii="Consolas" w:hAnsi="Consolas"/>
          <w:sz w:val="17"/>
        </w:rPr>
        <w:t xml:space="preserve">    "system": system,</w:t>
        <w:br/>
      </w:r>
      <w:r>
        <w:rPr>
          <w:rFonts w:ascii="Consolas" w:hAnsi="Consolas"/>
          <w:sz w:val="17"/>
        </w:rPr>
        <w:t xml:space="preserve">    "messages": messages,</w:t>
        <w:br/>
      </w:r>
      <w:r>
        <w:rPr>
          <w:rFonts w:ascii="Consolas" w:hAnsi="Consolas"/>
          <w:sz w:val="17"/>
        </w:rPr>
        <w:t>}</w:t>
      </w:r>
    </w:p>
    <w:p>
      <w:pPr>
        <w:pStyle w:val="IEEEParagraph"/>
      </w:pPr>
      <w:r>
        <w:t>The frozen database description. The AI's knowledge of the database comes from DB_CONTEXT.md, a fixed snapshot of the schema, foreign keys, and sample data, read once at startup and injected verbatim into every call for every condition. No condition gets more or better database information than another. {mention the BIRD benchamrks use of this method [reference of it will be good.]}</w:t>
      </w:r>
    </w:p>
    <w:p>
      <w:pPr>
        <w:pStyle w:val="IEEEParagraph"/>
      </w:pPr>
      <w:r>
        <w:t>Same AI model for all conditions. A single model name is set via an environment variable. The same model is used for every condition's calls — ambiguity detection, interface generation, and finalisation. Participants are run on Claude Opus 4.8.</w:t>
      </w:r>
    </w:p>
    <w:p>
      <w:pPr>
        <w:pStyle w:val="IEEEParagraph"/>
        <w:spacing w:after="40"/>
        <w:ind w:firstLine="0"/>
      </w:pPr>
      <w:r>
        <w:rPr>
          <w:i/>
          <w:sz w:val="17"/>
        </w:rPr>
        <w:t>backend/llm.py — one model, set once (line 12)</w:t>
      </w:r>
    </w:p>
    <w:p>
      <w:pPr>
        <w:pStyle w:val="IEEEParagraph"/>
        <w:spacing w:before="60" w:after="160"/>
        <w:ind w:firstLine="0" w:left="144"/>
        <w:jc w:val="left"/>
        <w:shd w:val="clear" w:color="auto" w:fill="F2F2F2"/>
      </w:pPr>
      <w:r>
        <w:rPr>
          <w:rFonts w:ascii="Consolas" w:hAnsi="Consolas"/>
          <w:sz w:val="17"/>
        </w:rPr>
        <w:t>MODEL = os.getenv("STUDY_MODEL", "claude-opus-4-8")</w:t>
      </w:r>
    </w:p>
    <w:p>
      <w:pPr>
        <w:pStyle w:val="IEEEParagraph"/>
        <w:spacing w:before="40" w:after="120"/>
        <w:ind w:firstLine="0"/>
        <w:shd w:val="clear" w:color="auto" w:fill="FFF3CD"/>
      </w:pPr>
      <w:r>
        <w:rPr>
          <w:b/>
          <w:color w:val="B00000"/>
          <w:sz w:val="18"/>
        </w:rPr>
        <w:t>[VERIFY: Doc states Claude Opus 4.8 per your decision. The committed default in backend/llm.py line 12 is currently "claude-sonnet-4-6" (README and .env.example agree); set STUDY_MODEL=claude-opus-4-8, or update that default, before runs so the system matches this claim.]</w:t>
      </w:r>
    </w:p>
    <w:p>
      <w:pPr>
        <w:pStyle w:val="IEEEHeading3"/>
        <w:numPr>
          <w:ilvl w:val="0"/>
          <w:numId w:val="0"/>
        </w:numPr>
      </w:pPr>
      <w:r>
        <w:t>6)  The two-turn design:</w:t>
      </w:r>
    </w:p>
    <w:p>
      <w:pPr>
        <w:pStyle w:val="IEEEParagraph"/>
      </w:pPr>
      <w:r>
        <w:t>Each question goes through exactly two AI turns, sharing one conversation window — the model sees both when producing the final answer.</w:t>
      </w:r>
    </w:p>
    <w:p>
      <w:pPr>
        <w:pStyle w:val="IEEEParagraph"/>
        <w:spacing w:after="40"/>
        <w:ind w:firstLine="0"/>
      </w:pPr>
      <w:r>
        <w:rPr>
          <w:i/>
          <w:sz w:val="17"/>
        </w:rPr>
        <w:t>The two-turn model — the first turn varies, the second is always the same</w:t>
      </w:r>
    </w:p>
    <w:p>
      <w:pPr>
        <w:pStyle w:val="IEEEParagraph"/>
        <w:spacing w:before="60" w:after="160"/>
        <w:ind w:firstLine="0" w:left="144"/>
        <w:jc w:val="left"/>
        <w:shd w:val="clear" w:color="auto" w:fill="F2F2F2"/>
      </w:pPr>
      <w:r>
        <w:rPr>
          <w:rFonts w:ascii="Consolas" w:hAnsi="Consolas"/>
          <w:sz w:val="17"/>
        </w:rPr>
        <w:t>Turn 1  (differs by condition)</w:t>
        <w:br/>
      </w:r>
      <w:r>
        <w:rPr>
          <w:rFonts w:ascii="Consolas" w:hAnsi="Consolas"/>
          <w:sz w:val="17"/>
        </w:rPr>
        <w:t xml:space="preserve">  C1 → plain text clarification question     [A1_CHATBOT]</w:t>
        <w:br/>
      </w:r>
      <w:r>
        <w:rPr>
          <w:rFonts w:ascii="Consolas" w:hAnsi="Consolas"/>
          <w:sz w:val="17"/>
        </w:rPr>
        <w:t xml:space="preserve">  C2 → JSON ambiguity spec                   [A2_AMBIGUITY]</w:t>
        <w:br/>
      </w:r>
      <w:r>
        <w:rPr>
          <w:rFonts w:ascii="Consolas" w:hAnsi="Consolas"/>
          <w:sz w:val="17"/>
        </w:rPr>
        <w:t xml:space="preserve">  C3 → React component source code           [A3_DYNAMIC]</w:t>
        <w:br/>
      </w:r>
      <w:r>
        <w:rPr>
          <w:rFonts w:ascii="Consolas" w:hAnsi="Consolas"/>
          <w:sz w:val="17"/>
        </w:rPr>
        <w:br/>
      </w:r>
      <w:r>
        <w:rPr>
          <w:rFonts w:ascii="Consolas" w:hAnsi="Consolas"/>
          <w:sz w:val="17"/>
        </w:rPr>
        <w:t xml:space="preserve">        ↓  participant resolves ambiguities  ↓</w:t>
        <w:br/>
      </w:r>
      <w:r>
        <w:rPr>
          <w:rFonts w:ascii="Consolas" w:hAnsi="Consolas"/>
          <w:sz w:val="17"/>
        </w:rPr>
        <w:br/>
      </w:r>
      <w:r>
        <w:rPr>
          <w:rFonts w:ascii="Consolas" w:hAnsi="Consolas"/>
          <w:sz w:val="17"/>
        </w:rPr>
        <w:t>Turn 2  (IDENTICAL for C1, C2, C3)</w:t>
        <w:br/>
      </w:r>
      <w:r>
        <w:rPr>
          <w:rFonts w:ascii="Consolas" w:hAnsi="Consolas"/>
          <w:sz w:val="17"/>
        </w:rPr>
        <w:t xml:space="preserve">  Finaliser appends participant's answers → model writes SQL</w:t>
        <w:br/>
      </w:r>
      <w:r>
        <w:rPr>
          <w:rFonts w:ascii="Consolas" w:hAnsi="Consolas"/>
          <w:sz w:val="17"/>
        </w:rPr>
        <w:t xml:space="preserve">  Output: EXPLANATION + CONFIDENCE + SQL</w:t>
      </w:r>
    </w:p>
    <w:p>
      <w:pPr>
        <w:pStyle w:val="IEEEParagraph"/>
      </w:pPr>
      <w:r>
        <w:t>This finalise prompt sees what it built in Turn 1; the context is continuous. It also means any difference in SQL quality between conditions cannot be blamed on this prompt, because that prompt never changes.</w:t>
      </w:r>
    </w:p>
    <w:p>
      <w:pPr>
        <w:pStyle w:val="IEEEHeading3"/>
        <w:numPr>
          <w:ilvl w:val="0"/>
          <w:numId w:val="0"/>
        </w:numPr>
      </w:pPr>
      <w:r>
        <w:t>7)  The no-intervention baseline:</w:t>
      </w:r>
    </w:p>
    <w:p>
      <w:pPr>
        <w:pStyle w:val="IEEEParagraph"/>
      </w:pPr>
      <w:r>
        <w:t>Alongside the three interfaces, each authored question is also sent to the model with no human in the loop — a single zero-shot call straight to SQL, no clarification, no interface. This is done afterwards, in analysis; participants never see it, and it is separate from C1 (the chatbot).</w:t>
      </w:r>
    </w:p>
    <w:p>
      <w:pPr>
        <w:pStyle w:val="IEEEParagraph"/>
      </w:pPr>
      <w:r>
        <w:t>It answers two things. First, did the question need a human at all — if the model gets it right unaided, the interface added nothing for that question. Second, what was the model's unaided best guess — the answer it commits to when it has to resolve the ambiguity itself. That guess is the baseline each interface is compared against: an interface adds value only where it turns a wrong unaided answer into a right one, or stops the participant accepting a wrong one with false confidence. {[reference on AI-only baselines and the value of human-in-the-loop, to justify the counterfactual]}</w:t>
      </w:r>
    </w:p>
    <w:p>
      <w:pPr>
        <w:pStyle w:val="IEEEHeading3"/>
        <w:numPr>
          <w:ilvl w:val="0"/>
          <w:numId w:val="0"/>
        </w:numPr>
      </w:pPr>
      <w:r>
        <w:t>8)  What is logged:</w:t>
      </w:r>
    </w:p>
    <w:p>
      <w:pPr>
        <w:pStyle w:val="IEEEParagraph"/>
      </w:pPr>
      <w:r>
        <w:t>Every interaction and model call is written synchronously to a SQLite database (study_logs.sqlite) and an append-only backup file (events.jsonl). Writes fail loudly — if something cannot be saved, the server returns an error rather than silently dropping data.</w:t>
      </w:r>
    </w:p>
    <w:p>
      <w:pPr>
        <w:pStyle w:val="IEEETableCaption"/>
        <w:jc w:val="center"/>
      </w:pPr>
      <w:r>
        <w:rPr>
          <w:sz w:val="16"/>
        </w:rPr>
        <w:t>TABLE II. What Each Logging Table Stores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
              <w:rPr>
                <w:b/>
                <w:sz w:val="18"/>
              </w:rPr>
              <w:t>Table</w:t>
            </w:r>
          </w:p>
        </w:tc>
        <w:tc>
          <w:tcPr>
            <w:tcW w:type="dxa" w:w="4513"/>
          </w:tcPr>
          <w:p>
            <w:r/>
            <w:r>
              <w:rPr>
                <w:b/>
                <w:sz w:val="18"/>
              </w:rPr>
              <w:t>What it stores</w:t>
            </w:r>
          </w:p>
        </w:tc>
      </w:tr>
      <w:tr>
        <w:tc>
          <w:tcPr>
            <w:tcW w:type="dxa" w:w="4513"/>
          </w:tcPr>
          <w:p>
            <w:r/>
            <w:r>
              <w:rPr>
                <w:sz w:val="18"/>
              </w:rPr>
              <w:t>sessions</w:t>
            </w:r>
          </w:p>
        </w:tc>
        <w:tc>
          <w:tcPr>
            <w:tcW w:type="dxa" w:w="4513"/>
          </w:tcPr>
          <w:p>
            <w:r/>
            <w:r>
              <w:rPr>
                <w:sz w:val="18"/>
              </w:rPr>
              <w:t>One row per participant — demographics, condition order, user agent</w:t>
            </w:r>
          </w:p>
        </w:tc>
      </w:tr>
      <w:tr>
        <w:tc>
          <w:tcPr>
            <w:tcW w:type="dxa" w:w="4513"/>
          </w:tcPr>
          <w:p>
            <w:r/>
            <w:r>
              <w:rPr>
                <w:sz w:val="18"/>
              </w:rPr>
              <w:t>questions</w:t>
            </w:r>
          </w:p>
        </w:tc>
        <w:tc>
          <w:tcPr>
            <w:tcW w:type="dxa" w:w="4513"/>
          </w:tcPr>
          <w:p>
            <w:r/>
            <w:r>
              <w:rPr>
                <w:sz w:val="18"/>
              </w:rPr>
              <w:t>The full text of each question the participant wrote</w:t>
            </w:r>
          </w:p>
        </w:tc>
      </w:tr>
      <w:tr>
        <w:tc>
          <w:tcPr>
            <w:tcW w:type="dxa" w:w="4513"/>
          </w:tcPr>
          <w:p>
            <w:r/>
            <w:r>
              <w:rPr>
                <w:sz w:val="18"/>
              </w:rPr>
              <w:t>model_calls</w:t>
            </w:r>
          </w:p>
        </w:tc>
        <w:tc>
          <w:tcPr>
            <w:tcW w:type="dxa" w:w="4513"/>
          </w:tcPr>
          <w:p>
            <w:r/>
            <w:r>
              <w:rPr>
                <w:sz w:val="18"/>
              </w:rPr>
              <w:t>Every AI call: full request and response JSON, latency, token counts</w:t>
            </w:r>
          </w:p>
        </w:tc>
      </w:tr>
      <w:tr>
        <w:tc>
          <w:tcPr>
            <w:tcW w:type="dxa" w:w="4513"/>
          </w:tcPr>
          <w:p>
            <w:r/>
            <w:r>
              <w:rPr>
                <w:sz w:val="18"/>
              </w:rPr>
              <w:t>responses</w:t>
            </w:r>
          </w:p>
        </w:tc>
        <w:tc>
          <w:tcPr>
            <w:tcW w:type="dxa" w:w="4513"/>
          </w:tcPr>
          <w:p>
            <w:r/>
            <w:r>
              <w:rPr>
                <w:sz w:val="18"/>
              </w:rPr>
              <w:t>Finalised SQL, explanation, confidence score, and full result rows</w:t>
            </w:r>
          </w:p>
        </w:tc>
      </w:tr>
      <w:tr>
        <w:tc>
          <w:tcPr>
            <w:tcW w:type="dxa" w:w="4513"/>
          </w:tcPr>
          <w:p>
            <w:r/>
            <w:r>
              <w:rPr>
                <w:sz w:val="18"/>
              </w:rPr>
              <w:t>resolution_logs</w:t>
            </w:r>
          </w:p>
        </w:tc>
        <w:tc>
          <w:tcPr>
            <w:tcW w:type="dxa" w:w="4513"/>
          </w:tcPr>
          <w:p>
            <w:r/>
            <w:r>
              <w:rPr>
                <w:sz w:val="18"/>
              </w:rPr>
              <w:t>What the participant chose in each ambiguity control</w:t>
            </w:r>
          </w:p>
        </w:tc>
      </w:tr>
      <w:tr>
        <w:tc>
          <w:tcPr>
            <w:tcW w:type="dxa" w:w="4513"/>
          </w:tcPr>
          <w:p>
            <w:r/>
            <w:r>
              <w:rPr>
                <w:sz w:val="18"/>
              </w:rPr>
              <w:t>dynamic_ui</w:t>
            </w:r>
          </w:p>
        </w:tc>
        <w:tc>
          <w:tcPr>
            <w:tcW w:type="dxa" w:w="4513"/>
          </w:tcPr>
          <w:p>
            <w:r/>
            <w:r>
              <w:rPr>
                <w:sz w:val="18"/>
              </w:rPr>
              <w:t>Generated React component source, and whether it rendered or fell back</w:t>
            </w:r>
          </w:p>
        </w:tc>
      </w:tr>
      <w:tr>
        <w:tc>
          <w:tcPr>
            <w:tcW w:type="dxa" w:w="4513"/>
          </w:tcPr>
          <w:p>
            <w:r/>
            <w:r>
              <w:rPr>
                <w:sz w:val="18"/>
              </w:rPr>
              <w:t>feedback</w:t>
            </w:r>
          </w:p>
        </w:tc>
        <w:tc>
          <w:tcPr>
            <w:tcW w:type="dxa" w:w="4513"/>
          </w:tcPr>
          <w:p>
            <w:r/>
            <w:r>
              <w:rPr>
                <w:sz w:val="18"/>
              </w:rPr>
              <w:t>Per-condition ratings and free text, per question</w:t>
            </w:r>
          </w:p>
        </w:tc>
      </w:tr>
      <w:tr>
        <w:tc>
          <w:tcPr>
            <w:tcW w:type="dxa" w:w="4513"/>
          </w:tcPr>
          <w:p>
            <w:r/>
            <w:r>
              <w:rPr>
                <w:sz w:val="18"/>
              </w:rPr>
              <w:t>events</w:t>
            </w:r>
          </w:p>
        </w:tc>
        <w:tc>
          <w:tcPr>
            <w:tcW w:type="dxa" w:w="4513"/>
          </w:tcPr>
          <w:p>
            <w:r/>
            <w:r>
              <w:rPr>
                <w:sz w:val="18"/>
              </w:rPr>
              <w:t>Fine-grained interaction events: every click, selection, screen entry/exit</w:t>
            </w:r>
          </w:p>
        </w:tc>
      </w:tr>
    </w:tbl>
    <w:p>
      <w:pPr>
        <w:pStyle w:val="IEEEHeading1"/>
        <w:numPr>
          <w:ilvl w:val="0"/>
          <w:numId w:val="0"/>
        </w:numPr>
      </w:pPr>
      <w:r>
        <w:t>V.  Expected Results and Implications</w:t>
      </w:r>
    </w:p>
    <w:p>
      <w:pPr>
        <w:pStyle w:val="IEEEParagraph"/>
      </w:pPr>
      <w:r>
        <w:t>Because the study is exploratory and small-N, the following are anticipated patterns rather than predictions to be confirmed by significance testing. They are organised by research question and read against the hypotheses in Section III-B.</w:t>
      </w:r>
    </w:p>
    <w:p>
      <w:pPr>
        <w:pStyle w:val="IEEEParagraph"/>
      </w:pPr>
      <w:r>
        <w:t>Actual success (RQ1, H1). The two structured interfaces (C2 and C3) are expected to produce more correct queries than the plain-text chatbot (C1), because explicit, schema-grounded controls surface the missing intent more reliably than free-form chat. The effect is expected to be visible in descriptive success rates by condition and in estimated effect sizes, but modest and uneven across questions: easy or unambiguous questions will succeed everywhere, so any advantage will concentrate on the genuinely ambiguous ones.</w:t>
      </w:r>
    </w:p>
    <w:p>
      <w:pPr>
        <w:pStyle w:val="IEEEParagraph"/>
      </w:pPr>
      <w:r>
        <w:t>Perceived versus actual success (RQ2, H2, H5). The headline result is expected in the reliance matrix. Plain text (C1) is anticipated to show the widest gap between perceived and actual success — the most overreliance — because a fluent natural-language reply can read as competent even when the SQL beneath it is wrong, and the non-expert has no way to check. Structured interfaces, by making the resolved choices explicit on screen, are expected to narrow that gap and to lower the false-confidence rate. Model-stated confidence is expected to be poorly calibrated to actual correctness, so it will not, on its own, protect a participant from accepting a wrong answer.</w:t>
      </w:r>
    </w:p>
    <w:p>
      <w:pPr>
        <w:pStyle w:val="IEEEParagraph"/>
      </w:pPr>
      <w:r>
        <w:t>Static versus dynamic (RQ3, H3). The dynamic interface (C3) is expected to score at least as well as the fixed wizard (C2) on sense of agency and the feeling of having contributed, because its controls are tailored to the specific question. That is expected to come at a cost: higher token and latency cost, more variability, and a non-zero rate of components that fail to render and fall back to the minimal form — a failure mode the fixed wizard does not have. The C2-vs-C3 comparison is therefore expected to be a trade-off rather than a winner: tailored agency against predictable, cheaper reliability.</w:t>
      </w:r>
    </w:p>
    <w:p>
      <w:pPr>
        <w:pStyle w:val="IEEEParagraph"/>
      </w:pPr>
      <w:r>
        <w:t>Value over no intervention (RQ4, H4). Comparing each interface against the no-intervention baseline is expected to show that interfaces add value mainly where the model is wrong unaided. On questions the model already answers correctly with no clarification, the interfaces are expected to add little beyond friction; on genuinely ambiguous questions, the interfaces are expected to convert some wrong unaided answers into right ones, or to prevent a confident wrong answer being accepted. This counterfactual is what separates ‘the interface helped’ from ‘the question was easy.’</w:t>
      </w:r>
    </w:p>
    <w:p>
      <w:pPr>
        <w:pStyle w:val="IEEEParagraph"/>
      </w:pPr>
      <w:r>
        <w:t>Qualitative findings. The think-aloud and free text are expected to explain why an interface helped or misled: where participants felt in control, where a control framed a choice well or badly, and where they accepted an answer without really checking it. Because each question is seen through only one interface, the per-trial review of what each interface actually surfaced will be used to separate the effect of the interface type from the effect of the particular clarifications shown.</w:t>
      </w:r>
    </w:p>
    <w:p>
      <w:pPr>
        <w:pStyle w:val="IEEEParagraph"/>
      </w:pPr>
      <w:r>
        <w:t>Implications. If the patterns hold, the work has three implications. For text-to-SQL reliability, it gives direct human evidence that silent misinterpretation is a real risk for non-experts and that the interface, not just the model, governs whether they notice. For ambiguity resolution, it shows whether resolving intent before SQL generation — the disambiguate-first stance from the literature — actually helps real users, not just simulated ones. For the emerging direction of AI-generated interfaces, it offers an early, controlled read on whether a dynamic, model-authored UI earns its extra cost and failure risk against a fixed, structured alternative — a question now live in the field following the GenUI-Agent release. {[reference: appropriate-reliance / human-AI decision-making, to frame the implications]}</w:t>
      </w:r>
    </w:p>
    <w:p>
      <w:pPr>
        <w:pStyle w:val="IEEEParagraph"/>
      </w:pPr>
      <w:r>
        <w:t>Limitations. The sample is small and recruited by convenience; a single content database is used; and each question is answered through only one interface. The findings are therefore indicative, not confirmatory — patterns and effect-size estimates to motivate a larger, powered study, not significance claims.</w:t>
      </w:r>
    </w:p>
    <w:p>
      <w:pPr>
        <w:pStyle w:val="IEEEHeading1"/>
        <w:numPr>
          <w:ilvl w:val="0"/>
          <w:numId w:val="0"/>
        </w:numPr>
      </w:pPr>
      <w:r>
        <w:t>References</w:t>
      </w:r>
    </w:p>
    <w:p>
      <w:pPr>
        <w:pStyle w:val="IEEEParagraph"/>
        <w:spacing w:after="40"/>
        <w:ind w:firstLine="0" w:left="360" w:hanging="360"/>
      </w:pPr>
      <w:r>
        <w:rPr>
          <w:sz w:val="16"/>
        </w:rPr>
        <w:t>[1] Li and Jagadish, NaLIR / interactive NLIDB.</w:t>
      </w:r>
    </w:p>
    <w:p>
      <w:pPr>
        <w:pStyle w:val="IEEEParagraph"/>
        <w:spacing w:after="40"/>
        <w:ind w:firstLine="0" w:left="360" w:hanging="360"/>
      </w:pPr>
      <w:r>
        <w:rPr>
          <w:sz w:val="16"/>
        </w:rPr>
        <w:t>[2] Yu et al., Spider.</w:t>
      </w:r>
    </w:p>
    <w:p>
      <w:pPr>
        <w:pStyle w:val="IEEEParagraph"/>
        <w:spacing w:after="40"/>
        <w:ind w:firstLine="0" w:left="360" w:hanging="360"/>
      </w:pPr>
      <w:r>
        <w:rPr>
          <w:sz w:val="16"/>
        </w:rPr>
        <w:t>[3] Li et al., BIRD.</w:t>
      </w:r>
    </w:p>
    <w:p>
      <w:pPr>
        <w:pStyle w:val="IEEEParagraph"/>
        <w:spacing w:after="40"/>
        <w:ind w:firstLine="0" w:left="360" w:hanging="360"/>
      </w:pPr>
      <w:r>
        <w:rPr>
          <w:sz w:val="16"/>
        </w:rPr>
        <w:t>[4] Chen et al., BEAVER.</w:t>
      </w:r>
    </w:p>
    <w:p>
      <w:pPr>
        <w:pStyle w:val="IEEEParagraph"/>
        <w:spacing w:after="40"/>
        <w:ind w:firstLine="0" w:left="360" w:hanging="360"/>
      </w:pPr>
      <w:r>
        <w:rPr>
          <w:sz w:val="16"/>
        </w:rPr>
        <w:t>[5] Wretblad et al., noise/errors in BIRD.</w:t>
      </w:r>
    </w:p>
    <w:p>
      <w:pPr>
        <w:pStyle w:val="IEEEParagraph"/>
        <w:spacing w:after="40"/>
        <w:ind w:firstLine="0" w:left="360" w:hanging="360"/>
      </w:pPr>
      <w:r>
        <w:rPr>
          <w:sz w:val="16"/>
        </w:rPr>
        <w:t>[6] Jin et al., annotation errors in BIRD/Spider 2.0-Snow.</w:t>
      </w:r>
    </w:p>
    <w:p>
      <w:pPr>
        <w:pStyle w:val="IEEEParagraph"/>
        <w:spacing w:after="40"/>
        <w:ind w:firstLine="0" w:left="360" w:hanging="360"/>
      </w:pPr>
      <w:r>
        <w:rPr>
          <w:sz w:val="16"/>
        </w:rPr>
        <w:t>[7] Saparina and Lapata, Disambiguate First, Parse Later.</w:t>
      </w:r>
    </w:p>
    <w:p>
      <w:pPr>
        <w:pStyle w:val="IEEEParagraph"/>
        <w:spacing w:after="40"/>
        <w:ind w:firstLine="0" w:left="360" w:hanging="360"/>
      </w:pPr>
      <w:r>
        <w:rPr>
          <w:sz w:val="16"/>
        </w:rPr>
        <w:t>[8] Ding et al., AmbiSQL.</w:t>
      </w:r>
    </w:p>
    <w:p>
      <w:pPr>
        <w:pStyle w:val="IEEEParagraph"/>
        <w:spacing w:after="40"/>
        <w:ind w:firstLine="0" w:left="360" w:hanging="360"/>
      </w:pPr>
      <w:r>
        <w:rPr>
          <w:sz w:val="16"/>
        </w:rPr>
        <w:t>[9] Nahid et al., schema linking.</w:t>
      </w:r>
    </w:p>
    <w:p>
      <w:pPr>
        <w:pStyle w:val="IEEEParagraph"/>
        <w:spacing w:after="40"/>
        <w:ind w:firstLine="0" w:left="360" w:hanging="360"/>
      </w:pPr>
      <w:r>
        <w:rPr>
          <w:sz w:val="16"/>
        </w:rPr>
        <w:t>[10] Ipeirotis and Zheng, user-centred NLIDB evaluation gap.</w:t>
      </w:r>
    </w:p>
    <w:p>
      <w:pPr>
        <w:pStyle w:val="IEEEParagraph"/>
        <w:spacing w:after="40"/>
        <w:ind w:firstLine="0" w:left="360" w:hanging="360"/>
      </w:pPr>
      <w:r>
        <w:rPr>
          <w:sz w:val="16"/>
        </w:rPr>
        <w:t>[11] Huo et al., BIRD-Interact.</w:t>
      </w:r>
    </w:p>
    <w:p>
      <w:pPr>
        <w:pStyle w:val="IEEEParagraph"/>
        <w:spacing w:after="40"/>
        <w:ind w:firstLine="0" w:left="360" w:hanging="360"/>
      </w:pPr>
      <w:r>
        <w:rPr>
          <w:sz w:val="16"/>
        </w:rPr>
        <w:t>[12] BIRD official GenUI-Agent news update.</w:t>
      </w:r>
    </w:p>
    <w:sectPr w:rsidR="00AA03D0">
      <w:type w:val="continuous"/>
      <w:pgSz w:w="11906" w:h="16838"/>
      <w:pgMar w:top="1440" w:right="1440" w:bottom="1440" w:left="1440"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71AE" w14:textId="77777777" w:rsidR="00B74E4B" w:rsidRDefault="00B74E4B">
      <w:r>
        <w:separator/>
      </w:r>
    </w:p>
  </w:endnote>
  <w:endnote w:type="continuationSeparator" w:id="0">
    <w:p w14:paraId="50BAA5CD" w14:textId="77777777" w:rsidR="00B74E4B" w:rsidRDefault="00B74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imSun;宋体">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Courier">
    <w:panose1 w:val="02070409020205020404"/>
    <w:charset w:val="00"/>
    <w:family w:val="modern"/>
    <w:pitch w:val="default"/>
  </w:font>
  <w:font w:name="MS Mincho;ＭＳ 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FDF2" w14:textId="77777777" w:rsidR="00AA03D0" w:rsidRDefault="00000000">
    <w:pPr>
      <w:pStyle w:val="Footer"/>
      <w:rPr>
        <w:b/>
        <w:i/>
      </w:rPr>
    </w:pPr>
    <w:r>
      <w:rPr>
        <w:b/>
        <w:bCs/>
        <w:i/>
        <w:color w:val="595959"/>
        <w:sz w:val="20"/>
        <w:szCs w:val="20"/>
      </w:rPr>
      <w:t xml:space="preserve">© 2014, …. All Rights Reserved                                                                                                 </w:t>
    </w:r>
    <w:r>
      <w:rPr>
        <w:b/>
        <w:i/>
      </w:rPr>
      <w:t xml:space="preserve">             </w:t>
    </w:r>
    <w:r>
      <w:rPr>
        <w:b/>
        <w:i/>
      </w:rPr>
      <w:fldChar w:fldCharType="begin"/>
    </w:r>
    <w:r>
      <w:rPr>
        <w:b/>
        <w:i/>
      </w:rPr>
      <w:instrText xml:space="preserve"> PAGE </w:instrText>
    </w:r>
    <w:r>
      <w:rPr>
        <w:b/>
        <w:i/>
      </w:rPr>
      <w:fldChar w:fldCharType="separate"/>
    </w:r>
    <w:r>
      <w:rPr>
        <w:b/>
        <w:i/>
      </w:rPr>
      <w:t>4</w:t>
    </w:r>
    <w:r>
      <w:rPr>
        <w:b/>
        <w:i/>
      </w:rPr>
      <w:fldChar w:fldCharType="end"/>
    </w:r>
  </w:p>
  <w:p w14:paraId="6C461609" w14:textId="77777777" w:rsidR="00AA03D0" w:rsidRDefault="00AA03D0">
    <w:pPr>
      <w:pStyle w:val="Footer"/>
      <w:rPr>
        <w:b/>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D583" w14:textId="77777777" w:rsidR="00B74E4B" w:rsidRDefault="00B74E4B">
      <w:r>
        <w:separator/>
      </w:r>
    </w:p>
  </w:footnote>
  <w:footnote w:type="continuationSeparator" w:id="0">
    <w:p w14:paraId="4F436A5F" w14:textId="77777777" w:rsidR="00B74E4B" w:rsidRDefault="00B74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6A51" w14:textId="00747109" w:rsidR="00AA03D0" w:rsidRDefault="001E084D" w:rsidP="001E084D">
    <w:pPr>
      <w:pStyle w:val="Stylepapertitle14ptBold"/>
    </w:pPr>
    <w:r>
      <w:rPr>
        <w:b w:val="0"/>
        <w:sz w:val="16"/>
        <w:lang w:val="en-IN"/>
      </w:rPr>
      <w:t>Aled Rowlands</w:t>
    </w:r>
    <w:r w:rsidR="00000000">
      <w:rPr>
        <w:b w:val="0"/>
        <w:sz w:val="16"/>
        <w:lang w:val="en-IN"/>
      </w:rPr>
      <w:t xml:space="preserve">, </w:t>
    </w:r>
    <w:r>
      <w:rPr>
        <w:b w:val="0"/>
        <w:sz w:val="16"/>
        <w:lang w:val="en-IN"/>
      </w:rPr>
      <w:t>5</w:t>
    </w:r>
    <w:r w:rsidRPr="001E084D">
      <w:rPr>
        <w:b w:val="0"/>
        <w:sz w:val="16"/>
        <w:vertAlign w:val="superscript"/>
        <w:lang w:val="en-IN"/>
      </w:rPr>
      <w:t>th</w:t>
    </w:r>
    <w:r>
      <w:rPr>
        <w:b w:val="0"/>
        <w:sz w:val="16"/>
        <w:lang w:val="en-IN"/>
      </w:rPr>
      <w:t xml:space="preserve"> of</w:t>
    </w:r>
    <w:r w:rsidR="00000000">
      <w:rPr>
        <w:b w:val="0"/>
        <w:sz w:val="16"/>
        <w:lang w:val="en-IN"/>
      </w:rPr>
      <w:t xml:space="preserve"> </w:t>
    </w:r>
    <w:r>
      <w:rPr>
        <w:b w:val="0"/>
        <w:sz w:val="16"/>
        <w:lang w:val="en-IN"/>
      </w:rPr>
      <w:t>June</w:t>
    </w:r>
    <w:r w:rsidR="00000000">
      <w:rPr>
        <w:b w:val="0"/>
        <w:sz w:val="16"/>
        <w:lang w:val="en-IN"/>
      </w:rPr>
      <w:t xml:space="preserve"> 20</w:t>
    </w:r>
    <w:r>
      <w:rPr>
        <w:b w:val="0"/>
        <w:sz w:val="16"/>
        <w:lang w:val="en-IN"/>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05BC"/>
    <w:multiLevelType w:val="multilevel"/>
    <w:tmpl w:val="621AF9AC"/>
    <w:lvl w:ilvl="0">
      <w:start w:val="1"/>
      <w:numFmt w:val="upperLetter"/>
      <w:pStyle w:val="IEEEHeading2"/>
      <w:lvlText w:val="%1."/>
      <w:lvlJc w:val="left"/>
      <w:pPr>
        <w:tabs>
          <w:tab w:val="num" w:pos="288"/>
        </w:tabs>
        <w:ind w:left="288" w:hanging="288"/>
      </w:pPr>
      <w:rPr>
        <w:rFonts w:ascii="Times New Roman" w:eastAsia="Arial Unicode MS" w:hAnsi="Times New Roman" w:cs="Times New Roman"/>
        <w:b w:val="0"/>
        <w:bCs/>
        <w:i/>
        <w:iCs w:val="0"/>
        <w:caps/>
        <w:strike w:val="0"/>
        <w:dstrike w:val="0"/>
        <w:outline w:val="0"/>
        <w:shadow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cs="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46C94FF2"/>
    <w:multiLevelType w:val="multilevel"/>
    <w:tmpl w:val="8C1C78C0"/>
    <w:lvl w:ilvl="0">
      <w:start w:val="1"/>
      <w:numFmt w:val="decimal"/>
      <w:pStyle w:val="IEEEReferenceItem"/>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2" w15:restartNumberingAfterBreak="0">
    <w:nsid w:val="571A36CF"/>
    <w:multiLevelType w:val="multilevel"/>
    <w:tmpl w:val="B11626FA"/>
    <w:lvl w:ilvl="0">
      <w:start w:val="1"/>
      <w:numFmt w:val="decimal"/>
      <w:pStyle w:val="IEEEHeading3"/>
      <w:suff w:val="nothing"/>
      <w:lvlText w:val="%1)  "/>
      <w:lvlJc w:val="left"/>
      <w:pPr>
        <w:tabs>
          <w:tab w:val="num" w:pos="0"/>
        </w:tabs>
        <w:ind w:left="0" w:firstLine="0"/>
      </w:pPr>
    </w:lvl>
    <w:lvl w:ilvl="1">
      <w:start w:val="1"/>
      <w:numFmt w:val="decimal"/>
      <w:lvlText w:val="%1.%2)"/>
      <w:lvlJc w:val="left"/>
      <w:pPr>
        <w:tabs>
          <w:tab w:val="num" w:pos="936"/>
        </w:tabs>
        <w:ind w:left="936" w:hanging="720"/>
      </w:pPr>
    </w:lvl>
    <w:lvl w:ilvl="2">
      <w:start w:val="1"/>
      <w:numFmt w:val="decimal"/>
      <w:lvlText w:val="%1.%2)%3."/>
      <w:lvlJc w:val="left"/>
      <w:pPr>
        <w:tabs>
          <w:tab w:val="num" w:pos="936"/>
        </w:tabs>
        <w:ind w:left="936" w:hanging="72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3" w15:restartNumberingAfterBreak="0">
    <w:nsid w:val="5C34021E"/>
    <w:multiLevelType w:val="multilevel"/>
    <w:tmpl w:val="D7B02AD4"/>
    <w:lvl w:ilvl="0">
      <w:start w:val="1"/>
      <w:numFmt w:val="decimal"/>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pStyle w:val="Heading3"/>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4" w15:restartNumberingAfterBreak="0">
    <w:nsid w:val="67666E45"/>
    <w:multiLevelType w:val="multilevel"/>
    <w:tmpl w:val="4BD6AAA4"/>
    <w:lvl w:ilvl="0">
      <w:start w:val="1"/>
      <w:numFmt w:val="bullet"/>
      <w:lvlText w:val=""/>
      <w:lvlJc w:val="left"/>
      <w:pPr>
        <w:tabs>
          <w:tab w:val="num" w:pos="504"/>
        </w:tabs>
        <w:ind w:left="504" w:hanging="216"/>
      </w:pPr>
      <w:rPr>
        <w:rFonts w:ascii="Symbol" w:hAnsi="Symbol" w:cs="Symbol" w:hint="default"/>
        <w:sz w:val="16"/>
        <w:szCs w:val="16"/>
      </w:rPr>
    </w:lvl>
    <w:lvl w:ilvl="1">
      <w:start w:val="1"/>
      <w:numFmt w:val="bullet"/>
      <w:lvlText w:val=""/>
      <w:lvlJc w:val="left"/>
      <w:pPr>
        <w:tabs>
          <w:tab w:val="num" w:pos="288"/>
        </w:tabs>
        <w:ind w:left="288" w:hanging="288"/>
      </w:pPr>
      <w:rPr>
        <w:rFonts w:ascii="Symbol" w:hAnsi="Symbol" w:cs="Symbol" w:hint="default"/>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7C90758B"/>
    <w:multiLevelType w:val="multilevel"/>
    <w:tmpl w:val="542812D6"/>
    <w:lvl w:ilvl="0">
      <w:start w:val="1"/>
      <w:numFmt w:val="upperRoman"/>
      <w:pStyle w:val="IEEEHeading1"/>
      <w:lvlText w:val="%1."/>
      <w:lvlJc w:val="left"/>
      <w:pPr>
        <w:tabs>
          <w:tab w:val="num" w:pos="288"/>
        </w:tabs>
        <w:ind w:left="288" w:hanging="288"/>
      </w:pPr>
      <w:rPr>
        <w:rFonts w:ascii="Times New Roman" w:eastAsia="Arial Unicode MS" w:hAnsi="Times New Roman" w:cs="Times New Roman"/>
        <w:b w:val="0"/>
        <w:bCs w:val="0"/>
        <w:i w:val="0"/>
        <w:iCs w:val="0"/>
        <w:caps/>
        <w:strike w:val="0"/>
        <w:dstrike w:val="0"/>
        <w:outline w:val="0"/>
        <w:shadow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cs="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842352177">
    <w:abstractNumId w:val="3"/>
  </w:num>
  <w:num w:numId="2" w16cid:durableId="745421172">
    <w:abstractNumId w:val="5"/>
  </w:num>
  <w:num w:numId="3" w16cid:durableId="2039432290">
    <w:abstractNumId w:val="1"/>
  </w:num>
  <w:num w:numId="4" w16cid:durableId="1338389255">
    <w:abstractNumId w:val="4"/>
  </w:num>
  <w:num w:numId="5" w16cid:durableId="525750672">
    <w:abstractNumId w:val="0"/>
  </w:num>
  <w:num w:numId="6" w16cid:durableId="674069602">
    <w:abstractNumId w:val="2"/>
  </w:num>
  <w:num w:numId="7" w16cid:durableId="74306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03D0"/>
    <w:rsid w:val="001E084D"/>
    <w:rsid w:val="006A4150"/>
    <w:rsid w:val="008C5815"/>
    <w:rsid w:val="00AA03D0"/>
    <w:rsid w:val="00B74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2"/>
        <o:r id="V:Rule2" type="connector" idref="#Straight Arrow Connector 1"/>
      </o:rules>
    </o:shapelayout>
  </w:shapeDefaults>
  <w:decimalSymbol w:val="."/>
  <w:listSeparator w:val=","/>
  <w14:docId w14:val="3C95D2A2"/>
  <w15:docId w15:val="{9AE5F9BC-B45E-493D-9661-0F26518A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宋体" w:hAnsi="Times New Roman" w:cs="Times New Roman"/>
      <w:sz w:val="24"/>
      <w:szCs w:val="24"/>
      <w:lang w:val="en-AU" w:eastAsia="zh-CN"/>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rPr>
      <w:rFonts w:ascii="Times New Roman" w:eastAsia="Arial Unicode MS" w:hAnsi="Times New Roman" w:cs="Times New Roman"/>
      <w:b w:val="0"/>
      <w:bCs w:val="0"/>
      <w:i w:val="0"/>
      <w:iCs w:val="0"/>
      <w:caps/>
      <w:strike w:val="0"/>
      <w:dstrike w:val="0"/>
      <w:outline w:val="0"/>
      <w:shadow w:val="0"/>
      <w:vanish w:val="0"/>
      <w:color w:val="000000"/>
      <w:spacing w:val="0"/>
      <w:kern w:val="0"/>
      <w:position w:val="0"/>
      <w:sz w:val="20"/>
      <w:szCs w:val="20"/>
      <w:u w:val="none"/>
      <w:vertAlign w:val="baseline"/>
      <w:em w:val="none"/>
    </w:rPr>
  </w:style>
  <w:style w:type="character" w:customStyle="1" w:styleId="WW8Num3z1">
    <w:name w:val="WW8Num3z1"/>
    <w:qFormat/>
    <w:rPr>
      <w:rFonts w:ascii="Times New Roman" w:hAnsi="Times New Roman" w:cs="Times New Roman"/>
      <w:b w:val="0"/>
      <w:i w:val="0"/>
      <w:sz w:val="20"/>
    </w:rPr>
  </w:style>
  <w:style w:type="character" w:customStyle="1" w:styleId="WW8Num3z2">
    <w:name w:val="WW8Num3z2"/>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Times New Roman" w:eastAsia="Arial Unicode MS" w:hAnsi="Times New Roman" w:cs="Times New Roman"/>
      <w:bCs/>
      <w:i w:val="0"/>
      <w:iCs w:val="0"/>
      <w:caps/>
      <w:strike w:val="0"/>
      <w:dstrike w:val="0"/>
      <w:outline w:val="0"/>
      <w:shadow w:val="0"/>
      <w:vanish w:val="0"/>
      <w:color w:val="000000"/>
      <w:spacing w:val="0"/>
      <w:kern w:val="0"/>
      <w:position w:val="0"/>
      <w:sz w:val="20"/>
      <w:szCs w:val="24"/>
      <w:u w:val="none"/>
      <w:vertAlign w:val="baseline"/>
      <w:em w:val="none"/>
    </w:rPr>
  </w:style>
  <w:style w:type="character" w:customStyle="1" w:styleId="WW8Num6z1">
    <w:name w:val="WW8Num6z1"/>
    <w:qFormat/>
    <w:rPr>
      <w:rFonts w:ascii="Symbol" w:eastAsia="SimSun;宋体" w:hAnsi="Symbol" w:cs="Symbol"/>
      <w:b/>
      <w:bCs/>
      <w:caps/>
      <w:color w:val="000000"/>
      <w:sz w:val="16"/>
      <w:szCs w:val="24"/>
    </w:rPr>
  </w:style>
  <w:style w:type="character" w:customStyle="1" w:styleId="WW8Num6z2">
    <w:name w:val="WW8Num6z2"/>
    <w:qFormat/>
  </w:style>
  <w:style w:type="character" w:customStyle="1" w:styleId="WW8Num7z0">
    <w:name w:val="WW8Num7z0"/>
    <w:qFormat/>
  </w:style>
  <w:style w:type="character" w:customStyle="1" w:styleId="WW8Num8z0">
    <w:name w:val="WW8Num8z0"/>
    <w:qFormat/>
    <w:rPr>
      <w:rFonts w:ascii="Times" w:eastAsia="Arial Unicode MS" w:hAnsi="Times" w:cs="Times New Roman"/>
      <w:b/>
      <w:bCs/>
      <w:i w:val="0"/>
      <w:iCs w:val="0"/>
      <w:caps/>
      <w:strike w:val="0"/>
      <w:dstrike w:val="0"/>
      <w:outline w:val="0"/>
      <w:shadow w:val="0"/>
      <w:vanish w:val="0"/>
      <w:color w:val="000000"/>
      <w:spacing w:val="0"/>
      <w:kern w:val="0"/>
      <w:position w:val="0"/>
      <w:sz w:val="24"/>
      <w:szCs w:val="24"/>
      <w:u w:val="none"/>
      <w:vertAlign w:val="baseline"/>
      <w:em w:val="none"/>
    </w:rPr>
  </w:style>
  <w:style w:type="character" w:customStyle="1" w:styleId="WW8Num8z1">
    <w:name w:val="WW8Num8z1"/>
    <w:qFormat/>
    <w:rPr>
      <w:rFonts w:ascii="Times New Roman" w:hAnsi="Times New Roman" w:cs="Times New Roman"/>
      <w:b w:val="0"/>
      <w:i w:val="0"/>
      <w:sz w:val="20"/>
    </w:rPr>
  </w:style>
  <w:style w:type="character" w:customStyle="1" w:styleId="WW8Num8z2">
    <w:name w:val="WW8Num8z2"/>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4z1">
    <w:name w:val="WW8Num14z1"/>
    <w:qFormat/>
    <w:rPr>
      <w:rFonts w:ascii="Symbol" w:hAnsi="Symbol" w:cs="Symbol"/>
      <w:sz w:val="16"/>
    </w:rPr>
  </w:style>
  <w:style w:type="character" w:customStyle="1" w:styleId="WW8Num15z0">
    <w:name w:val="WW8Num15z0"/>
    <w:qFormat/>
    <w:rPr>
      <w:rFonts w:ascii="Times New Roman" w:hAnsi="Times New Roman" w:cs="Times New Roman"/>
      <w:b w:val="0"/>
      <w:i w:val="0"/>
      <w:sz w:val="20"/>
      <w:szCs w:val="16"/>
    </w:rPr>
  </w:style>
  <w:style w:type="character" w:customStyle="1" w:styleId="WW8Num15z1">
    <w:name w:val="WW8Num15z1"/>
    <w:qFormat/>
    <w:rPr>
      <w:rFonts w:ascii="Symbol" w:eastAsia="SimSun;宋体" w:hAnsi="Symbol" w:cs="Symbol"/>
      <w:sz w:val="16"/>
      <w:szCs w:val="24"/>
    </w:rPr>
  </w:style>
  <w:style w:type="character" w:customStyle="1" w:styleId="WW8Num15z2">
    <w:name w:val="WW8Num15z2"/>
    <w:qFormat/>
  </w:style>
  <w:style w:type="character" w:customStyle="1" w:styleId="WW8Num16z0">
    <w:name w:val="WW8Num16z0"/>
    <w:qFormat/>
    <w:rPr>
      <w:rFonts w:ascii="Times" w:eastAsia="Arial Unicode MS" w:hAnsi="Times" w:cs="Times New Roman"/>
      <w:b/>
      <w:bCs/>
      <w:i w:val="0"/>
      <w:iCs w:val="0"/>
      <w:caps/>
      <w:strike w:val="0"/>
      <w:dstrike w:val="0"/>
      <w:outline w:val="0"/>
      <w:shadow w:val="0"/>
      <w:vanish w:val="0"/>
      <w:color w:val="000000"/>
      <w:spacing w:val="0"/>
      <w:kern w:val="0"/>
      <w:position w:val="0"/>
      <w:sz w:val="24"/>
      <w:szCs w:val="24"/>
      <w:u w:val="none"/>
      <w:vertAlign w:val="baseline"/>
      <w:em w:val="none"/>
    </w:rPr>
  </w:style>
  <w:style w:type="character" w:customStyle="1" w:styleId="WW8Num16z1">
    <w:name w:val="WW8Num16z1"/>
    <w:qFormat/>
    <w:rPr>
      <w:rFonts w:ascii="Times New Roman" w:hAnsi="Times New Roman" w:cs="Times New Roman"/>
      <w:b w:val="0"/>
      <w:i w:val="0"/>
      <w:sz w:val="20"/>
    </w:rPr>
  </w:style>
  <w:style w:type="character" w:customStyle="1" w:styleId="WW8Num16z2">
    <w:name w:val="WW8Num16z2"/>
    <w:qFormat/>
  </w:style>
  <w:style w:type="character" w:customStyle="1" w:styleId="WW8Num17z0">
    <w:name w:val="WW8Num17z0"/>
    <w:qFormat/>
  </w:style>
  <w:style w:type="character" w:customStyle="1" w:styleId="WW8Num19z0">
    <w:name w:val="WW8Num19z0"/>
    <w:qFormat/>
  </w:style>
  <w:style w:type="character" w:customStyle="1" w:styleId="WW8Num20z0">
    <w:name w:val="WW8Num20z0"/>
    <w:qFormat/>
  </w:style>
  <w:style w:type="character" w:customStyle="1" w:styleId="WW8Num21z0">
    <w:name w:val="WW8Num21z0"/>
    <w:qFormat/>
    <w:rPr>
      <w:rFonts w:ascii="Symbol" w:hAnsi="Symbol" w:cs="Times New Roman"/>
      <w:sz w:val="16"/>
      <w:szCs w:val="16"/>
    </w:rPr>
  </w:style>
  <w:style w:type="character" w:customStyle="1" w:styleId="WW8Num21z1">
    <w:name w:val="WW8Num21z1"/>
    <w:qFormat/>
    <w:rPr>
      <w:rFonts w:ascii="Symbol" w:eastAsia="SimSun;宋体" w:hAnsi="Symbol" w:cs="Symbol"/>
      <w:sz w:val="16"/>
      <w:szCs w:val="24"/>
    </w:rPr>
  </w:style>
  <w:style w:type="character" w:customStyle="1" w:styleId="WW8Num21z2">
    <w:name w:val="WW8Num21z2"/>
    <w:qFormat/>
  </w:style>
  <w:style w:type="character" w:customStyle="1" w:styleId="WW8Num22z0">
    <w:name w:val="WW8Num22z0"/>
    <w:qFormat/>
  </w:style>
  <w:style w:type="character" w:customStyle="1" w:styleId="WW8Num23z0">
    <w:name w:val="WW8Num23z0"/>
    <w:qFormat/>
    <w:rPr>
      <w:rFonts w:ascii="Symbol" w:hAnsi="Symbol" w:cs="Times New Roman"/>
      <w:sz w:val="16"/>
      <w:szCs w:val="16"/>
    </w:rPr>
  </w:style>
  <w:style w:type="character" w:customStyle="1" w:styleId="WW8Num23z1">
    <w:name w:val="WW8Num23z1"/>
    <w:qFormat/>
    <w:rPr>
      <w:rFonts w:ascii="Symbol" w:eastAsia="SimSun;宋体" w:hAnsi="Symbol" w:cs="Symbol"/>
      <w:sz w:val="16"/>
      <w:szCs w:val="24"/>
    </w:rPr>
  </w:style>
  <w:style w:type="character" w:customStyle="1" w:styleId="WW8Num23z2">
    <w:name w:val="WW8Num23z2"/>
    <w:qFormat/>
  </w:style>
  <w:style w:type="character" w:customStyle="1" w:styleId="WW8Num24z0">
    <w:name w:val="WW8Num24z0"/>
    <w:qFormat/>
  </w:style>
  <w:style w:type="character" w:customStyle="1" w:styleId="WW8Num24z1">
    <w:name w:val="WW8Num24z1"/>
    <w:qFormat/>
    <w:rPr>
      <w:rFonts w:ascii="Symbol" w:hAnsi="Symbol" w:cs="Symbol"/>
      <w:sz w:val="16"/>
    </w:rPr>
  </w:style>
  <w:style w:type="character" w:customStyle="1" w:styleId="WW8Num25z0">
    <w:name w:val="WW8Num25z0"/>
    <w:qFormat/>
  </w:style>
  <w:style w:type="character" w:customStyle="1" w:styleId="WW8Num26z0">
    <w:name w:val="WW8Num26z0"/>
    <w:qFormat/>
  </w:style>
  <w:style w:type="character" w:customStyle="1" w:styleId="WW8Num26z1">
    <w:name w:val="WW8Num26z1"/>
    <w:qFormat/>
    <w:rPr>
      <w:rFonts w:ascii="Symbol" w:eastAsia="SimSun;宋体" w:hAnsi="Symbol" w:cs="Symbol"/>
      <w:sz w:val="16"/>
      <w:szCs w:val="24"/>
    </w:rPr>
  </w:style>
  <w:style w:type="character" w:customStyle="1" w:styleId="WW8Num27z0">
    <w:name w:val="WW8Num27z0"/>
    <w:qFormat/>
  </w:style>
  <w:style w:type="character" w:customStyle="1" w:styleId="WW8Num28z0">
    <w:name w:val="WW8Num28z0"/>
    <w:qFormat/>
    <w:rPr>
      <w:rFonts w:ascii="Times" w:eastAsia="Arial Unicode MS" w:hAnsi="Times" w:cs="Times New Roman"/>
      <w:b/>
      <w:bCs/>
      <w:i w:val="0"/>
      <w:iCs w:val="0"/>
      <w:caps/>
      <w:strike w:val="0"/>
      <w:dstrike w:val="0"/>
      <w:outline w:val="0"/>
      <w:shadow w:val="0"/>
      <w:vanish w:val="0"/>
      <w:color w:val="000000"/>
      <w:spacing w:val="0"/>
      <w:kern w:val="0"/>
      <w:position w:val="0"/>
      <w:sz w:val="24"/>
      <w:szCs w:val="24"/>
      <w:u w:val="none"/>
      <w:vertAlign w:val="baseline"/>
      <w:em w:val="none"/>
    </w:rPr>
  </w:style>
  <w:style w:type="character" w:customStyle="1" w:styleId="WW8Num28z1">
    <w:name w:val="WW8Num28z1"/>
    <w:qFormat/>
    <w:rPr>
      <w:rFonts w:ascii="Symbol" w:hAnsi="Symbol" w:cs="Symbol"/>
      <w:b/>
      <w:bCs/>
      <w:i w:val="0"/>
      <w:iCs w:val="0"/>
      <w:caps/>
      <w:strike w:val="0"/>
      <w:dstrike w:val="0"/>
      <w:outline w:val="0"/>
      <w:shadow w:val="0"/>
      <w:vanish w:val="0"/>
      <w:color w:val="000000"/>
      <w:spacing w:val="0"/>
      <w:kern w:val="0"/>
      <w:position w:val="0"/>
      <w:sz w:val="16"/>
      <w:szCs w:val="24"/>
      <w:u w:val="none"/>
      <w:vertAlign w:val="baseline"/>
      <w:em w:val="none"/>
    </w:rPr>
  </w:style>
  <w:style w:type="character" w:customStyle="1" w:styleId="WW8Num28z2">
    <w:name w:val="WW8Num28z2"/>
    <w:qFormat/>
  </w:style>
  <w:style w:type="character" w:customStyle="1" w:styleId="WW8Num29z0">
    <w:name w:val="WW8Num29z0"/>
    <w:qFormat/>
    <w:rPr>
      <w:rFonts w:ascii="Symbol" w:hAnsi="Symbol" w:cs="Times New Roman"/>
      <w:sz w:val="16"/>
      <w:szCs w:val="16"/>
    </w:rPr>
  </w:style>
  <w:style w:type="character" w:customStyle="1" w:styleId="WW8Num29z1">
    <w:name w:val="WW8Num29z1"/>
    <w:qFormat/>
    <w:rPr>
      <w:rFonts w:ascii="Symbol" w:eastAsia="SimSun;宋体" w:hAnsi="Symbol" w:cs="Symbol"/>
      <w:sz w:val="16"/>
      <w:szCs w:val="24"/>
    </w:rPr>
  </w:style>
  <w:style w:type="character" w:customStyle="1" w:styleId="WW8Num29z2">
    <w:name w:val="WW8Num29z2"/>
    <w:qFormat/>
  </w:style>
  <w:style w:type="character" w:customStyle="1" w:styleId="WW8Num30z0">
    <w:name w:val="WW8Num30z0"/>
    <w:qFormat/>
  </w:style>
  <w:style w:type="character" w:customStyle="1" w:styleId="WW8Num31z0">
    <w:name w:val="WW8Num31z0"/>
    <w:qFormat/>
  </w:style>
  <w:style w:type="character" w:customStyle="1" w:styleId="WW8Num31z1">
    <w:name w:val="WW8Num31z1"/>
    <w:qFormat/>
    <w:rPr>
      <w:rFonts w:ascii="Symbol" w:hAnsi="Symbol" w:cs="Symbol"/>
      <w:sz w:val="16"/>
    </w:rPr>
  </w:style>
  <w:style w:type="character" w:customStyle="1" w:styleId="WW8Num32z0">
    <w:name w:val="WW8Num32z0"/>
    <w:qFormat/>
    <w:rPr>
      <w:rFonts w:ascii="Times New Roman" w:eastAsia="Arial Unicode MS" w:hAnsi="Times New Roman" w:cs="Times New Roman"/>
      <w:b w:val="0"/>
      <w:bCs/>
      <w:i/>
      <w:iCs w:val="0"/>
      <w:caps/>
      <w:strike w:val="0"/>
      <w:dstrike w:val="0"/>
      <w:outline w:val="0"/>
      <w:shadow w:val="0"/>
      <w:vanish w:val="0"/>
      <w:color w:val="000000"/>
      <w:spacing w:val="0"/>
      <w:kern w:val="0"/>
      <w:position w:val="0"/>
      <w:sz w:val="20"/>
      <w:szCs w:val="24"/>
      <w:u w:val="none"/>
      <w:vertAlign w:val="baseline"/>
      <w:em w:val="none"/>
    </w:rPr>
  </w:style>
  <w:style w:type="character" w:customStyle="1" w:styleId="WW8Num32z1">
    <w:name w:val="WW8Num32z1"/>
    <w:qFormat/>
    <w:rPr>
      <w:rFonts w:ascii="Times New Roman" w:hAnsi="Times New Roman" w:cs="Times New Roman"/>
      <w:b w:val="0"/>
      <w:i w:val="0"/>
      <w:sz w:val="20"/>
    </w:rPr>
  </w:style>
  <w:style w:type="character" w:customStyle="1" w:styleId="WW8Num32z2">
    <w:name w:val="WW8Num32z2"/>
    <w:qFormat/>
  </w:style>
  <w:style w:type="character" w:customStyle="1" w:styleId="WW8Num33z0">
    <w:name w:val="WW8Num33z0"/>
    <w:qFormat/>
  </w:style>
  <w:style w:type="character" w:customStyle="1" w:styleId="WW8Num34z0">
    <w:name w:val="WW8Num34z0"/>
    <w:qFormat/>
    <w:rPr>
      <w:rFonts w:ascii="Times" w:eastAsia="Arial Unicode MS" w:hAnsi="Times" w:cs="Times New Roman"/>
      <w:b/>
      <w:bCs/>
      <w:i w:val="0"/>
      <w:iCs w:val="0"/>
      <w:caps/>
      <w:strike w:val="0"/>
      <w:dstrike w:val="0"/>
      <w:outline w:val="0"/>
      <w:shadow w:val="0"/>
      <w:vanish w:val="0"/>
      <w:color w:val="000000"/>
      <w:spacing w:val="0"/>
      <w:kern w:val="0"/>
      <w:position w:val="0"/>
      <w:sz w:val="24"/>
      <w:szCs w:val="24"/>
      <w:u w:val="none"/>
      <w:vertAlign w:val="baseline"/>
      <w:em w:val="none"/>
    </w:rPr>
  </w:style>
  <w:style w:type="character" w:customStyle="1" w:styleId="WW8Num34z1">
    <w:name w:val="WW8Num34z1"/>
    <w:qFormat/>
    <w:rPr>
      <w:rFonts w:ascii="Symbol" w:hAnsi="Symbol" w:cs="Symbol"/>
      <w:b/>
      <w:bCs/>
      <w:i w:val="0"/>
      <w:iCs w:val="0"/>
      <w:caps/>
      <w:strike w:val="0"/>
      <w:dstrike w:val="0"/>
      <w:outline w:val="0"/>
      <w:shadow w:val="0"/>
      <w:vanish w:val="0"/>
      <w:color w:val="000000"/>
      <w:spacing w:val="0"/>
      <w:kern w:val="0"/>
      <w:position w:val="0"/>
      <w:sz w:val="16"/>
      <w:szCs w:val="24"/>
      <w:u w:val="none"/>
      <w:vertAlign w:val="baseline"/>
      <w:em w:val="none"/>
    </w:rPr>
  </w:style>
  <w:style w:type="character" w:customStyle="1" w:styleId="WW8Num34z2">
    <w:name w:val="WW8Num34z2"/>
    <w:qFormat/>
  </w:style>
  <w:style w:type="character" w:customStyle="1" w:styleId="WW8Num35z0">
    <w:name w:val="WW8Num35z0"/>
    <w:qFormat/>
  </w:style>
  <w:style w:type="character" w:customStyle="1" w:styleId="WW8Num36z0">
    <w:name w:val="WW8Num36z0"/>
    <w:qFormat/>
  </w:style>
  <w:style w:type="character" w:customStyle="1" w:styleId="WW8Num36z1">
    <w:name w:val="WW8Num36z1"/>
    <w:qFormat/>
    <w:rPr>
      <w:rFonts w:ascii="Symbol" w:eastAsia="SimSun;宋体" w:hAnsi="Symbol" w:cs="Symbol"/>
      <w:sz w:val="16"/>
      <w:szCs w:val="24"/>
    </w:rPr>
  </w:style>
  <w:style w:type="character" w:customStyle="1" w:styleId="WW8Num37z0">
    <w:name w:val="WW8Num37z0"/>
    <w:qFormat/>
  </w:style>
  <w:style w:type="character" w:customStyle="1" w:styleId="WW8Num38z0">
    <w:name w:val="WW8Num38z0"/>
    <w:qFormat/>
  </w:style>
  <w:style w:type="character" w:customStyle="1" w:styleId="WW8Num39z0">
    <w:name w:val="WW8Num39z0"/>
    <w:qFormat/>
  </w:style>
  <w:style w:type="character" w:customStyle="1" w:styleId="WW8Num40z0">
    <w:name w:val="WW8Num40z0"/>
    <w:qFormat/>
  </w:style>
  <w:style w:type="character" w:customStyle="1" w:styleId="WW8Num40z1">
    <w:name w:val="WW8Num40z1"/>
    <w:qFormat/>
    <w:rPr>
      <w:rFonts w:ascii="Symbol" w:hAnsi="Symbol" w:cs="Symbol"/>
      <w:sz w:val="16"/>
    </w:rPr>
  </w:style>
  <w:style w:type="character" w:customStyle="1" w:styleId="WW8Num41z0">
    <w:name w:val="WW8Num41z0"/>
    <w:qFormat/>
    <w:rPr>
      <w:rFonts w:ascii="Times New Roman" w:eastAsia="Arial Unicode MS" w:hAnsi="Times New Roman" w:cs="Times New Roman"/>
      <w:bCs/>
      <w:i w:val="0"/>
      <w:iCs w:val="0"/>
      <w:caps/>
      <w:strike w:val="0"/>
      <w:dstrike w:val="0"/>
      <w:outline w:val="0"/>
      <w:shadow w:val="0"/>
      <w:vanish w:val="0"/>
      <w:color w:val="000000"/>
      <w:spacing w:val="0"/>
      <w:kern w:val="0"/>
      <w:position w:val="0"/>
      <w:sz w:val="20"/>
      <w:szCs w:val="24"/>
      <w:u w:val="none"/>
      <w:vertAlign w:val="baseline"/>
      <w:em w:val="none"/>
    </w:rPr>
  </w:style>
  <w:style w:type="character" w:customStyle="1" w:styleId="WW8Num41z1">
    <w:name w:val="WW8Num41z1"/>
    <w:qFormat/>
    <w:rPr>
      <w:rFonts w:ascii="Symbol" w:eastAsia="SimSun;宋体" w:hAnsi="Symbol" w:cs="Symbol"/>
      <w:b/>
      <w:bCs/>
      <w:caps/>
      <w:color w:val="000000"/>
      <w:sz w:val="16"/>
      <w:szCs w:val="24"/>
    </w:rPr>
  </w:style>
  <w:style w:type="character" w:customStyle="1" w:styleId="WW8Num41z2">
    <w:name w:val="WW8Num41z2"/>
    <w:qFormat/>
  </w:style>
  <w:style w:type="character" w:customStyle="1" w:styleId="WW8Num42z0">
    <w:name w:val="WW8Num42z0"/>
    <w:qFormat/>
  </w:style>
  <w:style w:type="character" w:customStyle="1" w:styleId="WW8Num43z0">
    <w:name w:val="WW8Num43z0"/>
    <w:qFormat/>
    <w:rPr>
      <w:rFonts w:ascii="Symbol" w:hAnsi="Symbol" w:cs="Times New Roman"/>
      <w:sz w:val="16"/>
      <w:szCs w:val="16"/>
    </w:rPr>
  </w:style>
  <w:style w:type="character" w:customStyle="1" w:styleId="WW8Num43z1">
    <w:name w:val="WW8Num43z1"/>
    <w:qFormat/>
    <w:rPr>
      <w:rFonts w:ascii="Symbol" w:eastAsia="SimSun;宋体" w:hAnsi="Symbol" w:cs="Symbol"/>
      <w:sz w:val="16"/>
      <w:szCs w:val="24"/>
    </w:rPr>
  </w:style>
  <w:style w:type="character" w:customStyle="1" w:styleId="WW8Num43z2">
    <w:name w:val="WW8Num43z2"/>
    <w:qFormat/>
  </w:style>
  <w:style w:type="character" w:customStyle="1" w:styleId="WW8Num44z0">
    <w:name w:val="WW8Num44z0"/>
    <w:qFormat/>
  </w:style>
  <w:style w:type="character" w:customStyle="1" w:styleId="WW8Num45z0">
    <w:name w:val="WW8Num45z0"/>
    <w:qFormat/>
  </w:style>
  <w:style w:type="character" w:customStyle="1" w:styleId="WW8Num46z0">
    <w:name w:val="WW8Num46z0"/>
    <w:qFormat/>
  </w:style>
  <w:style w:type="character" w:customStyle="1" w:styleId="WW8Num46z1">
    <w:name w:val="WW8Num46z1"/>
    <w:qFormat/>
    <w:rPr>
      <w:rFonts w:ascii="Symbol" w:hAnsi="Symbol" w:cs="Symbol"/>
      <w:sz w:val="16"/>
    </w:rPr>
  </w:style>
  <w:style w:type="character" w:customStyle="1" w:styleId="WW8Num47z0">
    <w:name w:val="WW8Num47z0"/>
    <w:qFormat/>
    <w:rPr>
      <w:rFonts w:ascii="Times" w:eastAsia="Arial Unicode MS" w:hAnsi="Times" w:cs="Times New Roman"/>
      <w:b w:val="0"/>
      <w:bCs/>
      <w:i w:val="0"/>
      <w:iCs w:val="0"/>
      <w:caps/>
      <w:strike w:val="0"/>
      <w:dstrike w:val="0"/>
      <w:outline w:val="0"/>
      <w:shadow w:val="0"/>
      <w:vanish w:val="0"/>
      <w:color w:val="000000"/>
      <w:spacing w:val="0"/>
      <w:kern w:val="0"/>
      <w:position w:val="0"/>
      <w:sz w:val="20"/>
      <w:szCs w:val="24"/>
      <w:u w:val="none"/>
      <w:vertAlign w:val="baseline"/>
      <w:em w:val="none"/>
    </w:rPr>
  </w:style>
  <w:style w:type="character" w:customStyle="1" w:styleId="WW8Num47z1">
    <w:name w:val="WW8Num47z1"/>
    <w:qFormat/>
    <w:rPr>
      <w:rFonts w:ascii="Times New Roman" w:hAnsi="Times New Roman" w:cs="Times New Roman"/>
      <w:b w:val="0"/>
      <w:i w:val="0"/>
      <w:sz w:val="20"/>
    </w:rPr>
  </w:style>
  <w:style w:type="character" w:customStyle="1" w:styleId="WW8Num47z2">
    <w:name w:val="WW8Num47z2"/>
    <w:qFormat/>
  </w:style>
  <w:style w:type="character" w:customStyle="1" w:styleId="IEEEAbstractHeadingChar">
    <w:name w:val="IEEE Abstract Heading Char"/>
    <w:qFormat/>
    <w:rPr>
      <w:rFonts w:eastAsia="SimSun;宋体"/>
      <w:b/>
      <w:i/>
      <w:sz w:val="18"/>
      <w:szCs w:val="24"/>
      <w:lang w:bidi="ar-SA"/>
    </w:rPr>
  </w:style>
  <w:style w:type="character" w:customStyle="1" w:styleId="IEEEAbtractChar">
    <w:name w:val="IEEE Abtract Char"/>
    <w:qFormat/>
    <w:rPr>
      <w:rFonts w:eastAsia="SimSun;宋体"/>
      <w:b/>
      <w:sz w:val="18"/>
      <w:szCs w:val="24"/>
      <w:lang w:bidi="ar-SA"/>
    </w:rPr>
  </w:style>
  <w:style w:type="character" w:customStyle="1" w:styleId="IEEEParagraphChar">
    <w:name w:val="IEEE Paragraph Char"/>
    <w:qFormat/>
    <w:rPr>
      <w:rFonts w:eastAsia="SimSun;宋体"/>
      <w:sz w:val="24"/>
      <w:szCs w:val="24"/>
      <w:lang w:val="en-AU" w:bidi="ar-SA"/>
    </w:rPr>
  </w:style>
  <w:style w:type="character" w:customStyle="1" w:styleId="IEEEHeading3Char">
    <w:name w:val="IEEE Heading 3 Char"/>
    <w:qFormat/>
    <w:rPr>
      <w:rFonts w:eastAsia="SimSun;宋体"/>
      <w:i/>
      <w:szCs w:val="24"/>
      <w:lang w:val="en-AU" w:bidi="ar-SA"/>
    </w:rPr>
  </w:style>
  <w:style w:type="character" w:customStyle="1" w:styleId="HeaderChar">
    <w:name w:val="Header Char"/>
    <w:qFormat/>
    <w:rPr>
      <w:sz w:val="24"/>
      <w:szCs w:val="24"/>
      <w:lang w:val="en-AU"/>
    </w:rPr>
  </w:style>
  <w:style w:type="character" w:customStyle="1" w:styleId="FooterChar">
    <w:name w:val="Footer Char"/>
    <w:qFormat/>
    <w:rPr>
      <w:sz w:val="24"/>
      <w:szCs w:val="24"/>
      <w:lang w:val="en-AU"/>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next w:val="Normal"/>
    <w:qFormat/>
    <w:pPr>
      <w:spacing w:before="120" w:after="120"/>
    </w:pPr>
    <w:rPr>
      <w:b/>
      <w:bCs/>
      <w:sz w:val="20"/>
      <w:szCs w:val="20"/>
    </w:rPr>
  </w:style>
  <w:style w:type="paragraph" w:customStyle="1" w:styleId="Index">
    <w:name w:val="Index"/>
    <w:basedOn w:val="Normal"/>
    <w:qFormat/>
    <w:pPr>
      <w:suppressLineNumbers/>
    </w:pPr>
    <w:rPr>
      <w:rFonts w:cs="Noto Sans"/>
    </w:rPr>
  </w:style>
  <w:style w:type="paragraph" w:customStyle="1" w:styleId="IEEEAuthorName">
    <w:name w:val="IEEE Author Name"/>
    <w:basedOn w:val="Normal"/>
    <w:next w:val="Normal"/>
    <w:qFormat/>
    <w:pPr>
      <w:snapToGrid w:val="0"/>
      <w:spacing w:before="120" w:after="120"/>
      <w:jc w:val="center"/>
    </w:pPr>
    <w:rPr>
      <w:rFonts w:eastAsia="Times New Roman"/>
      <w:sz w:val="22"/>
      <w:lang w:val="en-GB"/>
    </w:rPr>
  </w:style>
  <w:style w:type="paragraph" w:customStyle="1" w:styleId="IEEEAuthorAffiliation">
    <w:name w:val="IEEE Author Affiliation"/>
    <w:basedOn w:val="Normal"/>
    <w:next w:val="Normal"/>
    <w:qFormat/>
    <w:pPr>
      <w:spacing w:after="60"/>
      <w:jc w:val="center"/>
    </w:pPr>
    <w:rPr>
      <w:rFonts w:eastAsia="Times New Roman"/>
      <w:i/>
      <w:sz w:val="20"/>
      <w:lang w:val="en-GB"/>
    </w:rPr>
  </w:style>
  <w:style w:type="paragraph" w:customStyle="1" w:styleId="IEEEHeading2">
    <w:name w:val="IEEE Heading 2"/>
    <w:basedOn w:val="Normal"/>
    <w:next w:val="IEEEParagraph"/>
    <w:qFormat/>
    <w:pPr>
      <w:numPr>
        <w:numId w:val="5"/>
      </w:numPr>
      <w:snapToGrid w:val="0"/>
      <w:spacing w:before="150" w:after="60"/>
      <w:ind w:left="289" w:hanging="289"/>
    </w:pPr>
    <w:rPr>
      <w:i/>
      <w:sz w:val="20"/>
    </w:rPr>
  </w:style>
  <w:style w:type="paragraph" w:customStyle="1" w:styleId="IEEEAuthorEmail">
    <w:name w:val="IEEE Author Email"/>
    <w:next w:val="IEEEAuthorAffiliation"/>
    <w:qFormat/>
    <w:pPr>
      <w:suppressAutoHyphens/>
      <w:spacing w:after="60"/>
      <w:jc w:val="center"/>
    </w:pPr>
    <w:rPr>
      <w:rFonts w:ascii="Courier" w:eastAsia="Times New Roman" w:hAnsi="Courier" w:cs="Courier"/>
      <w:sz w:val="18"/>
      <w:szCs w:val="24"/>
      <w:lang w:eastAsia="zh-CN"/>
    </w:rPr>
  </w:style>
  <w:style w:type="paragraph" w:customStyle="1" w:styleId="IEEEAbtract">
    <w:name w:val="IEEE Abtract"/>
    <w:basedOn w:val="Normal"/>
    <w:next w:val="Normal"/>
    <w:qFormat/>
    <w:pPr>
      <w:snapToGrid w:val="0"/>
      <w:jc w:val="both"/>
    </w:pPr>
    <w:rPr>
      <w:b/>
      <w:sz w:val="18"/>
      <w:lang w:val="en-GB"/>
    </w:rPr>
  </w:style>
  <w:style w:type="paragraph" w:customStyle="1" w:styleId="IEEEAbstractHeading">
    <w:name w:val="IEEE Abstract Heading"/>
    <w:basedOn w:val="IEEEAbtract"/>
    <w:next w:val="IEEEAbtract"/>
    <w:qFormat/>
    <w:rPr>
      <w:i/>
    </w:rPr>
  </w:style>
  <w:style w:type="paragraph" w:customStyle="1" w:styleId="IEEEParagraph">
    <w:name w:val="IEEE Paragraph"/>
    <w:basedOn w:val="Normal"/>
    <w:qFormat/>
    <w:pPr>
      <w:snapToGrid w:val="0"/>
      <w:ind w:firstLine="216"/>
      <w:jc w:val="both"/>
    </w:pPr>
    <w:rPr>
      <w:sz w:val="20"/>
    </w:rPr>
  </w:style>
  <w:style w:type="paragraph" w:customStyle="1" w:styleId="IEEEHeading1">
    <w:name w:val="IEEE Heading 1"/>
    <w:basedOn w:val="Normal"/>
    <w:next w:val="IEEEParagraph"/>
    <w:qFormat/>
    <w:pPr>
      <w:numPr>
        <w:numId w:val="2"/>
      </w:numPr>
      <w:snapToGrid w:val="0"/>
      <w:spacing w:before="180" w:after="60"/>
      <w:ind w:left="289" w:hanging="289"/>
      <w:jc w:val="center"/>
    </w:pPr>
    <w:rPr>
      <w:smallCaps/>
      <w:sz w:val="20"/>
    </w:rPr>
  </w:style>
  <w:style w:type="paragraph" w:customStyle="1" w:styleId="IEEETableCell">
    <w:name w:val="IEEE Table Cell"/>
    <w:basedOn w:val="IEEEParagraph"/>
    <w:qFormat/>
    <w:pPr>
      <w:ind w:firstLine="0"/>
      <w:jc w:val="left"/>
    </w:pPr>
    <w:rPr>
      <w:sz w:val="18"/>
    </w:rPr>
  </w:style>
  <w:style w:type="paragraph" w:customStyle="1" w:styleId="IEEETitle">
    <w:name w:val="IEEE Title"/>
    <w:basedOn w:val="Normal"/>
    <w:next w:val="IEEEAuthorName"/>
    <w:qFormat/>
    <w:pPr>
      <w:snapToGrid w:val="0"/>
      <w:jc w:val="center"/>
    </w:pPr>
    <w:rPr>
      <w:sz w:val="48"/>
    </w:rPr>
  </w:style>
  <w:style w:type="paragraph" w:customStyle="1" w:styleId="IEEEHeading3">
    <w:name w:val="IEEE Heading 3"/>
    <w:basedOn w:val="Normal"/>
    <w:next w:val="IEEEParagraph"/>
    <w:qFormat/>
    <w:pPr>
      <w:numPr>
        <w:numId w:val="6"/>
      </w:numPr>
      <w:snapToGrid w:val="0"/>
      <w:spacing w:before="120" w:after="60"/>
      <w:ind w:firstLine="216"/>
      <w:jc w:val="both"/>
    </w:pPr>
    <w:rPr>
      <w:i/>
      <w:sz w:val="20"/>
    </w:rPr>
  </w:style>
  <w:style w:type="paragraph" w:customStyle="1" w:styleId="IEEETableCaption">
    <w:name w:val="IEEE Table Caption"/>
    <w:basedOn w:val="Normal"/>
    <w:next w:val="IEEEParagraph"/>
    <w:qFormat/>
    <w:pPr>
      <w:spacing w:before="120" w:after="120"/>
      <w:jc w:val="center"/>
    </w:pPr>
    <w:rPr>
      <w:smallCaps/>
      <w:sz w:val="16"/>
    </w:rPr>
  </w:style>
  <w:style w:type="paragraph" w:customStyle="1" w:styleId="IEEEFigureCaptionSingle-Line">
    <w:name w:val="IEEE Figure Caption Single-Line"/>
    <w:basedOn w:val="IEEETableCaption"/>
    <w:next w:val="IEEEParagraph"/>
    <w:qFormat/>
    <w:rPr>
      <w:smallCaps w:val="0"/>
    </w:rPr>
  </w:style>
  <w:style w:type="paragraph" w:customStyle="1" w:styleId="IEEEFigure">
    <w:name w:val="IEEE Figure"/>
    <w:basedOn w:val="Normal"/>
    <w:next w:val="IEEEFigureCaptionSingle-Line"/>
    <w:qFormat/>
    <w:pPr>
      <w:jc w:val="center"/>
    </w:pPr>
  </w:style>
  <w:style w:type="paragraph" w:customStyle="1" w:styleId="IEEEReferenceItem">
    <w:name w:val="IEEE Reference Item"/>
    <w:basedOn w:val="Normal"/>
    <w:qFormat/>
    <w:pPr>
      <w:numPr>
        <w:numId w:val="3"/>
      </w:numPr>
      <w:snapToGrid w:val="0"/>
      <w:jc w:val="both"/>
    </w:pPr>
    <w:rPr>
      <w:sz w:val="16"/>
      <w:lang w:val="en-US"/>
    </w:rPr>
  </w:style>
  <w:style w:type="paragraph" w:customStyle="1" w:styleId="IEEEFigureCaptionMulti-Lines">
    <w:name w:val="IEEE Figure Caption Multi-Lines"/>
    <w:basedOn w:val="IEEEFigureCaptionSingle-Line"/>
    <w:next w:val="IEEEParagraph"/>
    <w:qFormat/>
    <w:pPr>
      <w:jc w:val="both"/>
    </w:pPr>
  </w:style>
  <w:style w:type="paragraph" w:customStyle="1" w:styleId="IEEETableHeaderCentered">
    <w:name w:val="IEEE Table Header Centered"/>
    <w:basedOn w:val="IEEETableCell"/>
    <w:qFormat/>
    <w:pPr>
      <w:jc w:val="center"/>
    </w:pPr>
    <w:rPr>
      <w:b/>
      <w:bCs/>
    </w:rPr>
  </w:style>
  <w:style w:type="paragraph" w:customStyle="1" w:styleId="IEEETableHeaderLeft-Justified">
    <w:name w:val="IEEE Table Header Left-Justified"/>
    <w:basedOn w:val="IEEETableCell"/>
    <w:qFormat/>
    <w:rPr>
      <w:b/>
      <w:bC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Stylepapertitle14ptBold">
    <w:name w:val="Style paper title + 14 pt Bold"/>
    <w:basedOn w:val="Normal"/>
    <w:qFormat/>
    <w:pPr>
      <w:spacing w:after="120"/>
      <w:jc w:val="center"/>
    </w:pPr>
    <w:rPr>
      <w:rFonts w:eastAsia="MS Mincho;ＭＳ 明朝"/>
      <w:b/>
      <w:bCs/>
      <w:sz w:val="28"/>
      <w:szCs w:val="28"/>
      <w:lang w:val="en-US" w:eastAsia="en-GB"/>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4</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ALED ROWLANDS</cp:lastModifiedBy>
  <cp:revision>6</cp:revision>
  <cp:lastPrinted>2006-09-01T20:18:00Z</cp:lastPrinted>
  <dcterms:created xsi:type="dcterms:W3CDTF">2025-10-20T10:55:00Z</dcterms:created>
  <dcterms:modified xsi:type="dcterms:W3CDTF">2026-06-05T10:57:00Z</dcterms:modified>
  <dc:language>en-GB</dc:language>
</cp:coreProperties>
</file>