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360" w:after="160" w:line="240" w:lineRule="auto"/>
        <w:jc w:val="left"/>
      </w:pPr>
      <w:r>
        <w:rPr>
          <w:rFonts w:ascii="Calibri" w:hAnsi="Calibri"/>
          <w:b/>
          <w:i w:val="0"/>
          <w:color w:val="00A8C6"/>
          <w:sz w:val="18"/>
        </w:rPr>
        <w:t>CLIENT PROJECT DOCUMENTATION</w:t>
      </w:r>
    </w:p>
    <w:p>
      <w:pPr>
        <w:keepNext/>
        <w:widowControl/>
        <w:spacing w:before="0" w:after="40" w:line="240" w:lineRule="auto"/>
        <w:jc w:val="left"/>
      </w:pPr>
      <w:r>
        <w:rPr>
          <w:rFonts w:ascii="Calibri" w:hAnsi="Calibri"/>
          <w:b/>
          <w:i w:val="0"/>
          <w:color w:val="0B2545"/>
          <w:sz w:val="62"/>
        </w:rPr>
        <w:t>FlowDex</w:t>
      </w:r>
    </w:p>
    <w:p>
      <w:pPr>
        <w:keepNext w:val="0"/>
        <w:widowControl/>
        <w:spacing w:before="0" w:after="240" w:line="252" w:lineRule="auto"/>
        <w:jc w:val="left"/>
      </w:pPr>
      <w:r>
        <w:rPr>
          <w:rFonts w:ascii="Calibri" w:hAnsi="Calibri"/>
          <w:b w:val="0"/>
          <w:i w:val="0"/>
          <w:color w:val="176B87"/>
          <w:sz w:val="30"/>
        </w:rPr>
        <w:t>Wallet-first token purchase and payment operations platform</w:t>
      </w:r>
    </w:p>
    <w:p>
      <w:pPr>
        <w:keepNext w:val="0"/>
        <w:widowControl/>
        <w:spacing w:before="0" w:after="340" w:line="264" w:lineRule="auto"/>
        <w:jc w:val="left"/>
      </w:pPr>
      <w:r>
        <w:rPr>
          <w:rFonts w:ascii="Calibri" w:hAnsi="Calibri"/>
          <w:b/>
          <w:i w:val="0"/>
          <w:color w:val="64748B"/>
          <w:sz w:val="18"/>
        </w:rPr>
        <w:t>Current release  |  Prepared for client review  |  July 2026</w:t>
      </w:r>
    </w:p>
    <w:p>
      <w:pPr>
        <w:keepNext w:val="0"/>
        <w:widowControl/>
        <w:spacing w:before="80" w:after="140" w:line="259" w:lineRule="auto"/>
        <w:ind w:left="187" w:right="187"/>
        <w:shd w:fill="E9F8FB"/>
        <w:pBdr>
          <w:left w:val="single" w:sz="20" w:color="00A8C6" w:space="6"/>
        </w:pBdr>
      </w:pPr>
      <w:r>
        <w:rPr>
          <w:rFonts w:ascii="Calibri" w:hAnsi="Calibri"/>
          <w:b/>
          <w:color w:val="00A8C6"/>
          <w:sz w:val="17"/>
        </w:rPr>
        <w:t>PROJECT AT A GLANCE</w:t>
        <w:br/>
      </w:r>
      <w:r>
        <w:rPr>
          <w:rFonts w:ascii="Calibri" w:hAnsi="Calibri"/>
          <w:color w:val="172033"/>
          <w:sz w:val="20"/>
        </w:rPr>
        <w:t>A public launch experience, non-custodial multi-chain checkout, wallet-based portfolio and receipts, and protected payment operations in one cohesive product.</w:t>
      </w:r>
    </w:p>
    <w:p>
      <w:pPr>
        <w:pStyle w:val="Heading1"/>
        <w:keepNext/>
        <w:spacing w:before="220" w:after="120"/>
      </w:pPr>
      <w:r>
        <w:t>Executive Overview</w:t>
      </w:r>
    </w:p>
    <w:p>
      <w:pPr>
        <w:keepNext w:val="0"/>
        <w:widowControl/>
        <w:spacing w:before="0" w:after="120" w:line="264" w:lineRule="auto"/>
        <w:jc w:val="left"/>
      </w:pPr>
      <w:r>
        <w:rPr>
          <w:rFonts w:ascii="Calibri" w:hAnsi="Calibri"/>
          <w:b w:val="0"/>
          <w:i w:val="0"/>
          <w:color w:val="172033"/>
          <w:sz w:val="21"/>
        </w:rPr>
        <w:t>FlowDex is a wallet-first digital asset platform currently focused on the public launch and purchase of the FlowDex token. The delivered application gives visitors a clear path from project research to wallet-approved payment, on-chain status tracking, and post-purchase visibility.</w:t>
      </w:r>
    </w:p>
    <w:p>
      <w:pPr>
        <w:keepNext w:val="0"/>
        <w:widowControl/>
        <w:spacing w:before="0" w:after="120" w:line="264" w:lineRule="auto"/>
        <w:jc w:val="left"/>
      </w:pPr>
      <w:r>
        <w:rPr>
          <w:rFonts w:ascii="Calibri" w:hAnsi="Calibri"/>
          <w:b w:val="0"/>
          <w:i w:val="0"/>
          <w:color w:val="172033"/>
          <w:sz w:val="21"/>
        </w:rPr>
        <w:t>The current release is built around a non-custodial model: buyers retain control of their wallets and approve transactions through supported wallet providers. FlowDex records and monitors payment activity without taking possession of private keys.</w:t>
      </w:r>
    </w:p>
    <w:p>
      <w:pPr>
        <w:pStyle w:val="Heading2"/>
        <w:keepNext/>
      </w:pPr>
      <w:r>
        <w:t>Delivered Solution</w:t>
      </w:r>
    </w:p>
    <w:p>
      <w:pPr>
        <w:pStyle w:val="ListBullet"/>
        <w:keepNext w:val="0"/>
        <w:widowControl/>
        <w:spacing w:before="0" w:after="60" w:line="259" w:lineRule="auto"/>
        <w:ind w:left="720" w:hanging="360"/>
      </w:pPr>
      <w:r>
        <w:rPr>
          <w:rFonts w:ascii="Calibri" w:hAnsi="Calibri"/>
          <w:color w:val="172033"/>
          <w:sz w:val="20"/>
        </w:rPr>
        <w:t>A responsive public website covering the project, token model, roadmap, updates, legal information, FAQs, and whitepaper access.</w:t>
      </w:r>
    </w:p>
    <w:p>
      <w:pPr>
        <w:pStyle w:val="ListBullet"/>
        <w:keepNext w:val="0"/>
        <w:widowControl/>
        <w:spacing w:before="0" w:after="60" w:line="259" w:lineRule="auto"/>
        <w:ind w:left="720" w:hanging="360"/>
      </w:pPr>
      <w:r>
        <w:rPr>
          <w:rFonts w:ascii="Calibri" w:hAnsi="Calibri"/>
          <w:color w:val="172033"/>
          <w:sz w:val="20"/>
        </w:rPr>
        <w:t>A live token purchase experience supporting ETH, SOL, BTC, and USDT TRC20 payments.</w:t>
      </w:r>
    </w:p>
    <w:p>
      <w:pPr>
        <w:pStyle w:val="ListBullet"/>
        <w:keepNext w:val="0"/>
        <w:widowControl/>
        <w:spacing w:before="0" w:after="60" w:line="259" w:lineRule="auto"/>
        <w:ind w:left="720" w:hanging="360"/>
      </w:pPr>
      <w:r>
        <w:rPr>
          <w:rFonts w:ascii="Calibri" w:hAnsi="Calibri"/>
          <w:color w:val="172033"/>
          <w:sz w:val="20"/>
        </w:rPr>
        <w:t>Wallet-based portfolio, purchase history, individual receipts, and confirmed-purchase leaderboard views.</w:t>
      </w:r>
    </w:p>
    <w:p>
      <w:pPr>
        <w:pStyle w:val="ListBullet"/>
        <w:keepNext w:val="0"/>
        <w:widowControl/>
        <w:spacing w:before="0" w:after="60" w:line="259" w:lineRule="auto"/>
        <w:ind w:left="720" w:hanging="360"/>
      </w:pPr>
      <w:r>
        <w:rPr>
          <w:rFonts w:ascii="Calibri" w:hAnsi="Calibri"/>
          <w:color w:val="172033"/>
          <w:sz w:val="20"/>
        </w:rPr>
        <w:t>A protected administration area for sale metrics, transaction filtering, and detailed payment inspection.</w:t>
      </w:r>
    </w:p>
    <w:p>
      <w:pPr>
        <w:pStyle w:val="Heading2"/>
        <w:keepNext/>
      </w:pPr>
      <w:r>
        <w:t>Current Release Boundary</w:t>
      </w:r>
    </w:p>
    <w:p>
      <w:pPr>
        <w:keepNext w:val="0"/>
        <w:widowControl/>
        <w:spacing w:before="0" w:after="0" w:line="264" w:lineRule="auto"/>
        <w:jc w:val="left"/>
      </w:pPr>
      <w:r>
        <w:rPr>
          <w:rFonts w:ascii="Calibri" w:hAnsi="Calibri"/>
          <w:b w:val="0"/>
          <w:i w:val="0"/>
          <w:color w:val="172033"/>
          <w:sz w:val="20"/>
        </w:rPr>
        <w:t>This document distinguishes implemented functionality from the broader FlowDex product vision. Trading, staking, referrals, governance, expanded global-market access, and FlowChain remain future-facing directions rather than completed release features.</w:t>
      </w:r>
    </w:p>
    <w:p>
      <w:r>
        <w:br w:type="page"/>
      </w:r>
    </w:p>
    <w:p>
      <w:pPr>
        <w:keepNext/>
        <w:widowControl/>
        <w:spacing w:before="0" w:after="100" w:line="240" w:lineRule="auto"/>
        <w:jc w:val="left"/>
      </w:pPr>
      <w:r>
        <w:rPr>
          <w:rFonts w:ascii="Calibri" w:hAnsi="Calibri"/>
          <w:b/>
          <w:i w:val="0"/>
          <w:color w:val="00A8C6"/>
          <w:sz w:val="17"/>
        </w:rPr>
        <w:t>PARTICIPANT EXPERIENCE</w:t>
      </w:r>
    </w:p>
    <w:p>
      <w:pPr>
        <w:pStyle w:val="Heading1"/>
        <w:keepNext/>
        <w:spacing w:before="0"/>
      </w:pPr>
      <w:r>
        <w:t>Public Experience and Purchase Journey</w:t>
      </w:r>
    </w:p>
    <w:p>
      <w:pPr>
        <w:keepNext w:val="0"/>
        <w:widowControl/>
        <w:spacing w:before="0" w:after="120" w:line="264" w:lineRule="auto"/>
        <w:jc w:val="left"/>
      </w:pPr>
      <w:r>
        <w:rPr>
          <w:rFonts w:ascii="Calibri" w:hAnsi="Calibri"/>
          <w:b w:val="0"/>
          <w:i w:val="0"/>
          <w:color w:val="172033"/>
          <w:sz w:val="21"/>
        </w:rPr>
        <w:t>The public experience is structured to help a prospective participant understand FlowDex, assess the launch information, and complete a purchase without navigating a separate account dashboard.</w:t>
      </w:r>
    </w:p>
    <w:p>
      <w:pPr>
        <w:pStyle w:val="Heading2"/>
        <w:keepNext/>
      </w:pPr>
      <w:r>
        <w:t>Project Research and Launch Content</w:t>
      </w:r>
    </w:p>
    <w:p>
      <w:pPr>
        <w:pStyle w:val="ListBullet"/>
        <w:keepNext w:val="0"/>
        <w:widowControl/>
        <w:spacing w:before="0" w:after="60" w:line="259" w:lineRule="auto"/>
        <w:ind w:left="720" w:hanging="360"/>
      </w:pPr>
      <w:r>
        <w:rPr>
          <w:rFonts w:ascii="Calibri" w:hAnsi="Calibri"/>
          <w:color w:val="172033"/>
          <w:sz w:val="20"/>
        </w:rPr>
        <w:t>Landing, About, Tokenomics, Roadmap, FAQ, Updates, Blogs, and Whitepaper pages provide a structured research path.</w:t>
      </w:r>
    </w:p>
    <w:p>
      <w:pPr>
        <w:pStyle w:val="ListBullet"/>
        <w:keepNext w:val="0"/>
        <w:widowControl/>
        <w:spacing w:before="0" w:after="60" w:line="259" w:lineRule="auto"/>
        <w:ind w:left="720" w:hanging="360"/>
      </w:pPr>
      <w:r>
        <w:rPr>
          <w:rFonts w:ascii="Calibri" w:hAnsi="Calibri"/>
          <w:color w:val="172033"/>
          <w:sz w:val="20"/>
        </w:rPr>
        <w:t>Terms, Privacy, and Legal pages keep core notices accessible throughout the experience.</w:t>
      </w:r>
    </w:p>
    <w:p>
      <w:pPr>
        <w:pStyle w:val="ListBullet"/>
        <w:keepNext w:val="0"/>
        <w:widowControl/>
        <w:spacing w:before="0" w:after="60" w:line="259" w:lineRule="auto"/>
        <w:ind w:left="720" w:hanging="360"/>
      </w:pPr>
      <w:r>
        <w:rPr>
          <w:rFonts w:ascii="Calibri" w:hAnsi="Calibri"/>
          <w:color w:val="172033"/>
          <w:sz w:val="20"/>
        </w:rPr>
        <w:t>Responsive navigation, mobile layouts, light and dark themes, and consistent calls to action support use across devices.</w:t>
      </w:r>
    </w:p>
    <w:p>
      <w:pPr>
        <w:pStyle w:val="Heading2"/>
        <w:keepNext/>
      </w:pPr>
      <w:r>
        <w:t>Live Presale Information</w:t>
      </w:r>
    </w:p>
    <w:p>
      <w:pPr>
        <w:keepNext w:val="0"/>
        <w:widowControl/>
        <w:spacing w:before="0" w:after="120" w:line="264" w:lineRule="auto"/>
        <w:jc w:val="left"/>
      </w:pPr>
      <w:r>
        <w:rPr>
          <w:rFonts w:ascii="Calibri" w:hAnsi="Calibri"/>
          <w:b w:val="0"/>
          <w:i w:val="0"/>
          <w:color w:val="172033"/>
          <w:sz w:val="21"/>
        </w:rPr>
        <w:t>The buy page reads current sale configuration and presents the active tier, token price, next-tier price, funds raised, tokens sold, remaining allocation, target progress, and payment-asset pricing. Buyers enter a desired token amount and review the calculated payment before connecting a wallet.</w:t>
      </w:r>
    </w:p>
    <w:p>
      <w:pPr>
        <w:pStyle w:val="Heading2"/>
        <w:keepNext/>
      </w:pPr>
      <w:r>
        <w:t>Supported Payment Rails</w:t>
      </w:r>
    </w:p>
    <w:tbl>
      <w:tblPr>
        <w:tblW w:type="dxa" w:w="9360"/>
        <w:tblLayout w:type="fixed"/>
        <w:tblLook w:firstColumn="1" w:firstRow="1" w:lastColumn="0" w:lastRow="0" w:noHBand="0" w:noVBand="1" w:val="04A0"/>
        <w:tblInd w:w="120" w:type="dxa"/>
      </w:tblPr>
      <w:tblGrid>
        <w:gridCol w:w="1750"/>
        <w:gridCol w:w="1600"/>
        <w:gridCol w:w="4010"/>
        <w:gridCol w:w="2000"/>
      </w:tblGrid>
      <w:tr>
        <w:trPr>
          <w:tblHeader w:val="true"/>
        </w:trPr>
        <w:tc>
          <w:tcPr>
            <w:tcW w:type="dxa" w:w="175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0B2545"/>
          </w:tcPr>
          <w:p>
            <w:pPr>
              <w:keepNext w:val="0"/>
              <w:widowControl/>
              <w:spacing w:before="0" w:after="0" w:line="252" w:lineRule="auto"/>
            </w:pPr>
            <w:r>
              <w:rPr>
                <w:rFonts w:ascii="Calibri" w:hAnsi="Calibri"/>
                <w:b/>
                <w:color w:val="FFFFFF"/>
                <w:sz w:val="17"/>
              </w:rPr>
              <w:t>Network</w:t>
            </w:r>
          </w:p>
        </w:tc>
        <w:tc>
          <w:tcPr>
            <w:tcW w:type="dxa" w:w="160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0B2545"/>
          </w:tcPr>
          <w:p>
            <w:pPr>
              <w:keepNext w:val="0"/>
              <w:widowControl/>
              <w:spacing w:before="0" w:after="0" w:line="252" w:lineRule="auto"/>
            </w:pPr>
            <w:r>
              <w:rPr>
                <w:rFonts w:ascii="Calibri" w:hAnsi="Calibri"/>
                <w:b/>
                <w:color w:val="FFFFFF"/>
                <w:sz w:val="17"/>
              </w:rPr>
              <w:t>Payment asset</w:t>
            </w:r>
          </w:p>
        </w:tc>
        <w:tc>
          <w:tcPr>
            <w:tcW w:type="dxa" w:w="401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0B2545"/>
          </w:tcPr>
          <w:p>
            <w:pPr>
              <w:keepNext w:val="0"/>
              <w:widowControl/>
              <w:spacing w:before="0" w:after="0" w:line="252" w:lineRule="auto"/>
            </w:pPr>
            <w:r>
              <w:rPr>
                <w:rFonts w:ascii="Calibri" w:hAnsi="Calibri"/>
                <w:b/>
                <w:color w:val="FFFFFF"/>
                <w:sz w:val="17"/>
              </w:rPr>
              <w:t>Supported wallet path</w:t>
            </w:r>
          </w:p>
        </w:tc>
        <w:tc>
          <w:tcPr>
            <w:tcW w:type="dxa" w:w="200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0B2545"/>
          </w:tcPr>
          <w:p>
            <w:pPr>
              <w:keepNext w:val="0"/>
              <w:widowControl/>
              <w:spacing w:before="0" w:after="0" w:line="252" w:lineRule="auto"/>
            </w:pPr>
            <w:r>
              <w:rPr>
                <w:rFonts w:ascii="Calibri" w:hAnsi="Calibri"/>
                <w:b/>
                <w:color w:val="FFFFFF"/>
                <w:sz w:val="17"/>
              </w:rPr>
              <w:t>Settlement</w:t>
            </w:r>
          </w:p>
        </w:tc>
      </w:tr>
      <w:tr>
        <w:tc>
          <w:tcPr>
            <w:tcW w:type="dxa" w:w="175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7"/>
              </w:rPr>
              <w:t>Ethereum</w:t>
            </w:r>
          </w:p>
        </w:tc>
        <w:tc>
          <w:tcPr>
            <w:tcW w:type="dxa" w:w="160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7"/>
              </w:rPr>
              <w:t>ETH</w:t>
            </w:r>
          </w:p>
        </w:tc>
        <w:tc>
          <w:tcPr>
            <w:tcW w:type="dxa" w:w="401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7"/>
              </w:rPr>
              <w:t>MetaMask-compatible EVM flow</w:t>
            </w:r>
          </w:p>
        </w:tc>
        <w:tc>
          <w:tcPr>
            <w:tcW w:type="dxa" w:w="200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7"/>
              </w:rPr>
              <w:t>Mainnet</w:t>
            </w:r>
          </w:p>
        </w:tc>
      </w:tr>
      <w:tr>
        <w:tc>
          <w:tcPr>
            <w:tcW w:type="dxa" w:w="175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F8FAFC"/>
          </w:tcPr>
          <w:p>
            <w:pPr>
              <w:keepNext w:val="0"/>
              <w:widowControl/>
              <w:spacing w:before="0" w:after="0" w:line="252" w:lineRule="auto"/>
            </w:pPr>
            <w:r>
              <w:rPr>
                <w:rFonts w:ascii="Calibri" w:hAnsi="Calibri"/>
                <w:b w:val="0"/>
                <w:color w:val="172033"/>
                <w:sz w:val="17"/>
              </w:rPr>
              <w:t>Solana</w:t>
            </w:r>
          </w:p>
        </w:tc>
        <w:tc>
          <w:tcPr>
            <w:tcW w:type="dxa" w:w="160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F8FAFC"/>
          </w:tcPr>
          <w:p>
            <w:pPr>
              <w:keepNext w:val="0"/>
              <w:widowControl/>
              <w:spacing w:before="0" w:after="0" w:line="252" w:lineRule="auto"/>
            </w:pPr>
            <w:r>
              <w:rPr>
                <w:rFonts w:ascii="Calibri" w:hAnsi="Calibri"/>
                <w:b w:val="0"/>
                <w:color w:val="172033"/>
                <w:sz w:val="17"/>
              </w:rPr>
              <w:t>SOL</w:t>
            </w:r>
          </w:p>
        </w:tc>
        <w:tc>
          <w:tcPr>
            <w:tcW w:type="dxa" w:w="401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F8FAFC"/>
          </w:tcPr>
          <w:p>
            <w:pPr>
              <w:keepNext w:val="0"/>
              <w:widowControl/>
              <w:spacing w:before="0" w:after="0" w:line="252" w:lineRule="auto"/>
            </w:pPr>
            <w:r>
              <w:rPr>
                <w:rFonts w:ascii="Calibri" w:hAnsi="Calibri"/>
                <w:b w:val="0"/>
                <w:color w:val="172033"/>
                <w:sz w:val="17"/>
              </w:rPr>
              <w:t>MetaMask Solana</w:t>
            </w:r>
          </w:p>
        </w:tc>
        <w:tc>
          <w:tcPr>
            <w:tcW w:type="dxa" w:w="200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F8FAFC"/>
          </w:tcPr>
          <w:p>
            <w:pPr>
              <w:keepNext w:val="0"/>
              <w:widowControl/>
              <w:spacing w:before="0" w:after="0" w:line="252" w:lineRule="auto"/>
            </w:pPr>
            <w:r>
              <w:rPr>
                <w:rFonts w:ascii="Calibri" w:hAnsi="Calibri"/>
                <w:b w:val="0"/>
                <w:color w:val="172033"/>
                <w:sz w:val="17"/>
              </w:rPr>
              <w:t>Mainnet beta</w:t>
            </w:r>
          </w:p>
        </w:tc>
      </w:tr>
      <w:tr>
        <w:tc>
          <w:tcPr>
            <w:tcW w:type="dxa" w:w="175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7"/>
              </w:rPr>
              <w:t>Bitcoin</w:t>
            </w:r>
          </w:p>
        </w:tc>
        <w:tc>
          <w:tcPr>
            <w:tcW w:type="dxa" w:w="160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7"/>
              </w:rPr>
              <w:t>BTC</w:t>
            </w:r>
          </w:p>
        </w:tc>
        <w:tc>
          <w:tcPr>
            <w:tcW w:type="dxa" w:w="401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7"/>
              </w:rPr>
              <w:t>MetaMask Bitcoin or Xverse</w:t>
            </w:r>
          </w:p>
        </w:tc>
        <w:tc>
          <w:tcPr>
            <w:tcW w:type="dxa" w:w="200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7"/>
              </w:rPr>
              <w:t>Mainnet</w:t>
            </w:r>
          </w:p>
        </w:tc>
      </w:tr>
      <w:tr>
        <w:tc>
          <w:tcPr>
            <w:tcW w:type="dxa" w:w="175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F8FAFC"/>
          </w:tcPr>
          <w:p>
            <w:pPr>
              <w:keepNext w:val="0"/>
              <w:widowControl/>
              <w:spacing w:before="0" w:after="0" w:line="252" w:lineRule="auto"/>
            </w:pPr>
            <w:r>
              <w:rPr>
                <w:rFonts w:ascii="Calibri" w:hAnsi="Calibri"/>
                <w:b w:val="0"/>
                <w:color w:val="172033"/>
                <w:sz w:val="17"/>
              </w:rPr>
              <w:t>TRON</w:t>
            </w:r>
          </w:p>
        </w:tc>
        <w:tc>
          <w:tcPr>
            <w:tcW w:type="dxa" w:w="160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F8FAFC"/>
          </w:tcPr>
          <w:p>
            <w:pPr>
              <w:keepNext w:val="0"/>
              <w:widowControl/>
              <w:spacing w:before="0" w:after="0" w:line="252" w:lineRule="auto"/>
            </w:pPr>
            <w:r>
              <w:rPr>
                <w:rFonts w:ascii="Calibri" w:hAnsi="Calibri"/>
                <w:b w:val="0"/>
                <w:color w:val="172033"/>
                <w:sz w:val="17"/>
              </w:rPr>
              <w:t>USDT TRC20</w:t>
            </w:r>
          </w:p>
        </w:tc>
        <w:tc>
          <w:tcPr>
            <w:tcW w:type="dxa" w:w="401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F8FAFC"/>
          </w:tcPr>
          <w:p>
            <w:pPr>
              <w:keepNext w:val="0"/>
              <w:widowControl/>
              <w:spacing w:before="0" w:after="0" w:line="252" w:lineRule="auto"/>
            </w:pPr>
            <w:r>
              <w:rPr>
                <w:rFonts w:ascii="Calibri" w:hAnsi="Calibri"/>
                <w:b w:val="0"/>
                <w:color w:val="172033"/>
                <w:sz w:val="17"/>
              </w:rPr>
              <w:t>MetaMask TRON or TronLink</w:t>
            </w:r>
          </w:p>
        </w:tc>
        <w:tc>
          <w:tcPr>
            <w:tcW w:type="dxa" w:w="200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F8FAFC"/>
          </w:tcPr>
          <w:p>
            <w:pPr>
              <w:keepNext w:val="0"/>
              <w:widowControl/>
              <w:spacing w:before="0" w:after="0" w:line="252" w:lineRule="auto"/>
            </w:pPr>
            <w:r>
              <w:rPr>
                <w:rFonts w:ascii="Calibri" w:hAnsi="Calibri"/>
                <w:b w:val="0"/>
                <w:color w:val="172033"/>
                <w:sz w:val="17"/>
              </w:rPr>
              <w:t>Mainnet</w:t>
            </w:r>
          </w:p>
        </w:tc>
      </w:tr>
    </w:tbl>
    <w:p>
      <w:pPr>
        <w:pStyle w:val="Heading2"/>
        <w:keepNext/>
        <w:spacing w:before="160" w:after="60"/>
      </w:pPr>
      <w:r>
        <w:t>Checkout Journey</w:t>
      </w:r>
    </w:p>
    <w:p>
      <w:pPr>
        <w:pStyle w:val="ListNumber"/>
        <w:keepNext w:val="0"/>
        <w:widowControl/>
        <w:spacing w:before="0" w:after="60" w:line="259" w:lineRule="auto"/>
        <w:ind w:left="720" w:hanging="360"/>
      </w:pPr>
      <w:r>
        <w:rPr>
          <w:rFonts w:ascii="Calibri" w:hAnsi="Calibri"/>
          <w:b/>
          <w:color w:val="0B2545"/>
          <w:sz w:val="20"/>
        </w:rPr>
        <w:t xml:space="preserve">Review. </w:t>
      </w:r>
      <w:r>
        <w:rPr>
          <w:rFonts w:ascii="Calibri" w:hAnsi="Calibri"/>
          <w:color w:val="172033"/>
          <w:sz w:val="20"/>
        </w:rPr>
        <w:t>Select a payment asset, enter the token amount, and review the live quote.</w:t>
      </w:r>
    </w:p>
    <w:p>
      <w:pPr>
        <w:pStyle w:val="ListNumber"/>
        <w:keepNext w:val="0"/>
        <w:widowControl/>
        <w:spacing w:before="0" w:after="60" w:line="259" w:lineRule="auto"/>
        <w:ind w:left="720" w:hanging="360"/>
      </w:pPr>
      <w:r>
        <w:rPr>
          <w:rFonts w:ascii="Calibri" w:hAnsi="Calibri"/>
          <w:b/>
          <w:color w:val="0B2545"/>
          <w:sz w:val="20"/>
        </w:rPr>
        <w:t xml:space="preserve">Connect. </w:t>
      </w:r>
      <w:r>
        <w:rPr>
          <w:rFonts w:ascii="Calibri" w:hAnsi="Calibri"/>
          <w:color w:val="172033"/>
          <w:sz w:val="20"/>
        </w:rPr>
        <w:t>Choose an available wallet for the selected network and establish a wallet session.</w:t>
      </w:r>
    </w:p>
    <w:p>
      <w:pPr>
        <w:pStyle w:val="ListNumber"/>
        <w:keepNext w:val="0"/>
        <w:widowControl/>
        <w:spacing w:before="0" w:after="60" w:line="259" w:lineRule="auto"/>
        <w:ind w:left="720" w:hanging="360"/>
      </w:pPr>
      <w:r>
        <w:rPr>
          <w:rFonts w:ascii="Calibri" w:hAnsi="Calibri"/>
          <w:b/>
          <w:color w:val="0B2545"/>
          <w:sz w:val="20"/>
        </w:rPr>
        <w:t xml:space="preserve">Validate. </w:t>
      </w:r>
      <w:r>
        <w:rPr>
          <w:rFonts w:ascii="Calibri" w:hAnsi="Calibri"/>
          <w:color w:val="172033"/>
          <w:sz w:val="20"/>
        </w:rPr>
        <w:t>Confirm the wallet address, network, and current payment request before submission.</w:t>
      </w:r>
    </w:p>
    <w:p>
      <w:pPr>
        <w:pStyle w:val="ListNumber"/>
        <w:keepNext w:val="0"/>
        <w:widowControl/>
        <w:spacing w:before="0" w:after="60" w:line="259" w:lineRule="auto"/>
        <w:ind w:left="720" w:hanging="360"/>
      </w:pPr>
      <w:r>
        <w:rPr>
          <w:rFonts w:ascii="Calibri" w:hAnsi="Calibri"/>
          <w:b/>
          <w:color w:val="0B2545"/>
          <w:sz w:val="20"/>
        </w:rPr>
        <w:t xml:space="preserve">Approve. </w:t>
      </w:r>
      <w:r>
        <w:rPr>
          <w:rFonts w:ascii="Calibri" w:hAnsi="Calibri"/>
          <w:color w:val="172033"/>
          <w:sz w:val="20"/>
        </w:rPr>
        <w:t>Approve and send the prepared transaction directly through the connected wallet.</w:t>
      </w:r>
    </w:p>
    <w:p>
      <w:pPr>
        <w:pStyle w:val="ListNumber"/>
        <w:keepNext w:val="0"/>
        <w:widowControl/>
        <w:spacing w:before="0" w:after="60" w:line="259" w:lineRule="auto"/>
        <w:ind w:left="720" w:hanging="360"/>
      </w:pPr>
      <w:r>
        <w:rPr>
          <w:rFonts w:ascii="Calibri" w:hAnsi="Calibri"/>
          <w:b/>
          <w:color w:val="0B2545"/>
          <w:sz w:val="20"/>
        </w:rPr>
        <w:t xml:space="preserve">Track. </w:t>
      </w:r>
      <w:r>
        <w:rPr>
          <w:rFonts w:ascii="Calibri" w:hAnsi="Calibri"/>
          <w:color w:val="172033"/>
          <w:sz w:val="20"/>
        </w:rPr>
        <w:t>Record the transaction reference and follow detection, confirmation, or exception status.</w:t>
      </w:r>
    </w:p>
    <w:p>
      <w:r>
        <w:br w:type="page"/>
      </w:r>
    </w:p>
    <w:p>
      <w:pPr>
        <w:keepNext/>
        <w:widowControl/>
        <w:spacing w:before="0" w:after="100" w:line="240" w:lineRule="auto"/>
        <w:jc w:val="left"/>
      </w:pPr>
      <w:r>
        <w:rPr>
          <w:rFonts w:ascii="Calibri" w:hAnsi="Calibri"/>
          <w:b/>
          <w:i w:val="0"/>
          <w:color w:val="00A8C6"/>
          <w:sz w:val="17"/>
        </w:rPr>
        <w:t>VISIBILITY AND OPERATIONS</w:t>
      </w:r>
    </w:p>
    <w:p>
      <w:pPr>
        <w:pStyle w:val="Heading1"/>
        <w:keepNext/>
        <w:spacing w:before="0"/>
      </w:pPr>
      <w:r>
        <w:t>Portfolio, Receipts and Administration</w:t>
      </w:r>
    </w:p>
    <w:p>
      <w:pPr>
        <w:keepNext w:val="0"/>
        <w:widowControl/>
        <w:spacing w:before="0" w:after="120" w:line="264" w:lineRule="auto"/>
        <w:jc w:val="left"/>
      </w:pPr>
      <w:r>
        <w:rPr>
          <w:rFonts w:ascii="Calibri" w:hAnsi="Calibri"/>
          <w:b w:val="0"/>
          <w:i w:val="0"/>
          <w:color w:val="172033"/>
          <w:sz w:val="21"/>
        </w:rPr>
        <w:t>FlowDex provides separate participant and operational views of payment activity. Both are tied to the recorded wallet and transaction lifecycle, while sensitive receipt access is protected through wallet verification.</w:t>
      </w:r>
    </w:p>
    <w:p>
      <w:pPr>
        <w:pStyle w:val="Heading2"/>
        <w:keepNext/>
      </w:pPr>
      <w:r>
        <w:t>Wallet Portfolio</w:t>
      </w:r>
    </w:p>
    <w:p>
      <w:pPr>
        <w:keepNext w:val="0"/>
        <w:widowControl/>
        <w:spacing w:before="0" w:after="120" w:line="264" w:lineRule="auto"/>
        <w:jc w:val="left"/>
      </w:pPr>
      <w:r>
        <w:rPr>
          <w:rFonts w:ascii="Calibri" w:hAnsi="Calibri"/>
          <w:b w:val="0"/>
          <w:i w:val="0"/>
          <w:color w:val="172033"/>
          <w:sz w:val="21"/>
        </w:rPr>
        <w:t>A participant can connect a wallet or enter a wallet address to review its presale activity. The portfolio summarizes total invested value, confirmed and pending token amounts, estimated current and listing values, average entry price, transaction counts, asset breakdowns, and recent payment activity.</w:t>
      </w:r>
    </w:p>
    <w:p>
      <w:pPr>
        <w:keepNext w:val="0"/>
        <w:widowControl/>
        <w:spacing w:before="80" w:after="140" w:line="259" w:lineRule="auto"/>
        <w:ind w:left="187" w:right="187"/>
        <w:shd w:fill="EEF4F8"/>
        <w:pBdr>
          <w:left w:val="single" w:sz="20" w:color="176B87" w:space="6"/>
        </w:pBdr>
      </w:pPr>
      <w:r>
        <w:rPr>
          <w:rFonts w:ascii="Calibri" w:hAnsi="Calibri"/>
          <w:b/>
          <w:color w:val="176B87"/>
          <w:sz w:val="16"/>
        </w:rPr>
        <w:t>NO SEPARATE ACCOUNT REQUIRED</w:t>
        <w:br/>
      </w:r>
      <w:r>
        <w:rPr>
          <w:rFonts w:ascii="Calibri" w:hAnsi="Calibri"/>
          <w:color w:val="172033"/>
          <w:sz w:val="19"/>
        </w:rPr>
        <w:t>Public portfolio lookup is wallet-address based. When a supported wallet is connected and verified, FlowDex can automatically use that wallet as the lookup context.</w:t>
      </w:r>
    </w:p>
    <w:p>
      <w:pPr>
        <w:pStyle w:val="Heading2"/>
        <w:keepNext/>
      </w:pPr>
      <w:r>
        <w:t>Purchase History and Receipts</w:t>
      </w:r>
    </w:p>
    <w:p>
      <w:pPr>
        <w:pStyle w:val="ListBullet"/>
        <w:keepNext w:val="0"/>
        <w:widowControl/>
        <w:spacing w:before="0" w:after="60" w:line="259" w:lineRule="auto"/>
        <w:ind w:left="720" w:hanging="360"/>
      </w:pPr>
      <w:r>
        <w:rPr>
          <w:rFonts w:ascii="Calibri" w:hAnsi="Calibri"/>
          <w:color w:val="172033"/>
          <w:sz w:val="20"/>
        </w:rPr>
        <w:t>Wallet-specific history shows payment status, network, asset, amount, transaction reference, confirmation count, and dates.</w:t>
      </w:r>
    </w:p>
    <w:p>
      <w:pPr>
        <w:pStyle w:val="ListBullet"/>
        <w:keepNext w:val="0"/>
        <w:widowControl/>
        <w:spacing w:before="0" w:after="60" w:line="259" w:lineRule="auto"/>
        <w:ind w:left="720" w:hanging="360"/>
      </w:pPr>
      <w:r>
        <w:rPr>
          <w:rFonts w:ascii="Calibri" w:hAnsi="Calibri"/>
          <w:color w:val="172033"/>
          <w:sz w:val="20"/>
        </w:rPr>
        <w:t>Individual receipts provide recipient, block, transaction hash, lifecycle timestamps, and failure information when applicable.</w:t>
      </w:r>
    </w:p>
    <w:p>
      <w:pPr>
        <w:pStyle w:val="ListBullet"/>
        <w:keepNext w:val="0"/>
        <w:widowControl/>
        <w:spacing w:before="0" w:after="60" w:line="259" w:lineRule="auto"/>
        <w:ind w:left="720" w:hanging="360"/>
      </w:pPr>
      <w:r>
        <w:rPr>
          <w:rFonts w:ascii="Calibri" w:hAnsi="Calibri"/>
          <w:color w:val="172033"/>
          <w:sz w:val="20"/>
        </w:rPr>
        <w:t>Pending receipts update as confirmation information becomes available, while inaccessible records remain restricted to the correct verified wallet.</w:t>
      </w:r>
    </w:p>
    <w:p>
      <w:pPr>
        <w:pStyle w:val="ListBullet"/>
        <w:keepNext w:val="0"/>
        <w:widowControl/>
        <w:spacing w:before="0" w:after="60" w:line="259" w:lineRule="auto"/>
        <w:ind w:left="720" w:hanging="360"/>
      </w:pPr>
      <w:r>
        <w:rPr>
          <w:rFonts w:ascii="Calibri" w:hAnsi="Calibri"/>
          <w:color w:val="172033"/>
          <w:sz w:val="20"/>
        </w:rPr>
        <w:t>A leaderboard presents top confirmed purchasers using wallet address, total confirmed value, purchase count, and latest activity.</w:t>
      </w:r>
    </w:p>
    <w:p>
      <w:pPr>
        <w:pStyle w:val="Heading2"/>
        <w:keepNext/>
      </w:pPr>
      <w:r>
        <w:t>Administrative Oversight</w:t>
      </w:r>
    </w:p>
    <w:p>
      <w:pPr>
        <w:keepNext w:val="0"/>
        <w:widowControl/>
        <w:spacing w:before="0" w:after="120" w:line="264" w:lineRule="auto"/>
        <w:jc w:val="left"/>
      </w:pPr>
      <w:r>
        <w:rPr>
          <w:rFonts w:ascii="Calibri" w:hAnsi="Calibri"/>
          <w:b w:val="0"/>
          <w:i w:val="0"/>
          <w:color w:val="172033"/>
          <w:sz w:val="21"/>
        </w:rPr>
        <w:t>The protected admin area gives the FlowDex team a consolidated operational view of the token sale. Dashboard metrics include total, pending, confirmed, and failed payments; confirmed USD volume; volume by chain; recent activity; and the distribution of lifecycle statuses.</w:t>
      </w:r>
    </w:p>
    <w:p>
      <w:pPr>
        <w:keepNext w:val="0"/>
        <w:widowControl/>
        <w:spacing w:before="0" w:after="0" w:line="264" w:lineRule="auto"/>
        <w:jc w:val="left"/>
      </w:pPr>
      <w:r>
        <w:rPr>
          <w:rFonts w:ascii="Calibri" w:hAnsi="Calibri"/>
          <w:b w:val="0"/>
          <w:i w:val="0"/>
          <w:color w:val="172033"/>
          <w:sz w:val="21"/>
        </w:rPr>
        <w:t>Administrators can narrow the operational ledger by status, chain, asset, sender address, receiver address, or date range. Expanded records expose intent and transaction identifiers, token and USD amounts, blockchain addresses, transaction hashes, block and confirmation data, timestamps, and available raw payment information.</w:t>
      </w:r>
    </w:p>
    <w:p>
      <w:r>
        <w:br w:type="page"/>
      </w:r>
    </w:p>
    <w:p>
      <w:pPr>
        <w:keepNext/>
        <w:widowControl/>
        <w:spacing w:before="0" w:after="100" w:line="240" w:lineRule="auto"/>
        <w:jc w:val="left"/>
      </w:pPr>
      <w:r>
        <w:rPr>
          <w:rFonts w:ascii="Calibri" w:hAnsi="Calibri"/>
          <w:b/>
          <w:i w:val="0"/>
          <w:color w:val="00A8C6"/>
          <w:sz w:val="17"/>
        </w:rPr>
        <w:t>CONTROLS AND PRODUCT SCOPE</w:t>
      </w:r>
    </w:p>
    <w:p>
      <w:pPr>
        <w:pStyle w:val="Heading1"/>
        <w:keepNext/>
        <w:spacing w:before="0"/>
      </w:pPr>
      <w:r>
        <w:t>Trust, Payment Lifecycle and Release Scope</w:t>
      </w:r>
    </w:p>
    <w:p>
      <w:pPr>
        <w:keepNext w:val="0"/>
        <w:widowControl/>
        <w:spacing w:before="0" w:after="120" w:line="264" w:lineRule="auto"/>
        <w:jc w:val="left"/>
      </w:pPr>
      <w:r>
        <w:rPr>
          <w:rFonts w:ascii="Calibri" w:hAnsi="Calibri"/>
          <w:b w:val="0"/>
          <w:i w:val="0"/>
          <w:color w:val="172033"/>
          <w:sz w:val="21"/>
        </w:rPr>
        <w:t>The purchase flow is designed around explicit wallet approval and server-side payment validation. FlowDex prepares and tracks a payment request, while the wallet provider remains the transaction-signing surface.</w:t>
      </w:r>
    </w:p>
    <w:p>
      <w:pPr>
        <w:pStyle w:val="Heading2"/>
        <w:keepNext/>
      </w:pPr>
      <w:r>
        <w:t>Core Trust Boundaries</w:t>
      </w:r>
    </w:p>
    <w:p>
      <w:pPr>
        <w:pStyle w:val="ListBullet"/>
        <w:keepNext w:val="0"/>
        <w:widowControl/>
        <w:spacing w:before="0" w:after="60" w:line="259" w:lineRule="auto"/>
        <w:ind w:left="720" w:hanging="360"/>
      </w:pPr>
      <w:r>
        <w:rPr>
          <w:rFonts w:ascii="Calibri" w:hAnsi="Calibri"/>
          <w:color w:val="172033"/>
          <w:sz w:val="20"/>
        </w:rPr>
        <w:t>Non-custodial execution: FlowDex does not request or store buyer private keys.</w:t>
      </w:r>
    </w:p>
    <w:p>
      <w:pPr>
        <w:pStyle w:val="ListBullet"/>
        <w:keepNext w:val="0"/>
        <w:widowControl/>
        <w:spacing w:before="0" w:after="60" w:line="259" w:lineRule="auto"/>
        <w:ind w:left="720" w:hanging="360"/>
      </w:pPr>
      <w:r>
        <w:rPr>
          <w:rFonts w:ascii="Calibri" w:hAnsi="Calibri"/>
          <w:color w:val="172033"/>
          <w:sz w:val="20"/>
        </w:rPr>
        <w:t>Wallet and network checks: the application revalidates the connected account and selected chain before sending.</w:t>
      </w:r>
    </w:p>
    <w:p>
      <w:pPr>
        <w:pStyle w:val="ListBullet"/>
        <w:keepNext w:val="0"/>
        <w:widowControl/>
        <w:spacing w:before="0" w:after="60" w:line="259" w:lineRule="auto"/>
        <w:ind w:left="720" w:hanging="360"/>
      </w:pPr>
      <w:r>
        <w:rPr>
          <w:rFonts w:ascii="Calibri" w:hAnsi="Calibri"/>
          <w:color w:val="172033"/>
          <w:sz w:val="20"/>
        </w:rPr>
        <w:t>Prepared payment actions: checkout requests are time-bound and linked to the intended payment session.</w:t>
      </w:r>
    </w:p>
    <w:p>
      <w:pPr>
        <w:pStyle w:val="ListBullet"/>
        <w:keepNext w:val="0"/>
        <w:widowControl/>
        <w:spacing w:before="0" w:after="60" w:line="259" w:lineRule="auto"/>
        <w:ind w:left="720" w:hanging="360"/>
      </w:pPr>
      <w:r>
        <w:rPr>
          <w:rFonts w:ascii="Calibri" w:hAnsi="Calibri"/>
          <w:color w:val="172033"/>
          <w:sz w:val="20"/>
        </w:rPr>
        <w:t>Payment verification: recorded activity is checked against expected sender, receiver, network, amount, and transaction reference.</w:t>
      </w:r>
    </w:p>
    <w:p>
      <w:pPr>
        <w:pStyle w:val="ListBullet"/>
        <w:keepNext w:val="0"/>
        <w:widowControl/>
        <w:spacing w:before="0" w:after="60" w:line="259" w:lineRule="auto"/>
        <w:ind w:left="720" w:hanging="360"/>
      </w:pPr>
      <w:r>
        <w:rPr>
          <w:rFonts w:ascii="Calibri" w:hAnsi="Calibri"/>
          <w:color w:val="172033"/>
          <w:sz w:val="20"/>
        </w:rPr>
        <w:t>Operational protection: administrative access is separated from public access, and public endpoints use request limits appropriate to their purpose.</w:t>
      </w:r>
    </w:p>
    <w:p>
      <w:pPr>
        <w:pStyle w:val="Heading2"/>
        <w:keepNext/>
      </w:pPr>
      <w:r>
        <w:t>Payment Lifecycle Visibility</w:t>
      </w:r>
    </w:p>
    <w:p>
      <w:pPr>
        <w:keepNext w:val="0"/>
        <w:widowControl/>
        <w:spacing w:before="0" w:after="60" w:line="264" w:lineRule="auto"/>
      </w:pPr>
      <w:r>
        <w:rPr>
          <w:rFonts w:ascii="Calibri" w:hAnsi="Calibri"/>
          <w:b/>
          <w:color w:val="176B87"/>
          <w:sz w:val="20"/>
        </w:rPr>
        <w:t xml:space="preserve">In progress: </w:t>
      </w:r>
      <w:r>
        <w:rPr>
          <w:rFonts w:ascii="Calibri" w:hAnsi="Calibri"/>
          <w:b w:val="0"/>
          <w:color w:val="172033"/>
          <w:sz w:val="20"/>
        </w:rPr>
        <w:t>waiting, detected, and confirming states communicate where a submitted payment is in the lifecycle.</w:t>
      </w:r>
    </w:p>
    <w:p>
      <w:pPr>
        <w:keepNext w:val="0"/>
        <w:widowControl/>
        <w:spacing w:before="0" w:after="60" w:line="264" w:lineRule="auto"/>
      </w:pPr>
      <w:r>
        <w:rPr>
          <w:rFonts w:ascii="Calibri" w:hAnsi="Calibri"/>
          <w:b/>
          <w:color w:val="147D64"/>
          <w:sz w:val="20"/>
        </w:rPr>
        <w:t xml:space="preserve">Completed: </w:t>
      </w:r>
      <w:r>
        <w:rPr>
          <w:rFonts w:ascii="Calibri" w:hAnsi="Calibri"/>
          <w:b w:val="0"/>
          <w:color w:val="172033"/>
          <w:sz w:val="20"/>
        </w:rPr>
        <w:t>confirmed status indicates that the expected payment has reached the configured confirmation threshold.</w:t>
      </w:r>
    </w:p>
    <w:p>
      <w:pPr>
        <w:keepNext w:val="0"/>
        <w:widowControl/>
        <w:spacing w:before="0" w:after="60" w:line="264" w:lineRule="auto"/>
      </w:pPr>
      <w:r>
        <w:rPr>
          <w:rFonts w:ascii="Calibri" w:hAnsi="Calibri"/>
          <w:b/>
          <w:color w:val="9A6700"/>
          <w:sz w:val="20"/>
        </w:rPr>
        <w:t xml:space="preserve">Requires attention: </w:t>
      </w:r>
      <w:r>
        <w:rPr>
          <w:rFonts w:ascii="Calibri" w:hAnsi="Calibri"/>
          <w:b w:val="0"/>
          <w:color w:val="172033"/>
          <w:sz w:val="20"/>
        </w:rPr>
        <w:t>underpaid, overpaid, and late-paid states preserve exceptions for user and operational review.</w:t>
      </w:r>
    </w:p>
    <w:p>
      <w:pPr>
        <w:keepNext w:val="0"/>
        <w:widowControl/>
        <w:spacing w:before="0" w:after="120" w:line="264" w:lineRule="auto"/>
      </w:pPr>
      <w:r>
        <w:rPr>
          <w:rFonts w:ascii="Calibri" w:hAnsi="Calibri"/>
          <w:b/>
          <w:color w:val="B42318"/>
          <w:sz w:val="20"/>
        </w:rPr>
        <w:t xml:space="preserve">Closed without completion: </w:t>
      </w:r>
      <w:r>
        <w:rPr>
          <w:rFonts w:ascii="Calibri" w:hAnsi="Calibri"/>
          <w:b w:val="0"/>
          <w:color w:val="172033"/>
          <w:sz w:val="20"/>
        </w:rPr>
        <w:t>expired and failed states indicate that a new payment attempt or operational follow-up may be required.</w:t>
      </w:r>
    </w:p>
    <w:p>
      <w:pPr>
        <w:pStyle w:val="Heading2"/>
        <w:keepNext/>
      </w:pPr>
      <w:r>
        <w:t>Delivered Now vs. Future Direction</w:t>
      </w:r>
    </w:p>
    <w:tbl>
      <w:tblPr>
        <w:tblW w:type="dxa" w:w="9360"/>
        <w:tblLayout w:type="fixed"/>
        <w:tblLook w:firstColumn="1" w:firstRow="1" w:lastColumn="0" w:lastRow="0" w:noHBand="0" w:noVBand="1" w:val="04A0"/>
        <w:tblInd w:w="120" w:type="dxa"/>
      </w:tblPr>
      <w:tblGrid>
        <w:gridCol w:w="4680"/>
        <w:gridCol w:w="4680"/>
      </w:tblGrid>
      <w:tr>
        <w:trPr>
          <w:tblHeader w:val="true"/>
        </w:trPr>
        <w:tc>
          <w:tcPr>
            <w:tcW w:type="dxa" w:w="468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0B2545"/>
          </w:tcPr>
          <w:p>
            <w:pPr>
              <w:keepNext w:val="0"/>
              <w:widowControl/>
              <w:spacing w:before="0" w:after="0" w:line="252" w:lineRule="auto"/>
            </w:pPr>
            <w:r>
              <w:rPr>
                <w:rFonts w:ascii="Calibri" w:hAnsi="Calibri"/>
                <w:b/>
                <w:color w:val="FFFFFF"/>
                <w:sz w:val="17"/>
              </w:rPr>
              <w:t>Delivered in the current release</w:t>
            </w:r>
          </w:p>
        </w:tc>
        <w:tc>
          <w:tcPr>
            <w:tcW w:type="dxa" w:w="468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0B2545"/>
          </w:tcPr>
          <w:p>
            <w:pPr>
              <w:keepNext w:val="0"/>
              <w:widowControl/>
              <w:spacing w:before="0" w:after="0" w:line="252" w:lineRule="auto"/>
            </w:pPr>
            <w:r>
              <w:rPr>
                <w:rFonts w:ascii="Calibri" w:hAnsi="Calibri"/>
                <w:b/>
                <w:color w:val="FFFFFF"/>
                <w:sz w:val="17"/>
              </w:rPr>
              <w:t>Presented as future direction</w:t>
            </w:r>
          </w:p>
        </w:tc>
      </w:tr>
      <w:tr>
        <w:tc>
          <w:tcPr>
            <w:tcW w:type="dxa" w:w="468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8"/>
              </w:rPr>
              <w:t>Public project site; multi-chain token checkout; portfolio and history; wallet-protected receipts; leaderboard; admin payment operations.</w:t>
            </w:r>
          </w:p>
        </w:tc>
        <w:tc>
          <w:tcPr>
            <w:tcW w:type="dxa" w:w="468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8"/>
              </w:rPr>
              <w:t>Trading; staking; referral rewards; governance; expanded tokenized markets; FlowChain infrastructure.</w:t>
            </w:r>
          </w:p>
        </w:tc>
      </w:tr>
    </w:tbl>
    <w:p>
      <w:pPr>
        <w:keepNext w:val="0"/>
        <w:widowControl/>
        <w:spacing w:before="80" w:after="140" w:line="259" w:lineRule="auto"/>
        <w:ind w:left="187" w:right="187"/>
        <w:shd w:fill="E9F8FB"/>
        <w:pBdr>
          <w:left w:val="single" w:sz="20" w:color="00A8C6" w:space="6"/>
        </w:pBdr>
      </w:pPr>
      <w:r>
        <w:rPr>
          <w:rFonts w:ascii="Calibri" w:hAnsi="Calibri"/>
          <w:b/>
          <w:color w:val="00A8C6"/>
          <w:sz w:val="16"/>
        </w:rPr>
        <w:t>CLIENT TAKEAWAY</w:t>
        <w:br/>
      </w:r>
      <w:r>
        <w:rPr>
          <w:rFonts w:ascii="Calibri" w:hAnsi="Calibri"/>
          <w:color w:val="172033"/>
          <w:sz w:val="19"/>
        </w:rPr>
        <w:t>The current release is a complete launch and payment-operations foundation. Future market and protocol capabilities should be evaluated as roadmap work, not as currently delivered functionality.</w:t>
      </w:r>
    </w:p>
    <w:p>
      <w:r>
        <w:br w:type="page"/>
      </w:r>
    </w:p>
    <w:p>
      <w:pPr>
        <w:keepNext/>
        <w:widowControl/>
        <w:spacing w:before="0" w:after="100" w:line="240" w:lineRule="auto"/>
        <w:jc w:val="left"/>
      </w:pPr>
      <w:r>
        <w:rPr>
          <w:rFonts w:ascii="Calibri" w:hAnsi="Calibri"/>
          <w:b/>
          <w:i w:val="0"/>
          <w:color w:val="00A8C6"/>
          <w:sz w:val="17"/>
        </w:rPr>
        <w:t>TECHNICAL APPENDIX</w:t>
      </w:r>
    </w:p>
    <w:p>
      <w:pPr>
        <w:pStyle w:val="Heading1"/>
        <w:keepNext/>
        <w:spacing w:before="0" w:after="80"/>
      </w:pPr>
      <w:r>
        <w:t>Developer Handoff</w:t>
      </w:r>
    </w:p>
    <w:p>
      <w:pPr>
        <w:keepNext w:val="0"/>
        <w:widowControl/>
        <w:spacing w:before="0" w:after="100" w:line="264" w:lineRule="auto"/>
        <w:jc w:val="left"/>
      </w:pPr>
      <w:r>
        <w:rPr>
          <w:rFonts w:ascii="Calibri" w:hAnsi="Calibri"/>
          <w:b w:val="0"/>
          <w:i w:val="0"/>
          <w:color w:val="64748B"/>
          <w:sz w:val="19"/>
        </w:rPr>
        <w:t>Concise orientation for maintaining and validating the current release. This page is intentionally limited to the essentials.</w:t>
      </w:r>
    </w:p>
    <w:p>
      <w:pPr>
        <w:pStyle w:val="Heading2"/>
        <w:keepNext/>
        <w:spacing w:before="100" w:after="60"/>
      </w:pPr>
      <w:r>
        <w:t>Architecture</w:t>
      </w:r>
    </w:p>
    <w:p>
      <w:pPr>
        <w:keepNext w:val="0"/>
        <w:widowControl/>
        <w:spacing w:before="0" w:after="80" w:line="250" w:lineRule="auto"/>
        <w:jc w:val="left"/>
      </w:pPr>
      <w:r>
        <w:rPr>
          <w:rFonts w:ascii="Calibri" w:hAnsi="Calibri"/>
          <w:b w:val="0"/>
          <w:i w:val="0"/>
          <w:color w:val="172033"/>
          <w:sz w:val="19"/>
        </w:rPr>
        <w:t>Frontend: Next.js 16 App Router, React 19, TypeScript, React Query, and wallet-provider integrations. Backend: NestJS 11, TypeORM, PostgreSQL, scheduled payment scanning, and external chain/market providers. Local infrastructure also includes Redis.</w:t>
      </w:r>
    </w:p>
    <w:p>
      <w:pPr>
        <w:pStyle w:val="Heading2"/>
        <w:keepNext/>
        <w:spacing w:before="100" w:after="60"/>
      </w:pPr>
      <w:r>
        <w:t>Repository Map</w:t>
      </w:r>
    </w:p>
    <w:p>
      <w:pPr>
        <w:keepNext w:val="0"/>
        <w:widowControl/>
        <w:spacing w:before="0" w:after="80" w:line="250" w:lineRule="auto"/>
      </w:pPr>
      <w:r>
        <w:rPr>
          <w:rFonts w:ascii="Calibri" w:hAnsi="Calibri"/>
          <w:b/>
          <w:color w:val="0B2545"/>
          <w:sz w:val="18"/>
        </w:rPr>
        <w:t>fe/src/app/</w:t>
      </w:r>
      <w:r>
        <w:rPr>
          <w:rFonts w:ascii="Calibri" w:hAnsi="Calibri"/>
          <w:b w:val="0"/>
          <w:color w:val="172033"/>
          <w:sz w:val="18"/>
        </w:rPr>
        <w:t xml:space="preserve"> routes and route-owned UI; </w:t>
      </w:r>
      <w:r>
        <w:rPr>
          <w:rFonts w:ascii="Calibri" w:hAnsi="Calibri"/>
          <w:b/>
          <w:color w:val="0B2545"/>
          <w:sz w:val="18"/>
        </w:rPr>
        <w:t>fe/src/dal/</w:t>
      </w:r>
      <w:r>
        <w:rPr>
          <w:rFonts w:ascii="Calibri" w:hAnsi="Calibri"/>
          <w:b w:val="0"/>
          <w:color w:val="172033"/>
          <w:sz w:val="18"/>
        </w:rPr>
        <w:t xml:space="preserve"> backend communication; </w:t>
      </w:r>
      <w:r>
        <w:rPr>
          <w:rFonts w:ascii="Calibri" w:hAnsi="Calibri"/>
          <w:b/>
          <w:color w:val="0B2545"/>
          <w:sz w:val="18"/>
        </w:rPr>
        <w:t>fe/src/components/flowdex/</w:t>
      </w:r>
      <w:r>
        <w:rPr>
          <w:rFonts w:ascii="Calibri" w:hAnsi="Calibri"/>
          <w:b w:val="0"/>
          <w:color w:val="172033"/>
          <w:sz w:val="18"/>
        </w:rPr>
        <w:t xml:space="preserve"> shared product UI; </w:t>
      </w:r>
      <w:r>
        <w:rPr>
          <w:rFonts w:ascii="Calibri" w:hAnsi="Calibri"/>
          <w:b/>
          <w:color w:val="0B2545"/>
          <w:sz w:val="18"/>
        </w:rPr>
        <w:t>be/src/modules/</w:t>
      </w:r>
      <w:r>
        <w:rPr>
          <w:rFonts w:ascii="Calibri" w:hAnsi="Calibri"/>
          <w:b w:val="0"/>
          <w:color w:val="172033"/>
          <w:sz w:val="18"/>
        </w:rPr>
        <w:t xml:space="preserve"> auth, markets, payments, users, admin, and provider modules; </w:t>
      </w:r>
      <w:r>
        <w:rPr>
          <w:rFonts w:ascii="Calibri" w:hAnsi="Calibri"/>
          <w:b/>
          <w:color w:val="0B2545"/>
          <w:sz w:val="18"/>
        </w:rPr>
        <w:t>be/src/infrastructure/database/</w:t>
      </w:r>
      <w:r>
        <w:rPr>
          <w:rFonts w:ascii="Calibri" w:hAnsi="Calibri"/>
          <w:b w:val="0"/>
          <w:color w:val="172033"/>
          <w:sz w:val="18"/>
        </w:rPr>
        <w:t xml:space="preserve"> entities, data source, seed, and migrations.</w:t>
      </w:r>
    </w:p>
    <w:p>
      <w:pPr>
        <w:pStyle w:val="Heading2"/>
        <w:keepNext/>
        <w:spacing w:before="100" w:after="60"/>
      </w:pPr>
      <w:r>
        <w:t>Local Start</w:t>
      </w:r>
    </w:p>
    <w:p>
      <w:pPr>
        <w:pStyle w:val="CodeCompact"/>
        <w:ind w:left="173" w:right="173"/>
        <w:shd w:fill="F2F4F7"/>
      </w:pPr>
      <w:r>
        <w:rPr>
          <w:rFonts w:ascii="Courier New" w:hAnsi="Courier New"/>
          <w:color w:val="0B2545"/>
          <w:sz w:val="16"/>
        </w:rPr>
        <w:t>cd be &amp;&amp; npm install &amp;&amp; docker compose up -d</w:t>
      </w:r>
    </w:p>
    <w:p>
      <w:pPr>
        <w:pStyle w:val="CodeCompact"/>
        <w:ind w:left="173" w:right="173"/>
        <w:shd w:fill="F2F4F7"/>
      </w:pPr>
      <w:r>
        <w:rPr>
          <w:rFonts w:ascii="Courier New" w:hAnsi="Courier New"/>
          <w:color w:val="0B2545"/>
          <w:sz w:val="16"/>
        </w:rPr>
        <w:t>npm run migration:run:dev &amp;&amp; npm run seed:dev &amp;&amp; npm run start:dev</w:t>
      </w:r>
    </w:p>
    <w:p>
      <w:pPr>
        <w:pStyle w:val="CodeCompact"/>
        <w:ind w:left="173" w:right="173"/>
        <w:shd w:fill="F2F4F7"/>
      </w:pPr>
      <w:r>
        <w:rPr>
          <w:rFonts w:ascii="Courier New" w:hAnsi="Courier New"/>
          <w:color w:val="0B2545"/>
          <w:sz w:val="16"/>
        </w:rPr>
        <w:t>cd ../fe &amp;&amp; npm install &amp;&amp; npm run dev</w:t>
      </w:r>
    </w:p>
    <w:p>
      <w:pPr>
        <w:pStyle w:val="Heading2"/>
        <w:keepNext/>
        <w:spacing w:before="100" w:after="60"/>
      </w:pPr>
      <w:r>
        <w:t>Validation Commands</w:t>
      </w:r>
    </w:p>
    <w:tbl>
      <w:tblPr>
        <w:tblW w:type="dxa" w:w="9360"/>
        <w:tblLayout w:type="fixed"/>
        <w:tblLook w:firstColumn="1" w:firstRow="1" w:lastColumn="0" w:lastRow="0" w:noHBand="0" w:noVBand="1" w:val="04A0"/>
        <w:tblInd w:w="120" w:type="dxa"/>
      </w:tblPr>
      <w:tblGrid>
        <w:gridCol w:w="4680"/>
        <w:gridCol w:w="4680"/>
      </w:tblGrid>
      <w:tr>
        <w:trPr>
          <w:tblHeader w:val="true"/>
        </w:trPr>
        <w:tc>
          <w:tcPr>
            <w:tcW w:type="dxa" w:w="468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0B2545"/>
          </w:tcPr>
          <w:p>
            <w:pPr>
              <w:keepNext w:val="0"/>
              <w:widowControl/>
              <w:spacing w:before="0" w:after="0" w:line="252" w:lineRule="auto"/>
            </w:pPr>
            <w:r>
              <w:rPr>
                <w:rFonts w:ascii="Calibri" w:hAnsi="Calibri"/>
                <w:b/>
                <w:color w:val="FFFFFF"/>
                <w:sz w:val="17"/>
              </w:rPr>
              <w:t>Frontend</w:t>
            </w:r>
          </w:p>
        </w:tc>
        <w:tc>
          <w:tcPr>
            <w:tcW w:type="dxa" w:w="468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shd w:fill="0B2545"/>
          </w:tcPr>
          <w:p>
            <w:pPr>
              <w:keepNext w:val="0"/>
              <w:widowControl/>
              <w:spacing w:before="0" w:after="0" w:line="252" w:lineRule="auto"/>
            </w:pPr>
            <w:r>
              <w:rPr>
                <w:rFonts w:ascii="Calibri" w:hAnsi="Calibri"/>
                <w:b/>
                <w:color w:val="FFFFFF"/>
                <w:sz w:val="17"/>
              </w:rPr>
              <w:t>Backend</w:t>
            </w:r>
          </w:p>
        </w:tc>
      </w:tr>
      <w:tr>
        <w:tc>
          <w:tcPr>
            <w:tcW w:type="dxa" w:w="468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7"/>
              </w:rPr>
              <w:t>npm run check:types</w:t>
              <w:br/>
              <w:t>npm run lint</w:t>
              <w:br/>
              <w:t>npm run build</w:t>
            </w:r>
          </w:p>
        </w:tc>
        <w:tc>
          <w:tcPr>
            <w:tcW w:type="dxa" w:w="4680"/>
            <w:vAlign w:val="center"/>
            <w:tcMar>
              <w:top w:w="110" w:type="dxa"/>
              <w:start w:w="120" w:type="dxa"/>
              <w:bottom w:w="110" w:type="dxa"/>
              <w:end w:w="120" w:type="dxa"/>
            </w:tcMar>
            <w:tcBorders>
              <w:top w:val="single" w:sz="6" w:color="D7E2EA"/>
              <w:start w:val="single" w:sz="6" w:color="D7E2EA"/>
              <w:bottom w:val="single" w:sz="6" w:color="D7E2EA"/>
              <w:end w:val="single" w:sz="6" w:color="D7E2EA"/>
              <w:insideH w:val="single" w:sz="6" w:color="D7E2EA"/>
              <w:insideV w:val="single" w:sz="6" w:color="D7E2EA"/>
            </w:tcBorders>
          </w:tcPr>
          <w:p>
            <w:pPr>
              <w:keepNext w:val="0"/>
              <w:widowControl/>
              <w:spacing w:before="0" w:after="0" w:line="252" w:lineRule="auto"/>
            </w:pPr>
            <w:r>
              <w:rPr>
                <w:rFonts w:ascii="Calibri" w:hAnsi="Calibri"/>
                <w:b w:val="0"/>
                <w:color w:val="172033"/>
                <w:sz w:val="17"/>
              </w:rPr>
              <w:t>npm test</w:t>
              <w:br/>
              <w:t>npm run test:phase2</w:t>
              <w:br/>
              <w:t>npm run build</w:t>
            </w:r>
          </w:p>
        </w:tc>
      </w:tr>
    </w:tbl>
    <w:p>
      <w:pPr>
        <w:pStyle w:val="Heading2"/>
        <w:keepNext/>
        <w:spacing w:before="100" w:after="60"/>
      </w:pPr>
      <w:r>
        <w:t>Configuration Essentials</w:t>
      </w:r>
    </w:p>
    <w:p>
      <w:pPr>
        <w:keepNext w:val="0"/>
        <w:widowControl/>
        <w:spacing w:before="0" w:after="80" w:line="250" w:lineRule="auto"/>
        <w:jc w:val="left"/>
      </w:pPr>
      <w:r>
        <w:rPr>
          <w:rFonts w:ascii="Calibri" w:hAnsi="Calibri"/>
          <w:b w:val="0"/>
          <w:i w:val="0"/>
          <w:color w:val="172033"/>
          <w:sz w:val="18"/>
        </w:rPr>
        <w:t>Frontend requires the backend URL, matching internal JWT settings, and public wallet/provider configuration. Backend requires DATABASE_URL, internal JWT secret, admin identity, treasury addresses, ALCHEMY_API_KEY, and chain-specific payment settings. Keep development, staging, and production secrets isolated.</w:t>
      </w:r>
    </w:p>
    <w:p>
      <w:pPr>
        <w:pStyle w:val="Heading2"/>
        <w:keepNext/>
        <w:spacing w:before="100" w:after="60"/>
      </w:pPr>
      <w:r>
        <w:t>Maintenance Rules</w:t>
      </w:r>
    </w:p>
    <w:p>
      <w:pPr>
        <w:pStyle w:val="ListBullet"/>
        <w:keepNext w:val="0"/>
        <w:widowControl/>
        <w:spacing w:before="0" w:after="60" w:line="259" w:lineRule="auto"/>
        <w:ind w:left="720" w:hanging="360"/>
      </w:pPr>
      <w:r>
        <w:rPr>
          <w:rFonts w:ascii="Calibri" w:hAnsi="Calibri"/>
          <w:color w:val="172033"/>
          <w:sz w:val="20"/>
        </w:rPr>
        <w:t>Keep internal routes centralized in fe/src/routes.ts and API endpoints in fe/src/api-routes.ts.</w:t>
      </w:r>
    </w:p>
    <w:p>
      <w:pPr>
        <w:pStyle w:val="ListBullet"/>
        <w:keepNext w:val="0"/>
        <w:widowControl/>
        <w:spacing w:before="0" w:after="60" w:line="259" w:lineRule="auto"/>
        <w:ind w:left="720" w:hanging="360"/>
      </w:pPr>
      <w:r>
        <w:rPr>
          <w:rFonts w:ascii="Calibri" w:hAnsi="Calibri"/>
          <w:color w:val="172033"/>
          <w:sz w:val="20"/>
        </w:rPr>
        <w:t>Preserve provider-managed, non-custodial sends and revalidate account/network immediately before submission.</w:t>
      </w:r>
    </w:p>
    <w:p>
      <w:pPr>
        <w:pStyle w:val="ListBullet"/>
        <w:keepNext w:val="0"/>
        <w:widowControl/>
        <w:spacing w:before="0" w:after="60" w:line="259" w:lineRule="auto"/>
        <w:ind w:left="720" w:hanging="360"/>
      </w:pPr>
      <w:r>
        <w:rPr>
          <w:rFonts w:ascii="Calibri" w:hAnsi="Calibri"/>
          <w:color w:val="172033"/>
          <w:sz w:val="20"/>
        </w:rPr>
        <w:t>When enabling a payment asset, align frontend capability, backend treasury/configuration, scanner behavior, and confirmation rules.</w:t>
      </w:r>
    </w:p>
    <w:p>
      <w:pPr>
        <w:pStyle w:val="ListBullet"/>
        <w:keepNext w:val="0"/>
        <w:widowControl/>
        <w:spacing w:before="0" w:after="60" w:line="259" w:lineRule="auto"/>
        <w:ind w:left="720" w:hanging="360"/>
      </w:pPr>
      <w:r>
        <w:rPr>
          <w:rFonts w:ascii="Calibri" w:hAnsi="Calibri"/>
          <w:color w:val="172033"/>
          <w:sz w:val="20"/>
        </w:rPr>
        <w:t>Treat redirected app routes and “coming soon” panels as roadmap surfaces until their real workflows are implemented.</w:t>
      </w:r>
    </w:p>
    <w:sectPr w:rsidR="00FC693F" w:rsidRPr="0006063C" w:rsidSect="00034616">
      <w:headerReference w:type="default" r:id="rId9"/>
      <w:headerReference w:type="first" r:id="rId10"/>
      <w:footerReference w:type="default" r:id="rId11"/>
      <w:footerReference w:type="first" r:id="rId12"/>
      <w:pgSz w:w="12240" w:h="15840"/>
      <w:pgMar w:top="1037"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auto"/>
      <w:jc w:val="right"/>
    </w:pPr>
    <w:r>
      <w:rPr>
        <w:rFonts w:ascii="Calibri" w:hAnsi="Calibri"/>
        <w:color w:val="64748B"/>
        <w:sz w:val="16"/>
      </w:rPr>
      <w:t xml:space="preserve">FLOWDEX  |  CLIENT PROJECT BRIEF  |  </w:t>
    </w:r>
    <w:r>
      <w:rPr>
        <w:rFonts w:ascii="Calibri" w:hAnsi="Calibri"/>
        <w:color w:val="64748B"/>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auto"/>
      <w:jc w:val="right"/>
    </w:pPr>
    <w:r>
      <w:rPr>
        <w:rFonts w:ascii="Calibri" w:hAnsi="Calibri"/>
        <w:color w:val="64748B"/>
        <w:sz w:val="16"/>
      </w:rPr>
      <w:t xml:space="preserve">FLOWDEX  |  CLIENT PROJECT BRIEF  |  </w:t>
    </w:r>
    <w:r>
      <w:rPr>
        <w:rFonts w:ascii="Calibri" w:hAnsi="Calibri"/>
        <w:color w:val="64748B"/>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60" w:line="240" w:lineRule="auto"/>
      <w:jc w:val="left"/>
      <w:pBdr>
        <w:bottom w:val="single" w:sz="6" w:color="D7E2EA" w:space="5"/>
      </w:pBdr>
    </w:pPr>
    <w:r>
      <w:rPr>
        <w:rFonts w:ascii="Calibri" w:hAnsi="Calibri"/>
        <w:b/>
        <w:color w:val="64748B"/>
        <w:sz w:val="16"/>
      </w:rPr>
      <w:t>FLOWDEX  |  PROJECT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ompact">
    <w:name w:val="Code Compact"/>
    <w:pPr>
      <w:spacing w:before="0" w:after="40" w:line="240" w:lineRule="auto"/>
    </w:pPr>
    <w:rPr>
      <w:rFonts w:ascii="Courier New" w:hAnsi="Courier New"/>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FlowDex Project Documentation</dc:title>
  <dc:subject>Client project brief and concise developer handoff</dc:subject>
  <dc:creator>FlowDex</dc:creator>
  <cp:keywords>FlowDex, project documentation, wallet checkout, developer handoff</cp:keywords>
  <dc:description>generated by python-docx</dc:description>
  <cp:lastModifiedBy/>
  <cp:revision>1</cp:revision>
  <dcterms:created xsi:type="dcterms:W3CDTF">2013-12-23T23:15:00Z</dcterms:created>
  <dcterms:modified xsi:type="dcterms:W3CDTF">2013-12-23T23:15:00Z</dcterms:modified>
  <cp:category/>
</cp:coreProperties>
</file>