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F31A" w14:textId="77777777" w:rsidR="003243E7" w:rsidRPr="000A2211" w:rsidRDefault="003243E7">
      <w:pPr>
        <w:pStyle w:val="p1"/>
        <w:rPr>
          <w:sz w:val="32"/>
          <w:szCs w:val="32"/>
        </w:rPr>
      </w:pPr>
      <w:r w:rsidRPr="000A2211">
        <w:rPr>
          <w:rStyle w:val="s1"/>
          <w:sz w:val="32"/>
          <w:szCs w:val="32"/>
        </w:rPr>
        <w:t>2 Metodología</w:t>
      </w:r>
    </w:p>
    <w:p w14:paraId="01ECE804" w14:textId="77777777" w:rsidR="003243E7" w:rsidRDefault="003243E7">
      <w:pPr>
        <w:pStyle w:val="p2"/>
      </w:pPr>
      <w:r>
        <w:rPr>
          <w:rStyle w:val="s2"/>
        </w:rPr>
        <w:t>El desarrollo del proyecto se ha estructurado en dos fases diferenciadas: la definición</w:t>
      </w:r>
    </w:p>
    <w:p w14:paraId="788DA470" w14:textId="77777777" w:rsidR="003243E7" w:rsidRDefault="003243E7">
      <w:pPr>
        <w:pStyle w:val="p2"/>
      </w:pPr>
      <w:r>
        <w:rPr>
          <w:rStyle w:val="s2"/>
        </w:rPr>
        <w:t>arquitectónica y topológica de la red, y el posterior cálculo hidráulico mediante el</w:t>
      </w:r>
    </w:p>
    <w:p w14:paraId="6CEA50DC" w14:textId="77777777" w:rsidR="003243E7" w:rsidRDefault="003243E7">
      <w:pPr>
        <w:pStyle w:val="p2"/>
      </w:pPr>
      <w:r>
        <w:rPr>
          <w:rStyle w:val="s2"/>
        </w:rPr>
        <w:t>software de simulación DMELECT GASCOMB.</w:t>
      </w:r>
    </w:p>
    <w:p w14:paraId="742CF64A" w14:textId="77777777" w:rsidR="003243E7" w:rsidRDefault="003243E7">
      <w:pPr>
        <w:pStyle w:val="p3"/>
      </w:pPr>
      <w:r>
        <w:rPr>
          <w:rStyle w:val="s3"/>
        </w:rPr>
        <w:t>2.1 Topología del edificio y selección del esquema de instalación</w:t>
      </w:r>
    </w:p>
    <w:p w14:paraId="7BF16426" w14:textId="77777777" w:rsidR="003243E7" w:rsidRDefault="003243E7">
      <w:pPr>
        <w:pStyle w:val="p2"/>
      </w:pPr>
      <w:r>
        <w:rPr>
          <w:rStyle w:val="s2"/>
        </w:rPr>
        <w:t>Para la parametrización inicial, se ha modelado un edificio plurifamiliar de cinco plantas</w:t>
      </w:r>
    </w:p>
    <w:p w14:paraId="769BFBF7" w14:textId="77777777" w:rsidR="003243E7" w:rsidRDefault="003243E7">
      <w:pPr>
        <w:pStyle w:val="p2"/>
      </w:pPr>
      <w:r>
        <w:rPr>
          <w:rStyle w:val="s2"/>
        </w:rPr>
        <w:t>útiles destinadas a vivienda, más una planta baja destinada a estacionamiento. Se han</w:t>
      </w:r>
    </w:p>
    <w:p w14:paraId="591E1DCD" w14:textId="77777777" w:rsidR="003243E7" w:rsidRDefault="003243E7">
      <w:pPr>
        <w:pStyle w:val="p2"/>
      </w:pPr>
      <w:r>
        <w:rPr>
          <w:rStyle w:val="s2"/>
        </w:rPr>
        <w:t>definido las siguientes cotas altimétricas:</w:t>
      </w:r>
    </w:p>
    <w:p w14:paraId="736A310A" w14:textId="77777777" w:rsidR="003243E7" w:rsidRDefault="003243E7">
      <w:pPr>
        <w:pStyle w:val="p2"/>
      </w:pPr>
      <w:r>
        <w:rPr>
          <w:rStyle w:val="s4"/>
        </w:rPr>
        <w:t xml:space="preserve">• </w:t>
      </w:r>
      <w:r>
        <w:rPr>
          <w:rStyle w:val="s2"/>
        </w:rPr>
        <w:t>Planta baja (origen de la acometida): 2,5 m de altura. Al encontrarse por debajo del</w:t>
      </w:r>
    </w:p>
    <w:p w14:paraId="4BE8383B" w14:textId="77777777" w:rsidR="003243E7" w:rsidRDefault="003243E7">
      <w:pPr>
        <w:pStyle w:val="p2"/>
      </w:pPr>
      <w:r>
        <w:rPr>
          <w:rStyle w:val="s2"/>
        </w:rPr>
        <w:t>nivel de la calle, la acometida penetra en esta cota.</w:t>
      </w:r>
    </w:p>
    <w:p w14:paraId="26C202FB" w14:textId="1F76D7FF" w:rsidR="003243E7" w:rsidRDefault="003243E7">
      <w:pPr>
        <w:pStyle w:val="p2"/>
      </w:pPr>
      <w:r>
        <w:rPr>
          <w:rStyle w:val="s4"/>
        </w:rPr>
        <w:t xml:space="preserve">• </w:t>
      </w:r>
      <w:r>
        <w:rPr>
          <w:rStyle w:val="s2"/>
        </w:rPr>
        <w:t>Plantas de viviendas (1ª a 5ª): 2,</w:t>
      </w:r>
      <w:r w:rsidR="001B345E">
        <w:rPr>
          <w:rStyle w:val="s2"/>
        </w:rPr>
        <w:t>6</w:t>
      </w:r>
      <w:r>
        <w:rPr>
          <w:rStyle w:val="s2"/>
        </w:rPr>
        <w:t xml:space="preserve"> m de altura por nivel, albergando dos viviendas</w:t>
      </w:r>
    </w:p>
    <w:p w14:paraId="7BF91EF6" w14:textId="77777777" w:rsidR="003243E7" w:rsidRDefault="003243E7">
      <w:pPr>
        <w:pStyle w:val="p2"/>
      </w:pPr>
      <w:r>
        <w:rPr>
          <w:rStyle w:val="s2"/>
        </w:rPr>
        <w:t>por planta.</w:t>
      </w:r>
    </w:p>
    <w:p w14:paraId="1F25C405" w14:textId="77777777" w:rsidR="003243E7" w:rsidRDefault="003243E7">
      <w:pPr>
        <w:pStyle w:val="p2"/>
      </w:pPr>
      <w:r>
        <w:rPr>
          <w:rStyle w:val="s2"/>
        </w:rPr>
        <w:t>Dada la morfología del edificio (10 viviendas en total), se ha optado por una Instalación</w:t>
      </w:r>
    </w:p>
    <w:p w14:paraId="06DDC904" w14:textId="77777777" w:rsidR="003243E7" w:rsidRDefault="003243E7">
      <w:pPr>
        <w:pStyle w:val="p2"/>
      </w:pPr>
      <w:r>
        <w:rPr>
          <w:rStyle w:val="s2"/>
        </w:rPr>
        <w:t>Tipo 7: contadores ubicados en cada vivienda, conectados a una red de distribución</w:t>
      </w:r>
    </w:p>
    <w:p w14:paraId="05753FBA" w14:textId="77777777" w:rsidR="003243E7" w:rsidRDefault="003243E7">
      <w:pPr>
        <w:pStyle w:val="p2"/>
      </w:pPr>
      <w:r>
        <w:rPr>
          <w:rStyle w:val="s2"/>
        </w:rPr>
        <w:t>vertical que opera en Media Presión A (MPA). Este esquema permite que las</w:t>
      </w:r>
    </w:p>
    <w:p w14:paraId="7E1A688E" w14:textId="77777777" w:rsidR="003243E7" w:rsidRDefault="003243E7">
      <w:pPr>
        <w:pStyle w:val="p2"/>
      </w:pPr>
      <w:r>
        <w:rPr>
          <w:rStyle w:val="s2"/>
        </w:rPr>
        <w:t>conducciones generales discurran por el exterior (fachadas o esquinas de patios),</w:t>
      </w:r>
    </w:p>
    <w:p w14:paraId="562A134F" w14:textId="77777777" w:rsidR="003243E7" w:rsidRDefault="003243E7">
      <w:pPr>
        <w:pStyle w:val="p2"/>
      </w:pPr>
      <w:r>
        <w:rPr>
          <w:rStyle w:val="s2"/>
        </w:rPr>
        <w:t>minimizando la servidumbre de paso en el interior del edificio y facilitando el</w:t>
      </w:r>
    </w:p>
    <w:p w14:paraId="2733A3FA" w14:textId="77777777" w:rsidR="003243E7" w:rsidRDefault="003243E7">
      <w:pPr>
        <w:pStyle w:val="p2"/>
      </w:pPr>
      <w:r>
        <w:rPr>
          <w:rStyle w:val="s2"/>
        </w:rPr>
        <w:t>mantenimiento.</w:t>
      </w:r>
    </w:p>
    <w:p w14:paraId="03268557" w14:textId="77777777" w:rsidR="003243E7" w:rsidRDefault="003243E7">
      <w:pPr>
        <w:pStyle w:val="p3"/>
      </w:pPr>
      <w:r>
        <w:rPr>
          <w:rStyle w:val="s3"/>
        </w:rPr>
        <w:t>2.2 Criterios de modelado en DMELECT</w:t>
      </w:r>
    </w:p>
    <w:p w14:paraId="77D61413" w14:textId="77777777" w:rsidR="003243E7" w:rsidRDefault="003243E7">
      <w:pPr>
        <w:pStyle w:val="p2"/>
      </w:pPr>
      <w:r>
        <w:rPr>
          <w:rStyle w:val="s2"/>
        </w:rPr>
        <w:t>La transcripción del diseño al entorno de simulación ha requerido la adopción de</w:t>
      </w:r>
    </w:p>
    <w:p w14:paraId="6ACD02F4" w14:textId="77777777" w:rsidR="003243E7" w:rsidRDefault="003243E7">
      <w:pPr>
        <w:pStyle w:val="p2"/>
      </w:pPr>
      <w:r>
        <w:rPr>
          <w:rStyle w:val="s2"/>
        </w:rPr>
        <w:t>diversos criterios técnicos para garantizar la convergencia del cálculo:</w:t>
      </w:r>
    </w:p>
    <w:p w14:paraId="55F74A8B" w14:textId="77777777" w:rsidR="003243E7" w:rsidRDefault="003243E7">
      <w:pPr>
        <w:pStyle w:val="p2"/>
      </w:pPr>
      <w:r>
        <w:rPr>
          <w:rStyle w:val="s4"/>
        </w:rPr>
        <w:t xml:space="preserve">• </w:t>
      </w:r>
      <w:r>
        <w:rPr>
          <w:rStyle w:val="s2"/>
        </w:rPr>
        <w:t>Definición de nudos de consumo: Se ha diseñado la red interior hasta la cocina de</w:t>
      </w:r>
    </w:p>
    <w:p w14:paraId="0AF392BD" w14:textId="77777777" w:rsidR="003243E7" w:rsidRDefault="003243E7">
      <w:pPr>
        <w:pStyle w:val="p2"/>
      </w:pPr>
      <w:r>
        <w:rPr>
          <w:rStyle w:val="s2"/>
        </w:rPr>
        <w:t>cada vivienda, introduciendo los consumos nominales de los equipos: caldera (22</w:t>
      </w:r>
    </w:p>
    <w:p w14:paraId="3D5100C7" w14:textId="77777777" w:rsidR="003243E7" w:rsidRDefault="003243E7">
      <w:pPr>
        <w:pStyle w:val="p2"/>
      </w:pPr>
      <w:r>
        <w:rPr>
          <w:rStyle w:val="s2"/>
        </w:rPr>
        <w:t>kW), horno (12 kW), cocina (5 kW) y secadora (11,3 kW). Es imperativo modelar</w:t>
      </w:r>
    </w:p>
    <w:p w14:paraId="67979AE5" w14:textId="77777777" w:rsidR="003243E7" w:rsidRDefault="003243E7">
      <w:pPr>
        <w:pStyle w:val="p2"/>
      </w:pPr>
      <w:r>
        <w:rPr>
          <w:rStyle w:val="s2"/>
        </w:rPr>
        <w:t>cada aparato en un nudo independiente para que el algoritmo del programa aplique</w:t>
      </w:r>
    </w:p>
    <w:p w14:paraId="3E1E43C5" w14:textId="77777777" w:rsidR="003243E7" w:rsidRDefault="003243E7">
      <w:pPr>
        <w:pStyle w:val="p2"/>
      </w:pPr>
      <w:r>
        <w:rPr>
          <w:rStyle w:val="s2"/>
        </w:rPr>
        <w:t>correctamente la formulación del caudal de simultaneidad (Qs).</w:t>
      </w:r>
    </w:p>
    <w:p w14:paraId="2A1AAAB8" w14:textId="77777777" w:rsidR="003243E7" w:rsidRDefault="003243E7">
      <w:pPr>
        <w:pStyle w:val="p2"/>
      </w:pPr>
      <w:r>
        <w:rPr>
          <w:rStyle w:val="s4"/>
        </w:rPr>
        <w:t xml:space="preserve">• </w:t>
      </w:r>
      <w:r>
        <w:rPr>
          <w:rStyle w:val="s2"/>
        </w:rPr>
        <w:t>Continuidad hidráulica: Para el trazado de los montantes a través de los forjados, se</w:t>
      </w:r>
    </w:p>
    <w:p w14:paraId="5C1419A0" w14:textId="77777777" w:rsidR="003243E7" w:rsidRDefault="003243E7">
      <w:pPr>
        <w:pStyle w:val="p2"/>
      </w:pPr>
      <w:r>
        <w:rPr>
          <w:rStyle w:val="s2"/>
        </w:rPr>
        <w:t>ha empleado la función de 'enlace ortogonal', asegurando la conectividad mediante</w:t>
      </w:r>
    </w:p>
    <w:p w14:paraId="0A280597" w14:textId="77777777" w:rsidR="003243E7" w:rsidRDefault="003243E7">
      <w:pPr>
        <w:pStyle w:val="p2"/>
      </w:pPr>
      <w:r>
        <w:rPr>
          <w:rStyle w:val="s2"/>
        </w:rPr>
        <w:t>identificadores idénticos a los tramos de interconexión vertical en las distintas</w:t>
      </w:r>
    </w:p>
    <w:p w14:paraId="3C6B2C00" w14:textId="77777777" w:rsidR="003243E7" w:rsidRDefault="003243E7">
      <w:pPr>
        <w:pStyle w:val="p2"/>
      </w:pPr>
      <w:r>
        <w:rPr>
          <w:rStyle w:val="s2"/>
        </w:rPr>
        <w:t>plantas.</w:t>
      </w:r>
    </w:p>
    <w:p w14:paraId="7683D40A" w14:textId="77777777" w:rsidR="003243E7" w:rsidRDefault="003243E7">
      <w:pPr>
        <w:pStyle w:val="p2"/>
      </w:pPr>
      <w:r>
        <w:rPr>
          <w:rStyle w:val="s4"/>
        </w:rPr>
        <w:t xml:space="preserve">• </w:t>
      </w:r>
      <w:r>
        <w:rPr>
          <w:rStyle w:val="s2"/>
        </w:rPr>
        <w:t>Configuración de valvulería y regulación: Se ha prescindido de la instalación de</w:t>
      </w:r>
    </w:p>
    <w:p w14:paraId="3A6A6DE2" w14:textId="77777777" w:rsidR="003243E7" w:rsidRDefault="003243E7">
      <w:pPr>
        <w:pStyle w:val="p2"/>
      </w:pPr>
      <w:r>
        <w:rPr>
          <w:rStyle w:val="s2"/>
        </w:rPr>
        <w:t>limitadores de caudal en el modelo computacional, tanto por directrices académicas</w:t>
      </w:r>
    </w:p>
    <w:p w14:paraId="2006404F" w14:textId="77777777" w:rsidR="003243E7" w:rsidRDefault="003243E7">
      <w:pPr>
        <w:pStyle w:val="p2"/>
      </w:pPr>
      <w:r>
        <w:rPr>
          <w:rStyle w:val="s2"/>
        </w:rPr>
        <w:t>como por las restricciones operativas de la versión de software empleada. Para la</w:t>
      </w:r>
    </w:p>
    <w:p w14:paraId="2ADDDBEF" w14:textId="77777777" w:rsidR="003243E7" w:rsidRDefault="003243E7">
      <w:pPr>
        <w:pStyle w:val="p2"/>
      </w:pPr>
      <w:r>
        <w:rPr>
          <w:rStyle w:val="s2"/>
        </w:rPr>
        <w:t>calibración de las presiones de entrada, se ha asumido la equivalencia</w:t>
      </w:r>
    </w:p>
    <w:p w14:paraId="1C4B335F" w14:textId="77777777" w:rsidR="003243E7" w:rsidRDefault="003243E7">
      <w:pPr>
        <w:pStyle w:val="p2"/>
      </w:pPr>
      <w:r>
        <w:rPr>
          <w:rStyle w:val="s2"/>
        </w:rPr>
        <w:t>estandarizada de 1 bar ≈ 1 kg/cm²</w:t>
      </w:r>
    </w:p>
    <w:p w14:paraId="0BFE8B4C" w14:textId="77777777" w:rsidR="003243E7" w:rsidRDefault="003243E7">
      <w:pPr>
        <w:pStyle w:val="p2"/>
      </w:pPr>
      <w:r>
        <w:rPr>
          <w:rStyle w:val="s2"/>
        </w:rPr>
        <w:t>.</w:t>
      </w:r>
    </w:p>
    <w:p w14:paraId="3F329689" w14:textId="77777777" w:rsidR="003243E7" w:rsidRDefault="003243E7">
      <w:pPr>
        <w:pStyle w:val="p3"/>
      </w:pPr>
      <w:r>
        <w:rPr>
          <w:rStyle w:val="s3"/>
        </w:rPr>
        <w:t>2.3 Optimización del dimensionamiento</w:t>
      </w:r>
    </w:p>
    <w:p w14:paraId="12C5DAE4" w14:textId="77777777" w:rsidR="003243E7" w:rsidRDefault="003243E7">
      <w:pPr>
        <w:pStyle w:val="p2"/>
      </w:pPr>
      <w:r>
        <w:rPr>
          <w:rStyle w:val="s2"/>
        </w:rPr>
        <w:t>El diseño persigue una optimización técnico-económica estricta. Se ha habilitado la</w:t>
      </w:r>
    </w:p>
    <w:p w14:paraId="4B6B1D7E" w14:textId="77777777" w:rsidR="003243E7" w:rsidRDefault="003243E7">
      <w:pPr>
        <w:pStyle w:val="p2"/>
      </w:pPr>
      <w:r>
        <w:rPr>
          <w:rStyle w:val="s2"/>
        </w:rPr>
        <w:t>función de cálculo automático de diámetros, parametrizando el software para que ajuste</w:t>
      </w:r>
    </w:p>
    <w:p w14:paraId="67573B3F" w14:textId="7C5B4F5A" w:rsidR="003243E7" w:rsidRDefault="003243E7">
      <w:pPr>
        <w:pStyle w:val="p2"/>
      </w:pPr>
      <w:r>
        <w:rPr>
          <w:rStyle w:val="s2"/>
        </w:rPr>
        <w:t>las secciones comerciales al límite superior de la velocidad reglamentaria (20 m/s). Esto</w:t>
      </w:r>
      <w:r w:rsidR="0055656E">
        <w:rPr>
          <w:rStyle w:val="s2"/>
        </w:rPr>
        <w:t xml:space="preserve"> </w:t>
      </w:r>
      <w:r>
        <w:rPr>
          <w:rStyle w:val="s2"/>
        </w:rPr>
        <w:t>evita el sobredimensionamiento innecesario de las líneas, garantizando al mismo tiempo</w:t>
      </w:r>
    </w:p>
    <w:p w14:paraId="1888BCE0" w14:textId="77777777" w:rsidR="003243E7" w:rsidRDefault="003243E7">
      <w:pPr>
        <w:pStyle w:val="p2"/>
      </w:pPr>
      <w:r>
        <w:rPr>
          <w:rStyle w:val="s2"/>
        </w:rPr>
        <w:t>que no se generen ruidos, vibraciones o fenómenos erosivos excesivos.</w:t>
      </w:r>
    </w:p>
    <w:p w14:paraId="50C2A0CF" w14:textId="77777777" w:rsidR="003243E7" w:rsidRDefault="003243E7">
      <w:pPr>
        <w:pStyle w:val="p1"/>
      </w:pPr>
      <w:r w:rsidRPr="000A2211">
        <w:rPr>
          <w:rStyle w:val="s1"/>
          <w:sz w:val="32"/>
          <w:szCs w:val="32"/>
        </w:rPr>
        <w:t>3 Resultados y Discusión</w:t>
      </w:r>
    </w:p>
    <w:p w14:paraId="55A01152" w14:textId="77777777" w:rsidR="003243E7" w:rsidRDefault="003243E7">
      <w:pPr>
        <w:pStyle w:val="p2"/>
      </w:pPr>
      <w:r>
        <w:rPr>
          <w:rStyle w:val="s2"/>
        </w:rPr>
        <w:t>Una vez ejecutada la simulación hidráulica integral, se ha evaluado el comportamiento</w:t>
      </w:r>
    </w:p>
    <w:p w14:paraId="78C554BF" w14:textId="77777777" w:rsidR="003243E7" w:rsidRDefault="003243E7">
      <w:pPr>
        <w:pStyle w:val="p2"/>
      </w:pPr>
      <w:r>
        <w:rPr>
          <w:rStyle w:val="s2"/>
        </w:rPr>
        <w:t>del fluido desde la acometida en MPA hasta las llaves de aparato en Baja Presión (BP).</w:t>
      </w:r>
    </w:p>
    <w:p w14:paraId="45511B0C" w14:textId="77777777" w:rsidR="003243E7" w:rsidRDefault="003243E7">
      <w:pPr>
        <w:pStyle w:val="p3"/>
      </w:pPr>
      <w:r>
        <w:rPr>
          <w:rStyle w:val="s3"/>
        </w:rPr>
        <w:t>3.1 Evaluación del mapa de estados (Código de colores)</w:t>
      </w:r>
    </w:p>
    <w:p w14:paraId="53877858" w14:textId="77777777" w:rsidR="003243E7" w:rsidRDefault="003243E7">
      <w:pPr>
        <w:pStyle w:val="p2"/>
      </w:pPr>
      <w:r>
        <w:rPr>
          <w:rStyle w:val="s2"/>
        </w:rPr>
        <w:t>DMELECT GASCOMB implementa una interfaz gráfica de diagnóstico basada en una</w:t>
      </w:r>
    </w:p>
    <w:p w14:paraId="0F20B1C5" w14:textId="77777777" w:rsidR="003243E7" w:rsidRDefault="003243E7">
      <w:pPr>
        <w:pStyle w:val="p2"/>
      </w:pPr>
      <w:r>
        <w:rPr>
          <w:rStyle w:val="s2"/>
        </w:rPr>
        <w:t>codificación cromática para facilitar la revisión normativa de la red:</w:t>
      </w:r>
    </w:p>
    <w:p w14:paraId="74509852" w14:textId="77777777" w:rsidR="003243E7" w:rsidRDefault="003243E7">
      <w:pPr>
        <w:pStyle w:val="p2"/>
      </w:pPr>
      <w:r>
        <w:rPr>
          <w:rStyle w:val="s4"/>
        </w:rPr>
        <w:t xml:space="preserve">• </w:t>
      </w:r>
      <w:r>
        <w:rPr>
          <w:rStyle w:val="s2"/>
        </w:rPr>
        <w:t>Elementos en Naranja (Estado Nominal): Constituyen la mayoría de la instalación,</w:t>
      </w:r>
    </w:p>
    <w:p w14:paraId="52F0861D" w14:textId="77777777" w:rsidR="003243E7" w:rsidRDefault="003243E7">
      <w:pPr>
        <w:pStyle w:val="p2"/>
      </w:pPr>
      <w:r>
        <w:rPr>
          <w:rStyle w:val="s2"/>
        </w:rPr>
        <w:t>operando con amplios márgenes de seguridad respecto a los umbrales</w:t>
      </w:r>
    </w:p>
    <w:p w14:paraId="7055D7D4" w14:textId="77777777" w:rsidR="003243E7" w:rsidRDefault="003243E7">
      <w:pPr>
        <w:pStyle w:val="p2"/>
      </w:pPr>
      <w:r>
        <w:rPr>
          <w:rStyle w:val="s2"/>
        </w:rPr>
        <w:t>reglamentarios.</w:t>
      </w:r>
    </w:p>
    <w:p w14:paraId="2845E34B" w14:textId="77777777" w:rsidR="003243E7" w:rsidRDefault="003243E7">
      <w:pPr>
        <w:pStyle w:val="p2"/>
      </w:pPr>
      <w:r>
        <w:rPr>
          <w:rStyle w:val="s4"/>
        </w:rPr>
        <w:t xml:space="preserve">• </w:t>
      </w:r>
      <w:r>
        <w:rPr>
          <w:rStyle w:val="s2"/>
        </w:rPr>
        <w:t>Elementos en Verde (Camino Crítico): Identifican los puntos límite de la instalación</w:t>
      </w:r>
    </w:p>
    <w:p w14:paraId="1C2D70B7" w14:textId="1E6E5CDD" w:rsidR="003243E7" w:rsidRDefault="003243E7">
      <w:pPr>
        <w:pStyle w:val="p2"/>
        <w:rPr>
          <w:rStyle w:val="s2"/>
        </w:rPr>
      </w:pPr>
      <w:r>
        <w:rPr>
          <w:rStyle w:val="s2"/>
        </w:rPr>
        <w:t>que cumplen estrictamente con la normativa.</w:t>
      </w:r>
      <w:r w:rsidR="0055656E">
        <w:rPr>
          <w:rStyle w:val="s2"/>
        </w:rPr>
        <w:t xml:space="preserve"> Es decir, señala los nudos o tramos más desfavorables que aún cumplen con los límites reglamentarios.</w:t>
      </w:r>
    </w:p>
    <w:p w14:paraId="4BBA6440" w14:textId="4EADCB8F" w:rsidR="0055656E" w:rsidRDefault="0055656E">
      <w:pPr>
        <w:pStyle w:val="p2"/>
        <w:rPr>
          <w:rStyle w:val="s2"/>
        </w:rPr>
      </w:pPr>
      <w:r>
        <w:rPr>
          <w:rStyle w:val="s2"/>
        </w:rPr>
        <w:t xml:space="preserve">Elementos en Rojo (Fuera del límite): Asigna los nudos o tramos que </w:t>
      </w:r>
      <w:r w:rsidR="000A2211">
        <w:rPr>
          <w:rStyle w:val="s2"/>
        </w:rPr>
        <w:t>se encuentran más allá del límite.</w:t>
      </w:r>
    </w:p>
    <w:p w14:paraId="605E0D57" w14:textId="77777777" w:rsidR="000A2211" w:rsidRDefault="000A2211">
      <w:pPr>
        <w:pStyle w:val="p2"/>
      </w:pPr>
    </w:p>
    <w:p w14:paraId="1649E65D" w14:textId="77777777" w:rsidR="003243E7" w:rsidRDefault="003243E7">
      <w:pPr>
        <w:pStyle w:val="p3"/>
      </w:pPr>
      <w:r>
        <w:rPr>
          <w:rStyle w:val="s3"/>
        </w:rPr>
        <w:t>3.2 Análisis de los puntos singulares más desfavorables</w:t>
      </w:r>
    </w:p>
    <w:p w14:paraId="2C173502" w14:textId="77777777" w:rsidR="003243E7" w:rsidRDefault="003243E7">
      <w:pPr>
        <w:pStyle w:val="p2"/>
      </w:pPr>
      <w:r>
        <w:rPr>
          <w:rStyle w:val="s2"/>
        </w:rPr>
        <w:t>La simulación ha arrojado dos singularidades críticas (marcadas en verde), que validan</w:t>
      </w:r>
    </w:p>
    <w:p w14:paraId="1159628C" w14:textId="77777777" w:rsidR="003243E7" w:rsidRDefault="003243E7">
      <w:pPr>
        <w:pStyle w:val="p2"/>
      </w:pPr>
      <w:r>
        <w:rPr>
          <w:rStyle w:val="s2"/>
        </w:rPr>
        <w:t>el ajuste económico del diseño:</w:t>
      </w:r>
    </w:p>
    <w:p w14:paraId="2D266004" w14:textId="77777777" w:rsidR="003243E7" w:rsidRDefault="003243E7">
      <w:pPr>
        <w:pStyle w:val="p2"/>
      </w:pPr>
      <w:r>
        <w:rPr>
          <w:rStyle w:val="s4"/>
        </w:rPr>
        <w:t xml:space="preserve">• </w:t>
      </w:r>
      <w:r>
        <w:rPr>
          <w:rStyle w:val="s2"/>
        </w:rPr>
        <w:t>Tramo de acometida (Crítico por velocidad): El tramo que conecta la red urbana con</w:t>
      </w:r>
    </w:p>
    <w:p w14:paraId="343E340C" w14:textId="77777777" w:rsidR="003243E7" w:rsidRDefault="003243E7">
      <w:pPr>
        <w:pStyle w:val="p2"/>
      </w:pPr>
      <w:r>
        <w:rPr>
          <w:rStyle w:val="s2"/>
        </w:rPr>
        <w:t>el edificio se identifica como el más crítico por fricción. Al optimizar su diámetro,</w:t>
      </w:r>
    </w:p>
    <w:p w14:paraId="515F8BD9" w14:textId="77777777" w:rsidR="003243E7" w:rsidRDefault="003243E7">
      <w:pPr>
        <w:pStyle w:val="p2"/>
      </w:pPr>
      <w:r>
        <w:rPr>
          <w:rStyle w:val="s2"/>
        </w:rPr>
        <w:t>absorbe la mayor velocidad de paso (15,43 m/s), manteniéndose por debajo de la</w:t>
      </w:r>
    </w:p>
    <w:p w14:paraId="5984D55A" w14:textId="77777777" w:rsidR="003243E7" w:rsidRDefault="003243E7">
      <w:pPr>
        <w:pStyle w:val="p2"/>
      </w:pPr>
      <w:r>
        <w:rPr>
          <w:rStyle w:val="s2"/>
        </w:rPr>
        <w:t>frontera legal de 20 m/s.</w:t>
      </w:r>
    </w:p>
    <w:p w14:paraId="57F9CF83" w14:textId="77777777" w:rsidR="003243E7" w:rsidRDefault="003243E7">
      <w:pPr>
        <w:pStyle w:val="p2"/>
      </w:pPr>
      <w:r>
        <w:rPr>
          <w:rStyle w:val="s4"/>
        </w:rPr>
        <w:t xml:space="preserve">• </w:t>
      </w:r>
      <w:r>
        <w:rPr>
          <w:rStyle w:val="s2"/>
        </w:rPr>
        <w:t>Aparato de utilización (Crítico por presión): El software ha detectado el horno de la</w:t>
      </w:r>
    </w:p>
    <w:p w14:paraId="259AAB0F" w14:textId="77777777" w:rsidR="003243E7" w:rsidRDefault="003243E7">
      <w:pPr>
        <w:pStyle w:val="p2"/>
      </w:pPr>
      <w:r>
        <w:rPr>
          <w:rStyle w:val="s2"/>
        </w:rPr>
        <w:t>vivienda más alejada como el nudo con la presión mínima más ajustada de toda la</w:t>
      </w:r>
    </w:p>
    <w:p w14:paraId="39A12974" w14:textId="77777777" w:rsidR="003243E7" w:rsidRDefault="003243E7">
      <w:pPr>
        <w:pStyle w:val="p2"/>
      </w:pPr>
      <w:r>
        <w:rPr>
          <w:rStyle w:val="s2"/>
        </w:rPr>
        <w:t>red. Que este nudo aparezca en verde certifica que el gas se entrega con una</w:t>
      </w:r>
    </w:p>
    <w:p w14:paraId="76C01A28" w14:textId="77777777" w:rsidR="003243E7" w:rsidRDefault="003243E7">
      <w:pPr>
        <w:pStyle w:val="p2"/>
      </w:pPr>
      <w:r>
        <w:rPr>
          <w:rStyle w:val="s2"/>
        </w:rPr>
        <w:t>presión superior al mínimo exigible para Gas Natural (200 mmca).</w:t>
      </w:r>
    </w:p>
    <w:p w14:paraId="42B87AA0" w14:textId="77777777" w:rsidR="003243E7" w:rsidRPr="000A2211" w:rsidRDefault="003243E7">
      <w:pPr>
        <w:pStyle w:val="p1"/>
        <w:rPr>
          <w:sz w:val="32"/>
          <w:szCs w:val="32"/>
        </w:rPr>
      </w:pPr>
      <w:r w:rsidRPr="000A2211">
        <w:rPr>
          <w:rStyle w:val="s1"/>
          <w:sz w:val="32"/>
          <w:szCs w:val="32"/>
        </w:rPr>
        <w:lastRenderedPageBreak/>
        <w:t>4 Conclusiones</w:t>
      </w:r>
    </w:p>
    <w:p w14:paraId="3A451CF9" w14:textId="77777777" w:rsidR="003243E7" w:rsidRDefault="003243E7">
      <w:pPr>
        <w:pStyle w:val="p2"/>
      </w:pPr>
      <w:r>
        <w:rPr>
          <w:rStyle w:val="s2"/>
        </w:rPr>
        <w:t>La presente práctica ha permitido consolidar los principios de la mecánica de fluidos</w:t>
      </w:r>
    </w:p>
    <w:p w14:paraId="087555ED" w14:textId="77777777" w:rsidR="003243E7" w:rsidRDefault="003243E7">
      <w:pPr>
        <w:pStyle w:val="p2"/>
      </w:pPr>
      <w:r>
        <w:rPr>
          <w:rStyle w:val="s2"/>
        </w:rPr>
        <w:t>aplicados al diseño de instalaciones receptoras de Gas Natural. De los resultados</w:t>
      </w:r>
    </w:p>
    <w:p w14:paraId="186E13EE" w14:textId="77777777" w:rsidR="003243E7" w:rsidRDefault="003243E7">
      <w:pPr>
        <w:pStyle w:val="p2"/>
        <w:rPr>
          <w:rStyle w:val="s2"/>
        </w:rPr>
      </w:pPr>
      <w:r>
        <w:rPr>
          <w:rStyle w:val="s2"/>
        </w:rPr>
        <w:t>obtenidos, se extraen las siguientes conclusiones fundamentales:</w:t>
      </w:r>
    </w:p>
    <w:p w14:paraId="5F71255A" w14:textId="77777777" w:rsidR="0055656E" w:rsidRDefault="0055656E">
      <w:pPr>
        <w:pStyle w:val="p2"/>
      </w:pPr>
    </w:p>
    <w:p w14:paraId="51FF5917" w14:textId="77777777" w:rsidR="003243E7" w:rsidRDefault="003243E7">
      <w:pPr>
        <w:pStyle w:val="p2"/>
      </w:pPr>
      <w:r>
        <w:rPr>
          <w:rStyle w:val="s2"/>
        </w:rPr>
        <w:t>1. Eficiencia del Esquema Tipo 7: La distribución exterior en MPA con regulación en el</w:t>
      </w:r>
    </w:p>
    <w:p w14:paraId="4C09BA12" w14:textId="77777777" w:rsidR="003243E7" w:rsidRDefault="003243E7">
      <w:pPr>
        <w:pStyle w:val="p2"/>
      </w:pPr>
      <w:r>
        <w:rPr>
          <w:rStyle w:val="s2"/>
        </w:rPr>
        <w:t>interior de la vivienda minimiza el diámetro de las canalizaciones comunes,</w:t>
      </w:r>
    </w:p>
    <w:p w14:paraId="2C3421E7" w14:textId="77777777" w:rsidR="003243E7" w:rsidRDefault="003243E7">
      <w:pPr>
        <w:pStyle w:val="p2"/>
      </w:pPr>
      <w:r>
        <w:rPr>
          <w:rStyle w:val="s2"/>
        </w:rPr>
        <w:t>optimizando la inversión material inicial.</w:t>
      </w:r>
    </w:p>
    <w:p w14:paraId="67055AD4" w14:textId="77777777" w:rsidR="003243E7" w:rsidRDefault="003243E7">
      <w:pPr>
        <w:pStyle w:val="p2"/>
      </w:pPr>
      <w:r>
        <w:rPr>
          <w:rStyle w:val="s2"/>
        </w:rPr>
        <w:t>2. Importancia del cálculo desagregado: La discretización de cada aparato en nudos</w:t>
      </w:r>
    </w:p>
    <w:p w14:paraId="537A74E5" w14:textId="77777777" w:rsidR="003243E7" w:rsidRDefault="003243E7">
      <w:pPr>
        <w:pStyle w:val="p2"/>
      </w:pPr>
      <w:r>
        <w:rPr>
          <w:rStyle w:val="s2"/>
        </w:rPr>
        <w:t>individuales es una condición necesaria para que las ecuaciones de simultaneidad</w:t>
      </w:r>
    </w:p>
    <w:p w14:paraId="1BE35507" w14:textId="77777777" w:rsidR="003243E7" w:rsidRDefault="003243E7">
      <w:pPr>
        <w:pStyle w:val="p2"/>
      </w:pPr>
      <w:r>
        <w:rPr>
          <w:rStyle w:val="s2"/>
        </w:rPr>
        <w:t>proyecten pérdidas de carga realistas.3. Seguridad por validación de extremos: El correcto funcionamiento de los puntos</w:t>
      </w:r>
    </w:p>
    <w:p w14:paraId="7B41AD3B" w14:textId="77777777" w:rsidR="003243E7" w:rsidRDefault="003243E7">
      <w:pPr>
        <w:pStyle w:val="p2"/>
      </w:pPr>
      <w:r>
        <w:rPr>
          <w:rStyle w:val="s2"/>
        </w:rPr>
        <w:t>señalados en verde demuestra que, al satisfacer la normativa el nudo más crítico,</w:t>
      </w:r>
    </w:p>
    <w:p w14:paraId="219F9969" w14:textId="77777777" w:rsidR="003243E7" w:rsidRDefault="003243E7">
      <w:pPr>
        <w:pStyle w:val="p2"/>
      </w:pPr>
      <w:r>
        <w:rPr>
          <w:rStyle w:val="s2"/>
        </w:rPr>
        <w:t>queda validada la operabilidad del 100% de la red.</w:t>
      </w:r>
    </w:p>
    <w:p w14:paraId="553D1473" w14:textId="77777777" w:rsidR="003243E7" w:rsidRDefault="003243E7"/>
    <w:sectPr w:rsidR="003243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E7"/>
    <w:rsid w:val="000A2211"/>
    <w:rsid w:val="001B345E"/>
    <w:rsid w:val="002F3B28"/>
    <w:rsid w:val="003243E7"/>
    <w:rsid w:val="0055656E"/>
    <w:rsid w:val="006654C0"/>
    <w:rsid w:val="00F5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00005"/>
  <w15:chartTrackingRefBased/>
  <w15:docId w15:val="{62511076-9890-CF45-BF83-377AC7B3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4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4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4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4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4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4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4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43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43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43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3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3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3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4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4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4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43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43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43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3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43E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243E7"/>
    <w:pPr>
      <w:spacing w:after="0" w:line="240" w:lineRule="auto"/>
    </w:pPr>
    <w:rPr>
      <w:rFonts w:ascii="Helvetica" w:hAnsi="Helvetica" w:cs="Times New Roman"/>
      <w:color w:val="365F91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3243E7"/>
    <w:pPr>
      <w:spacing w:after="0" w:line="240" w:lineRule="auto"/>
    </w:pPr>
    <w:rPr>
      <w:rFonts w:ascii="Arial" w:hAnsi="Arial" w:cs="Arial"/>
      <w:color w:val="000000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3243E7"/>
    <w:pPr>
      <w:spacing w:after="0" w:line="240" w:lineRule="auto"/>
    </w:pPr>
    <w:rPr>
      <w:rFonts w:ascii="Helvetica" w:hAnsi="Helvetica" w:cs="Times New Roman"/>
      <w:color w:val="4F81BD"/>
      <w:kern w:val="0"/>
      <w:sz w:val="20"/>
      <w:szCs w:val="20"/>
      <w14:ligatures w14:val="none"/>
    </w:rPr>
  </w:style>
  <w:style w:type="character" w:customStyle="1" w:styleId="s1">
    <w:name w:val="s1"/>
    <w:basedOn w:val="Fuentedeprrafopredeter"/>
    <w:rsid w:val="003243E7"/>
    <w:rPr>
      <w:rFonts w:ascii="Helvetica" w:hAnsi="Helvetica" w:hint="default"/>
      <w:b/>
      <w:bCs/>
      <w:i w:val="0"/>
      <w:iCs w:val="0"/>
      <w:sz w:val="21"/>
      <w:szCs w:val="21"/>
    </w:rPr>
  </w:style>
  <w:style w:type="character" w:customStyle="1" w:styleId="s2">
    <w:name w:val="s2"/>
    <w:basedOn w:val="Fuentedeprrafopredeter"/>
    <w:rsid w:val="003243E7"/>
    <w:rPr>
      <w:rFonts w:ascii="Arial" w:hAnsi="Arial" w:cs="Arial" w:hint="default"/>
      <w:b w:val="0"/>
      <w:bCs w:val="0"/>
      <w:i w:val="0"/>
      <w:iCs w:val="0"/>
      <w:sz w:val="17"/>
      <w:szCs w:val="17"/>
    </w:rPr>
  </w:style>
  <w:style w:type="character" w:customStyle="1" w:styleId="s3">
    <w:name w:val="s3"/>
    <w:basedOn w:val="Fuentedeprrafopredeter"/>
    <w:rsid w:val="003243E7"/>
    <w:rPr>
      <w:rFonts w:ascii="Helvetica" w:hAnsi="Helvetica" w:hint="default"/>
      <w:b/>
      <w:bCs/>
      <w:i w:val="0"/>
      <w:iCs w:val="0"/>
      <w:sz w:val="20"/>
      <w:szCs w:val="20"/>
    </w:rPr>
  </w:style>
  <w:style w:type="character" w:customStyle="1" w:styleId="s4">
    <w:name w:val="s4"/>
    <w:basedOn w:val="Fuentedeprrafopredeter"/>
    <w:rsid w:val="003243E7"/>
    <w:rPr>
      <w:rFonts w:ascii="Symbol" w:hAnsi="Symbol" w:hint="default"/>
      <w:b w:val="0"/>
      <w:bCs w:val="0"/>
      <w:i w:val="0"/>
      <w:iCs w:val="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825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Niño González</dc:creator>
  <cp:keywords/>
  <dc:description/>
  <cp:lastModifiedBy>Alberto España</cp:lastModifiedBy>
  <cp:revision>3</cp:revision>
  <dcterms:created xsi:type="dcterms:W3CDTF">2026-05-12T10:47:00Z</dcterms:created>
  <dcterms:modified xsi:type="dcterms:W3CDTF">2026-05-12T19:58:00Z</dcterms:modified>
</cp:coreProperties>
</file>