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Cloud Services Agreement</w:t>
      </w:r>
    </w:p>
    <w:p>
      <w:r>
        <w:t>This Master Cloud Services Agreement ('Agreement') is entered into between CloudProvider Corp ('Vendor') and ACME Global Enterprise ('Customer') regarding dedicated compute infrastructure and API hosting.</w:t>
      </w:r>
    </w:p>
    <w:p>
      <w:pPr>
        <w:pStyle w:val="Heading2"/>
      </w:pPr>
      <w:r>
        <w:t>1. Service Level Commitments and Uptime</w:t>
      </w:r>
    </w:p>
    <w:p>
      <w:r>
        <w:t>Vendor guarantees a monthly uptime service level of 99.95% across all production API gateways. If monthly availability drops below 99.95% but remains above 99.0%, Customer is entitled to a 15% service credit. If monthly availability drops below 99.0%, Customer is entitled to a 30% service credit.</w:t>
      </w:r>
    </w:p>
    <w:p>
      <w:pPr>
        <w:pStyle w:val="Heading2"/>
      </w:pPr>
      <w:r>
        <w:t>2. Dispute Resolution and Arbitration</w:t>
      </w:r>
    </w:p>
    <w:p>
      <w:r>
        <w:t>Any dispute, controversy, or claim arising out of or relating to this contract, or the breach, termination, or invalidity thereof, shall be settled by binding arbitration in New York City administered by the American Arbitration Association in accordance with its Commercial Arbitration Rules.</w:t>
      </w:r>
    </w:p>
    <w:p>
      <w:pPr>
        <w:pStyle w:val="Heading2"/>
      </w:pPr>
      <w:r>
        <w:t>3. Liability Caps</w:t>
      </w:r>
    </w:p>
    <w:p>
      <w:r>
        <w:t>Except for breaches of confidentiality or gross negligence, neither party's aggregate liability under this agreement shall exceed the total fees paid by Customer during the twelve (12) months preceding the incident giving rise to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