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line="264" w:lineRule="auto"/>
        <w:jc w:val="center"/>
      </w:pPr>
      <w:r>
        <w:rPr>
          <w:rFonts w:ascii="Calibri" w:hAnsi="Calibri"/>
          <w:b/>
          <w:i w:val="0"/>
          <w:color w:val="7A5A00"/>
          <w:sz w:val="20"/>
        </w:rPr>
        <w:t>ARCHITECTURE &amp; PRODUCT STRATEGY</w:t>
      </w:r>
    </w:p>
    <w:p>
      <w:pPr>
        <w:spacing w:before="0" w:after="100" w:line="264" w:lineRule="auto"/>
        <w:jc w:val="center"/>
      </w:pPr>
      <w:r>
        <w:rPr>
          <w:rFonts w:ascii="Calibri" w:hAnsi="Calibri"/>
          <w:b/>
          <w:i w:val="0"/>
          <w:color w:val="0B2545"/>
          <w:sz w:val="60"/>
        </w:rPr>
        <w:t>Dealership Management &amp; Sales Cloud</w:t>
      </w:r>
    </w:p>
    <w:p>
      <w:pPr>
        <w:spacing w:before="0" w:after="560" w:line="264" w:lineRule="auto"/>
        <w:jc w:val="center"/>
      </w:pPr>
      <w:r>
        <w:rPr>
          <w:rFonts w:ascii="Calibri" w:hAnsi="Calibri"/>
          <w:b w:val="0"/>
          <w:i w:val="0"/>
          <w:color w:val="1F4D78"/>
          <w:sz w:val="32"/>
        </w:rPr>
        <w:t>Master Architecture Blueprint and Forward-Only Roadmap</w:t>
      </w:r>
    </w:p>
    <w:p>
      <w:pPr>
        <w:spacing w:before="0" w:after="1520" w:line="264" w:lineRule="auto"/>
        <w:jc w:val="center"/>
      </w:pPr>
      <w:r>
        <w:rPr>
          <w:rFonts w:ascii="Calibri" w:hAnsi="Calibri"/>
          <w:b w:val="0"/>
          <w:i/>
          <w:color w:val="5B6573"/>
          <w:sz w:val="22"/>
        </w:rPr>
        <w:t>A management-first plan for vehicle inventory, CRM, marketing, sales, deal operations, F&amp;I coordination, delivery, reporting, and multi-rooftop administration</w:t>
      </w:r>
    </w:p>
    <w:p>
      <w:pPr>
        <w:spacing w:before="0" w:after="100" w:line="264" w:lineRule="auto"/>
        <w:jc w:val="center"/>
      </w:pPr>
      <w:r>
        <w:rPr>
          <w:rFonts w:ascii="Calibri" w:hAnsi="Calibri"/>
          <w:b/>
          <w:i w:val="0"/>
          <w:color w:val="0B2545"/>
          <w:sz w:val="23"/>
        </w:rPr>
        <w:t>Prepared for product ownership and Fable implementation</w:t>
      </w:r>
    </w:p>
    <w:p>
      <w:pPr>
        <w:spacing w:before="0" w:after="100" w:line="264" w:lineRule="auto"/>
        <w:jc w:val="center"/>
      </w:pPr>
      <w:r>
        <w:rPr>
          <w:rFonts w:ascii="Calibri" w:hAnsi="Calibri"/>
          <w:b w:val="0"/>
          <w:i w:val="0"/>
          <w:color w:val="5B6573"/>
          <w:sz w:val="20"/>
        </w:rPr>
        <w:t>Version 2.0  |  August 4, 2026  |  Governing management-first baseline</w:t>
      </w:r>
    </w:p>
    <w:p>
      <w:pPr>
        <w:spacing w:before="0" w:after="0" w:line="264" w:lineRule="auto"/>
        <w:jc w:val="center"/>
      </w:pPr>
      <w:r>
        <w:rPr>
          <w:rFonts w:ascii="Calibri" w:hAnsi="Calibri"/>
          <w:b w:val="0"/>
          <w:i w:val="0"/>
          <w:color w:val="5B6573"/>
          <w:sz w:val="15"/>
        </w:rPr>
        <w:t>Source archive SHA-256: 1b8dff3bf159c4bdc45671ee97b839907590df26ea43e7fd14c289f09cd5543d</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8"/>
              </w:rPr>
              <w:t>Field</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8"/>
              </w:rPr>
              <w:t>Value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Purpose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Architecture decision, product scope, implementation sequence, and acceptance contract</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Primary implementation reader</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Fable, acting as implementation engineer</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Repository reviewed</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Car-dealership-software-main (1).zip</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Assessment basis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Static source review; build/typecheck; dependency audit; non-DB tests; current official market and regulatory sources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Decision status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APPROVED AND GOVERNING — management-first product scope and forward-only phase map</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Supersedes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All prior Fixed Ops-first commercial sequencing and every conflicting roadmap or backlog statement</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Change rule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Only a written product-owner decision plus an Architecture Decision Record may alter the commercial scope or phase order</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Core decision</w:t>
            </w:r>
          </w:p>
          <w:p>
            <w:pPr>
              <w:spacing w:after="0" w:line="264" w:lineRule="auto"/>
            </w:pPr>
            <w:r>
              <w:rPr>
                <w:rFonts w:ascii="Calibri" w:hAnsi="Calibri"/>
                <w:color w:val="1F2328"/>
                <w:sz w:val="21"/>
              </w:rPr>
              <w:t>Preserve the inherited Fixed Ops code behind its existing module boundary. It is not the commercial wedge and may receive only security, compatibility, migration, and regression fixes unless a future FBL-300+ order explicitly authorizes repair-product development.</w:t>
            </w:r>
          </w:p>
        </w:tc>
      </w:tr>
    </w:tbl>
    <w:p>
      <w:pPr>
        <w:spacing w:after="0"/>
      </w:pPr>
    </w:p>
    <w:p>
      <w:pPr>
        <w:pStyle w:val="Heading2"/>
      </w:pPr>
      <w:r>
        <w:t>How to Use This Blueprint</w:t>
      </w:r>
    </w:p>
    <w:p>
      <w:pPr>
        <w:pStyle w:val="ListBullet"/>
        <w:keepLines/>
      </w:pPr>
      <w:r>
        <w:t>The product owner uses Sections 1–5 as the approved direction, scope, and market position.</w:t>
      </w:r>
    </w:p>
    <w:p>
      <w:pPr>
        <w:pStyle w:val="ListBullet"/>
        <w:keepLines/>
      </w:pPr>
      <w:r>
        <w:t>The architect uses Sections 6–13 as the binding target architecture and quality bar.</w:t>
      </w:r>
    </w:p>
    <w:p>
      <w:pPr>
        <w:pStyle w:val="ListBullet"/>
        <w:keepLines/>
      </w:pPr>
      <w:r>
        <w:t>Fable executes Section 14 one order at a time. Only the explicitly ACTIVE order may carry code, and every order stops at its binary acceptance gate.</w:t>
      </w:r>
    </w:p>
    <w:p>
      <w:pPr>
        <w:pStyle w:val="ListBullet"/>
        <w:keepLines/>
      </w:pPr>
      <w:r>
        <w:t>Closed phases never reopen. Later defects use a forward-numbered correction and a new forward migration while preserving accepted evidence and shipped migrations.</w:t>
      </w:r>
    </w:p>
    <w:p>
      <w:pPr>
        <w:pStyle w:val="ListBullet"/>
        <w:keepLines/>
      </w:pPr>
      <w:r>
        <w:t>No phase may claim completion with skipped integration tests, unverified tenant isolation, or undocumented schema/API changes.</w:t>
      </w:r>
    </w:p>
    <w:p>
      <w:pPr>
        <w:pStyle w:val="ListBullet"/>
        <w:keepLines/>
      </w:pPr>
      <w:r>
        <w:t>Regulatory content is an engineering control map, not legal advice; counsel and qualified compliance specialists must validate production obligations.</w:t>
      </w:r>
    </w:p>
    <w:p>
      <w:r>
        <w:br w:type="page"/>
      </w:r>
    </w:p>
    <w:p>
      <w:pPr>
        <w:pStyle w:val="Heading2"/>
      </w:pPr>
      <w:r>
        <w:t>Contents</w:t>
      </w:r>
    </w:p>
    <w:p>
      <w:pPr>
        <w:pStyle w:val="ListBullet"/>
        <w:keepLines/>
      </w:pPr>
      <w:r>
        <w:t>1. Executive Decision</w:t>
      </w:r>
    </w:p>
    <w:p>
      <w:pPr>
        <w:pStyle w:val="ListBullet"/>
        <w:keepLines/>
      </w:pPr>
      <w:r>
        <w:t>2. Assessment Scope and Evidence</w:t>
      </w:r>
    </w:p>
    <w:p>
      <w:pPr>
        <w:pStyle w:val="ListBullet"/>
        <w:keepLines/>
      </w:pPr>
      <w:r>
        <w:t>3. Current-State Repository</w:t>
      </w:r>
    </w:p>
    <w:p>
      <w:pPr>
        <w:pStyle w:val="ListBullet"/>
        <w:keepLines/>
      </w:pPr>
      <w:r>
        <w:t>4. Findings and Immediate Risks</w:t>
      </w:r>
    </w:p>
    <w:p>
      <w:pPr>
        <w:pStyle w:val="ListBullet"/>
        <w:keepLines/>
      </w:pPr>
      <w:r>
        <w:t>5. Product Strategy and Market Bar</w:t>
      </w:r>
    </w:p>
    <w:p>
      <w:pPr>
        <w:pStyle w:val="ListBullet"/>
        <w:keepLines/>
      </w:pPr>
      <w:r>
        <w:t>6. Target Architecture</w:t>
      </w:r>
    </w:p>
    <w:p>
      <w:pPr>
        <w:pStyle w:val="ListBullet"/>
        <w:keepLines/>
      </w:pPr>
      <w:r>
        <w:t>7. Platform Kernel</w:t>
      </w:r>
    </w:p>
    <w:p>
      <w:pPr>
        <w:pStyle w:val="ListBullet"/>
        <w:keepLines/>
      </w:pPr>
      <w:r>
        <w:t>8. Dealership Bounded Contexts</w:t>
      </w:r>
    </w:p>
    <w:p>
      <w:pPr>
        <w:pStyle w:val="ListBullet"/>
        <w:keepLines/>
      </w:pPr>
      <w:r>
        <w:t>9. Data, API, and Event Contracts</w:t>
      </w:r>
    </w:p>
    <w:p>
      <w:pPr>
        <w:pStyle w:val="ListBullet"/>
        <w:keepLines/>
      </w:pPr>
      <w:r>
        <w:t>10. Security, Privacy, and Compliance</w:t>
      </w:r>
    </w:p>
    <w:p>
      <w:pPr>
        <w:pStyle w:val="ListBullet"/>
        <w:keepLines/>
      </w:pPr>
      <w:r>
        <w:t>11. Reliability, Operations, and Quality</w:t>
      </w:r>
    </w:p>
    <w:p>
      <w:pPr>
        <w:pStyle w:val="ListBullet"/>
        <w:keepLines/>
      </w:pPr>
      <w:r>
        <w:t>12. Experience, Analytics, and Governed AI</w:t>
      </w:r>
    </w:p>
    <w:p>
      <w:pPr>
        <w:pStyle w:val="ListBullet"/>
        <w:keepLines/>
      </w:pPr>
      <w:r>
        <w:t>13. Governing Forward-Only Product Roadmap</w:t>
      </w:r>
    </w:p>
    <w:p>
      <w:pPr>
        <w:pStyle w:val="ListBullet"/>
        <w:keepLines/>
      </w:pPr>
      <w:r>
        <w:t>14. Fable Implementation Orders</w:t>
      </w:r>
    </w:p>
    <w:p>
      <w:pPr>
        <w:pStyle w:val="ListBullet"/>
        <w:keepLines/>
      </w:pPr>
      <w:r>
        <w:t>15. Program Model, Economics, and Risks</w:t>
      </w:r>
    </w:p>
    <w:p>
      <w:pPr>
        <w:pStyle w:val="ListBullet"/>
        <w:keepLines/>
      </w:pPr>
      <w:r>
        <w:t>16. Acceptance Scorecard and Next Decisions</w:t>
      </w:r>
    </w:p>
    <w:p>
      <w:pPr>
        <w:pStyle w:val="ListBullet"/>
        <w:keepLines/>
      </w:pPr>
      <w:r>
        <w:t>Appendices: Evidence, Contracts, and Sources</w:t>
      </w:r>
    </w:p>
    <w:p>
      <w:r>
        <w:br w:type="page"/>
      </w:r>
    </w:p>
    <w:p>
      <w:pPr>
        <w:pStyle w:val="Heading1"/>
      </w:pPr>
      <w:r>
        <w:t>1. Executive Decision</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Verdict</w:t>
            </w:r>
          </w:p>
          <w:p>
            <w:pPr>
              <w:spacing w:after="0" w:line="264" w:lineRule="auto"/>
            </w:pPr>
            <w:r>
              <w:rPr>
                <w:rFonts w:ascii="Calibri" w:hAnsi="Calibri"/>
                <w:color w:val="1F2328"/>
                <w:sz w:val="21"/>
              </w:rPr>
              <w:t>The repository is a credible fixed-operations engineering spike with several production-minded controls. It is not a complete dealership SaaS, not a DMS replacement, and not ready for multi-tenant production. The approved strategy is to retain that code as a bounded legacy module while building a management-first platform centered on vehicle inventory, CRM/BDC, marketing, sales, deal operations, F&amp;I coordination, delivery, and executive administration.</w:t>
            </w:r>
          </w:p>
        </w:tc>
      </w:tr>
    </w:tbl>
    <w:p>
      <w:pPr>
        <w:spacing w:after="0"/>
      </w:pPr>
    </w:p>
    <w:p>
      <w:pPr>
        <w:pStyle w:val="Heading2"/>
      </w:pPr>
      <w:r>
        <w:t>1.1 What exists today</w:t>
      </w:r>
    </w:p>
    <w:p>
      <w:pPr>
        <w:spacing w:before="0" w:after="120" w:line="264" w:lineRule="auto"/>
      </w:pPr>
      <w:r>
        <w:rPr>
          <w:rFonts w:ascii="Calibri" w:hAnsi="Calibri"/>
          <w:b w:val="0"/>
          <w:i w:val="0"/>
          <w:color w:val="1F2328"/>
        </w:rPr>
        <w:t>The codebase contains one Express/PostgreSQL service-cockpit module. It covers appointments, repair orders, multipoint inspections, estimates and authorizations, technician dispatch and time, parts-line status, sublet, warranty, comebacks, queues, portal-task records, first-service retention, metrics, and audit events. The repair-order lifecycle is the most developed business model.</w:t>
      </w:r>
    </w:p>
    <w:p>
      <w:pPr>
        <w:spacing w:before="0" w:after="120" w:line="264" w:lineRule="auto"/>
      </w:pPr>
      <w:r>
        <w:rPr>
          <w:rFonts w:ascii="Calibri" w:hAnsi="Calibri"/>
          <w:b w:val="0"/>
          <w:i w:val="0"/>
          <w:color w:val="1F2328"/>
        </w:rPr>
        <w:t>The repository documents a broader generated system, but that larger platform is absent. The checked-in code must therefore be judged on its own. Claims about hundreds of endpoints or dozens of modules are historical context, not delivered capability.</w:t>
      </w:r>
    </w:p>
    <w:p>
      <w:pPr>
        <w:pStyle w:val="Heading2"/>
      </w:pPr>
      <w:r>
        <w:t>1.2 The architectural choice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00"/>
        <w:gridCol w:w="2360"/>
        <w:gridCol w:w="5300"/>
      </w:tblGrid>
      <w:tr>
        <w:trPr>
          <w:cantSplit/>
          <w:tblHeader w:val="true"/>
        </w:trPr>
        <w:tc>
          <w:tcPr>
            <w:tcW w:type="dxa" w:w="170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7"/>
              </w:rPr>
              <w:t>Choice</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Disposition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Evolutionary replacement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proven rules/tests; rebuild the platform around explicit modules and contracts.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Initial deployment</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Modular monolith plus workers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Fastest path to coherent transactions and operability; extract services only when load, ownership, or isolation proves the need.</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wedge</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 Management &amp; Sales Cloud</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The first paid journey runs vehicle acquisition through merchandising, lead conversion, approved deal, delivery, and management reporting.</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System of record</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with strict tenant boundaries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RLS, composite tenant keys, typed ledgers, immutable evidence, and point-in-time recovery.</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Managed OIDC/SAML/SCIM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No homegrown enterprise identity or locally minted step-up trust.</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Regulated rails</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Integrate first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lender networks, eContracting, DMV, OEM, payments, tax, valuation, and messaging need certified partners.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Differentiation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Unified operational graph and workflows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One customer, vehicle, deal, repair, inventory, and financial truth across rooftops.</w:t>
            </w:r>
          </w:p>
        </w:tc>
      </w:tr>
    </w:tbl>
    <w:p>
      <w:pPr>
        <w:spacing w:after="0"/>
      </w:pPr>
    </w:p>
    <w:p>
      <w:r>
        <w:br w:type="page"/>
      </w:r>
    </w:p>
    <w:p>
      <w:pPr>
        <w:pStyle w:val="Heading2"/>
      </w:pPr>
      <w:r>
        <w:t>1.3 Reality check</w:t>
      </w:r>
    </w:p>
    <w:p>
      <w:pPr>
        <w:spacing w:before="0" w:after="120" w:line="264" w:lineRule="auto"/>
      </w:pPr>
      <w:r>
        <w:rPr>
          <w:rFonts w:ascii="Calibri" w:hAnsi="Calibri"/>
          <w:b w:val="0"/>
          <w:i w:val="0"/>
          <w:color w:val="1F2328"/>
        </w:rPr>
        <w:t>“Best of the best” is not a feature list. It requires trustworthy migrations, dealership conversions, OEM and lender certifications, 24/7 support, security operations, billing, training, documentation, and years of domain feedback. A single implementation engineer can build an excellent wedge; a market-complete DMS requires a multidisciplinary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50"/>
        <w:gridCol w:w="4420"/>
        <w:gridCol w:w="2390"/>
      </w:tblGrid>
      <w:tr>
        <w:trPr>
          <w:cantSplit/>
          <w:tblHeader w:val="true"/>
        </w:trPr>
        <w:tc>
          <w:tcPr>
            <w:tcW w:type="dxa" w:w="2550"/>
            <w:tcMar>
              <w:top w:w="80" w:type="dxa"/>
              <w:start w:w="120" w:type="dxa"/>
              <w:bottom w:w="80" w:type="dxa"/>
              <w:end w:w="120" w:type="dxa"/>
            </w:tcMar>
            <w:shd w:fill="F2F4F7"/>
            <w:vAlign w:val="center"/>
          </w:tcPr>
          <w:p>
            <w:pPr>
              <w:keepNext/>
              <w:spacing w:after="0"/>
            </w:pPr>
            <w:r>
              <w:rPr>
                <w:rFonts w:ascii="Calibri" w:hAnsi="Calibri"/>
                <w:b/>
                <w:color w:val="0B2545"/>
                <w:sz w:val="17"/>
              </w:rPr>
              <w:t>Delivery shape</w:t>
            </w:r>
          </w:p>
        </w:tc>
        <w:tc>
          <w:tcPr>
            <w:tcW w:type="dxa" w:w="4420"/>
            <w:tcMar>
              <w:top w:w="80" w:type="dxa"/>
              <w:start w:w="120" w:type="dxa"/>
              <w:bottom w:w="80" w:type="dxa"/>
              <w:end w:w="120" w:type="dxa"/>
            </w:tcMar>
            <w:shd w:fill="F2F4F7"/>
            <w:vAlign w:val="center"/>
          </w:tcPr>
          <w:p>
            <w:pPr>
              <w:keepNext/>
              <w:spacing w:after="0"/>
            </w:pPr>
            <w:r>
              <w:rPr>
                <w:rFonts w:ascii="Calibri" w:hAnsi="Calibri"/>
                <w:b/>
                <w:color w:val="0B2545"/>
                <w:sz w:val="17"/>
              </w:rPr>
              <w:t>Credible outcome</w:t>
            </w:r>
          </w:p>
        </w:tc>
        <w:tc>
          <w:tcPr>
            <w:tcW w:type="dxa" w:w="2390"/>
            <w:tcMar>
              <w:top w:w="80" w:type="dxa"/>
              <w:start w:w="120" w:type="dxa"/>
              <w:bottom w:w="80" w:type="dxa"/>
              <w:end w:w="120" w:type="dxa"/>
            </w:tcMar>
            <w:shd w:fill="F2F4F7"/>
            <w:vAlign w:val="center"/>
          </w:tcPr>
          <w:p>
            <w:pPr>
              <w:keepNext/>
              <w:spacing w:after="0"/>
            </w:pPr>
            <w:r>
              <w:rPr>
                <w:rFonts w:ascii="Calibri" w:hAnsi="Calibri"/>
                <w:b/>
                <w:color w:val="0B2545"/>
                <w:sz w:val="17"/>
              </w:rPr>
              <w:t>Planning range</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One implementation engineer + architect/product owner</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Serial management-and-sales pilot with tightly controlled providers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Multi-year unless scope or staffing changes; every phase remains independently gated</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6–10 person cross-functional product team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dealership management core spanning inventory, CRM, marketing, sales, deals, F&amp;I coordination, and delivery</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Approximately 18–30 months, subject to provider certification</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 DMS parity program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accounting, F&amp;I, OEM/lender/title ecosystems, migration factory, mature operations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Multi-year; certifications and partner dependencies dominate</w:t>
            </w:r>
          </w:p>
        </w:tc>
      </w:tr>
    </w:tbl>
    <w:p>
      <w:pPr>
        <w:spacing w:after="0"/>
      </w:pPr>
    </w:p>
    <w:p>
      <w:r>
        <w:br w:type="page"/>
      </w:r>
    </w:p>
    <w:p>
      <w:pPr>
        <w:pStyle w:val="Heading1"/>
      </w:pPr>
      <w:r>
        <w:t>2. Assessment Scope and Evidence</w:t>
      </w:r>
    </w:p>
    <w:p>
      <w:pPr>
        <w:pStyle w:val="Heading2"/>
      </w:pPr>
      <w:r>
        <w:t>2.1 Method</w:t>
      </w:r>
    </w:p>
    <w:p>
      <w:pPr>
        <w:pStyle w:val="ListBullet"/>
        <w:keepLines/>
      </w:pPr>
      <w:r>
        <w:t>Safely inspected the archive structure and extracted source without following links or executing repository scripts.</w:t>
      </w:r>
    </w:p>
    <w:p>
      <w:pPr>
        <w:pStyle w:val="ListBullet"/>
        <w:keepLines/>
      </w:pPr>
      <w:r>
        <w:t>Read application entry points, routes, service-layer logic, domain transitions, metrics, migration runner, all SQL migrations, tests, Docker files, and architecture notes.</w:t>
      </w:r>
    </w:p>
    <w:p>
      <w:pPr>
        <w:pStyle w:val="ListBullet"/>
        <w:keepLines/>
      </w:pPr>
      <w:r>
        <w:t>Counted HTTP surface and reconstructed data and transaction flows.</w:t>
      </w:r>
    </w:p>
    <w:p>
      <w:pPr>
        <w:pStyle w:val="ListBullet"/>
        <w:keepLines/>
      </w:pPr>
      <w:r>
        <w:t>Installed locked dependencies with an isolated cache; ran TypeScript typecheck and production build.</w:t>
      </w:r>
    </w:p>
    <w:p>
      <w:pPr>
        <w:pStyle w:val="ListBullet"/>
        <w:keepLines/>
      </w:pPr>
      <w:r>
        <w:t>Ran the portable non-database test suite; reviewed database-backed suites statically because PostgreSQL was unavailable in the workspace.</w:t>
      </w:r>
    </w:p>
    <w:p>
      <w:pPr>
        <w:pStyle w:val="ListBullet"/>
        <w:keepLines/>
      </w:pPr>
      <w:r>
        <w:t>Benchmarked current official product surfaces from Tekion, CDK, Dealertrack, Reynolds, Auto/Mate, VinSolutions, RouteOne, and Fortellis.</w:t>
      </w:r>
    </w:p>
    <w:p>
      <w:pPr>
        <w:pStyle w:val="ListBullet"/>
        <w:keepLines/>
      </w:pPr>
      <w:r>
        <w:t>Mapped engineering controls to primary FTC, CFPB, PCI SSC, IRS, and OFAC sources.</w:t>
      </w:r>
    </w:p>
    <w:p>
      <w:pPr>
        <w:pStyle w:val="Heading2"/>
      </w:pPr>
      <w:r>
        <w:t>2.2 Verification results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40"/>
        <w:gridCol w:w="1740"/>
        <w:gridCol w:w="5480"/>
      </w:tblGrid>
      <w:tr>
        <w:trPr>
          <w:cantSplit/>
          <w:tblHeader w:val="true"/>
        </w:trPr>
        <w:tc>
          <w:tcPr>
            <w:tcW w:type="dxa" w:w="2140"/>
            <w:tcMar>
              <w:top w:w="80" w:type="dxa"/>
              <w:start w:w="120" w:type="dxa"/>
              <w:bottom w:w="80" w:type="dxa"/>
              <w:end w:w="120" w:type="dxa"/>
            </w:tcMar>
            <w:shd w:fill="F2F4F7"/>
            <w:vAlign w:val="center"/>
          </w:tcPr>
          <w:p>
            <w:pPr>
              <w:keepNext/>
              <w:spacing w:after="0"/>
            </w:pPr>
            <w:r>
              <w:rPr>
                <w:rFonts w:ascii="Calibri" w:hAnsi="Calibri"/>
                <w:b/>
                <w:color w:val="0B2545"/>
                <w:sz w:val="17"/>
              </w:rPr>
              <w:t>Check</w:t>
            </w:r>
          </w:p>
        </w:tc>
        <w:tc>
          <w:tcPr>
            <w:tcW w:type="dxa" w:w="1740"/>
            <w:tcMar>
              <w:top w:w="80" w:type="dxa"/>
              <w:start w:w="120" w:type="dxa"/>
              <w:bottom w:w="80" w:type="dxa"/>
              <w:end w:w="120" w:type="dxa"/>
            </w:tcMar>
            <w:shd w:fill="F2F4F7"/>
            <w:vAlign w:val="center"/>
          </w:tcPr>
          <w:p>
            <w:pPr>
              <w:keepNext/>
              <w:spacing w:after="0"/>
            </w:pPr>
            <w:r>
              <w:rPr>
                <w:rFonts w:ascii="Calibri" w:hAnsi="Calibri"/>
                <w:b/>
                <w:color w:val="0B2545"/>
                <w:sz w:val="17"/>
              </w:rPr>
              <w:t>Result</w:t>
            </w:r>
          </w:p>
        </w:tc>
        <w:tc>
          <w:tcPr>
            <w:tcW w:type="dxa" w:w="5480"/>
            <w:tcMar>
              <w:top w:w="80" w:type="dxa"/>
              <w:start w:w="120" w:type="dxa"/>
              <w:bottom w:w="80" w:type="dxa"/>
              <w:end w:w="120" w:type="dxa"/>
            </w:tcMar>
            <w:shd w:fill="F2F4F7"/>
            <w:vAlign w:val="center"/>
          </w:tcPr>
          <w:p>
            <w:pPr>
              <w:keepNext/>
              <w:spacing w:after="0"/>
            </w:pPr>
            <w:r>
              <w:rPr>
                <w:rFonts w:ascii="Calibri" w:hAnsi="Calibri"/>
                <w:b/>
                <w:color w:val="0B2545"/>
                <w:sz w:val="17"/>
              </w:rPr>
              <w:t>Interpretation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TypeScript typecheck</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Compiler accepted the current configuration.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build</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The service transpiles successfully.</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Dependency audit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0 known findings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At assessment time; this is not a supply-chain security certification.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unit/doc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43 passed, 0 failed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Executed with Node test runner and tsx import.</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Default npm test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7A5A00"/>
                <w:sz w:val="17"/>
              </w:rPr>
              <w:t>Environment-blocked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tsx IPC socket creation was denied; alternate invocation passed.</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DB integration and route suites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Not executed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PostgreSQL runtime/TEST_DATABASE_URL was available; cannot be treated as green.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UI/E2E/accessibility/load/DR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Absent</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client application or production-operability suite exists.</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Evidence limit</w:t>
            </w:r>
          </w:p>
          <w:p>
            <w:pPr>
              <w:spacing w:after="0" w:line="264" w:lineRule="auto"/>
            </w:pPr>
            <w:r>
              <w:rPr>
                <w:rFonts w:ascii="Calibri" w:hAnsi="Calibri"/>
                <w:color w:val="1F2328"/>
                <w:sz w:val="21"/>
              </w:rPr>
              <w:t>A successful build and 43 portable tests establish basic integrity only. They do not validate migrations, SQL behavior, concurrency under PostgreSQL, tenant escape resistance, customer journeys, availability, or production security.</w:t>
            </w:r>
          </w:p>
        </w:tc>
      </w:tr>
    </w:tbl>
    <w:p>
      <w:pPr>
        <w:spacing w:after="0"/>
      </w:pPr>
    </w:p>
    <w:p>
      <w:r>
        <w:br w:type="page"/>
      </w:r>
    </w:p>
    <w:p>
      <w:pPr>
        <w:pStyle w:val="Heading1"/>
      </w:pPr>
      <w:r>
        <w:t>3. Current-State Repository</w:t>
      </w:r>
    </w:p>
    <w:p>
      <w:pPr>
        <w:pStyle w:val="Heading2"/>
      </w:pPr>
      <w:r>
        <w:t>3.1 Structural inventory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Area</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Observed implementation</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Node.js 20, TypeScript, Express, PostgreSQL, prom-client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Deployment</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One API container plus PostgreSQL in Docker Compose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HTTP surface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under one service-cockpit mount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Persistence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Seven SQL migration files; approximately 24 domain tables plus migration/audit infrastructure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Core implementation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A 3,279-line service-layer file coordinates most use cases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 machine with 14 states; pure transition logic</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 HS256 bearer JWT; tenant_id and roles carried in claims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Observability</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Structured logger, Prometheus metrics, health/readiness endpoints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User interface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None in the repository</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Delivery automation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 checked-in CI workflow, IaC, production orchestration, or release controls</w:t>
            </w:r>
          </w:p>
        </w:tc>
      </w:tr>
    </w:tbl>
    <w:p>
      <w:pPr>
        <w:spacing w:after="0"/>
      </w:pPr>
    </w:p>
    <w:p>
      <w:pPr>
        <w:pStyle w:val="Heading2"/>
      </w:pPr>
      <w:r>
        <w:t>3.2 Implemented capability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60"/>
        <w:gridCol w:w="1500"/>
        <w:gridCol w:w="5300"/>
      </w:tblGrid>
      <w:tr>
        <w:trPr>
          <w:cantSplit/>
          <w:tblHeader w:val="true"/>
        </w:trPr>
        <w:tc>
          <w:tcPr>
            <w:tcW w:type="dxa" w:w="256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1500"/>
            <w:tcMar>
              <w:top w:w="80" w:type="dxa"/>
              <w:start w:w="120" w:type="dxa"/>
              <w:bottom w:w="80" w:type="dxa"/>
              <w:end w:w="120" w:type="dxa"/>
            </w:tcMar>
            <w:shd w:fill="F2F4F7"/>
            <w:vAlign w:val="center"/>
          </w:tcPr>
          <w:p>
            <w:pPr>
              <w:keepNext/>
              <w:spacing w:after="0"/>
            </w:pPr>
            <w:r>
              <w:rPr>
                <w:rFonts w:ascii="Calibri" w:hAnsi="Calibri"/>
                <w:b/>
                <w:color w:val="0B2545"/>
                <w:sz w:val="16"/>
              </w:rPr>
              <w:t>Depth</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6"/>
              </w:rPr>
              <w:t>Notes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Appointments, intake, waitlist</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CRUD and waitlist lifecycle; no capacity or conflict engine.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High for slice</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Central lifecycle, locks, transitions, related records.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MPI / recommendations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Session/results/recommendations; template completeness and rules are weak.</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Estimate / authorization</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Medium–high</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Current-estimate gate, step-up token concept, price snapshot/freeze.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Dispatch / technician time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Tickets, clocking, proficiency; identity and state synchronization gaps.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Parts / sublet / warranty</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Low–medium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statuses, not enterprise inventory/procurement/claims.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Queues / SLA / comeback</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Operational queue synchronization and metrics.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portal</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Record-only</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creates tasks; no customer identity or completion journey.</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Sales, inventory, CRM, F&amp;I</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delivered product surface.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 / cashiering</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RO can close without invoice, payment, or financial posting.</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SaaS control plane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provisioning, plans, metering, billing, support administration, or data migration.</w:t>
            </w:r>
          </w:p>
        </w:tc>
      </w:tr>
    </w:tbl>
    <w:p>
      <w:pPr>
        <w:spacing w:after="0"/>
      </w:pPr>
    </w:p>
    <w:p>
      <w:pPr>
        <w:pStyle w:val="Heading2"/>
      </w:pPr>
      <w:r>
        <w:t>3.3 What is worth preserving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1900"/>
        <w:gridCol w:w="5100"/>
      </w:tblGrid>
      <w:tr>
        <w:trPr>
          <w:cantSplit/>
          <w:tblHeader w:val="true"/>
        </w:trPr>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6"/>
              </w:rPr>
              <w:t>Asset</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Disposition</w:t>
            </w:r>
          </w:p>
        </w:tc>
        <w:tc>
          <w:tcPr>
            <w:tcW w:type="dxa" w:w="5100"/>
            <w:tcMar>
              <w:top w:w="80" w:type="dxa"/>
              <w:start w:w="120" w:type="dxa"/>
              <w:bottom w:w="80" w:type="dxa"/>
              <w:end w:w="120" w:type="dxa"/>
            </w:tcMar>
            <w:shd w:fill="F2F4F7"/>
            <w:vAlign w:val="center"/>
          </w:tcPr>
          <w:p>
            <w:pPr>
              <w:keepNext/>
              <w:spacing w:after="0"/>
            </w:pPr>
            <w:r>
              <w:rPr>
                <w:rFonts w:ascii="Calibri" w:hAnsi="Calibri"/>
                <w:b/>
                <w:color w:val="0B2545"/>
                <w:sz w:val="16"/>
              </w:rPr>
              <w:t>Instruction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Repair-order state machine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formalize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Promote to versioned domain policy; add financial/QC/cancellation invariants.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 evidence and price snapshots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Turn into typed, immutable evidence linked to signed artifacts and identity assurance.</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 and row-lock patterns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Move into explicit command handlers and concurrency tests.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Tenant-scoped query discipline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plus enforce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Backstop with RLS and tenant-aware referential integrity.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Check-in uniqueness/idempotency concepts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generalize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Adopt a platform-wide idempotency protocol.</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Queue synchronization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Derive durable projections from domain events.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Bilingual MPI seed content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as seed</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Externalize configurable templates and full localization.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Tests around boundary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Migrate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Make them executable against ephemeral PostgreSQL in CI.</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3,279-line service coordinator</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 incrementally</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Split by bounded context/use case; delete only after behavioral parity.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 JWT/step-up trust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Use an enterprise identity provider and verified assurance context.</w:t>
            </w:r>
          </w:p>
        </w:tc>
      </w:tr>
    </w:tbl>
    <w:p>
      <w:pPr>
        <w:spacing w:after="0"/>
      </w:pPr>
    </w:p>
    <w:p>
      <w:pPr>
        <w:pStyle w:val="Heading2"/>
      </w:pPr>
      <w:r>
        <w:t>3.4 Maturity score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20"/>
        <w:gridCol w:w="1300"/>
        <w:gridCol w:w="4840"/>
      </w:tblGrid>
      <w:tr>
        <w:trPr>
          <w:cantSplit/>
          <w:tblHeader w:val="true"/>
        </w:trPr>
        <w:tc>
          <w:tcPr>
            <w:tcW w:type="dxa" w:w="322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1300"/>
            <w:tcMar>
              <w:top w:w="80" w:type="dxa"/>
              <w:start w:w="120" w:type="dxa"/>
              <w:bottom w:w="80" w:type="dxa"/>
              <w:end w:w="120" w:type="dxa"/>
            </w:tcMar>
            <w:shd w:fill="F2F4F7"/>
            <w:vAlign w:val="center"/>
          </w:tcPr>
          <w:p>
            <w:pPr>
              <w:keepNext/>
              <w:spacing w:after="0"/>
            </w:pPr>
            <w:r>
              <w:rPr>
                <w:rFonts w:ascii="Calibri" w:hAnsi="Calibri"/>
                <w:b/>
                <w:color w:val="0B2545"/>
                <w:sz w:val="17"/>
              </w:rPr>
              <w:t>Score / 5</w:t>
            </w:r>
          </w:p>
        </w:tc>
        <w:tc>
          <w:tcPr>
            <w:tcW w:type="dxa" w:w="484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domain thoughtfulness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3.5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Several nontrivial invariants and workflows are modeled.</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Overall dealership product completeness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0.5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Only one vertical slice; no client application.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evolvability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Clear routes/service/domain shape, but extreme service concentration and weak contracts.</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and security posture</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Good query intent; app-only isolation and custom identity are insufficient.</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Data integrity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Transactional work exists; cross-tenant FKs, JSONB placeholders, and migration drift remain.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 and reliability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1.0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Single-host compose, no HA/DR/SLO/release system.</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Automated verification</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Useful tests exist; database and product-level gates are not continuously proven.</w:t>
            </w:r>
          </w:p>
        </w:tc>
      </w:tr>
    </w:tbl>
    <w:p>
      <w:pPr>
        <w:spacing w:after="0"/>
      </w:pPr>
    </w:p>
    <w:p>
      <w:r>
        <w:br w:type="page"/>
      </w:r>
    </w:p>
    <w:p>
      <w:pPr>
        <w:pStyle w:val="Heading1"/>
      </w:pPr>
      <w:r>
        <w:t>4. Findings and Immediate Risks</w:t>
      </w:r>
    </w:p>
    <w:p>
      <w:pPr>
        <w:pStyle w:val="Heading2"/>
      </w:pPr>
      <w:r>
        <w:t>4.1 Critical functional gaps in the existing slice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650"/>
        <w:gridCol w:w="900"/>
        <w:gridCol w:w="2210"/>
        <w:gridCol w:w="5600"/>
      </w:tblGrid>
      <w:tr>
        <w:trPr>
          <w:cantSplit/>
          <w:tblHeader w:val="true"/>
        </w:trPr>
        <w:tc>
          <w:tcPr>
            <w:tcW w:type="dxa" w:w="650"/>
            <w:tcMar>
              <w:top w:w="80" w:type="dxa"/>
              <w:start w:w="120" w:type="dxa"/>
              <w:bottom w:w="80" w:type="dxa"/>
              <w:end w:w="120" w:type="dxa"/>
            </w:tcMar>
            <w:shd w:fill="FCE8E6"/>
            <w:vAlign w:val="center"/>
          </w:tcPr>
          <w:p>
            <w:pPr>
              <w:keepNext/>
              <w:spacing w:after="0"/>
            </w:pPr>
            <w:r>
              <w:rPr>
                <w:rFonts w:ascii="Calibri" w:hAnsi="Calibri"/>
                <w:b/>
                <w:color w:val="0B2545"/>
                <w:sz w:val="15"/>
              </w:rPr>
              <w:t>ID</w:t>
            </w:r>
          </w:p>
        </w:tc>
        <w:tc>
          <w:tcPr>
            <w:tcW w:type="dxa" w:w="900"/>
            <w:tcMar>
              <w:top w:w="80" w:type="dxa"/>
              <w:start w:w="120" w:type="dxa"/>
              <w:bottom w:w="80" w:type="dxa"/>
              <w:end w:w="120" w:type="dxa"/>
            </w:tcMar>
            <w:shd w:fill="FCE8E6"/>
            <w:vAlign w:val="center"/>
          </w:tcPr>
          <w:p>
            <w:pPr>
              <w:keepNext/>
              <w:spacing w:after="0"/>
            </w:pPr>
            <w:r>
              <w:rPr>
                <w:rFonts w:ascii="Calibri" w:hAnsi="Calibri"/>
                <w:b/>
                <w:color w:val="0B2545"/>
                <w:sz w:val="15"/>
              </w:rPr>
              <w:t>Severity</w:t>
            </w:r>
          </w:p>
        </w:tc>
        <w:tc>
          <w:tcPr>
            <w:tcW w:type="dxa" w:w="2210"/>
            <w:tcMar>
              <w:top w:w="80" w:type="dxa"/>
              <w:start w:w="120" w:type="dxa"/>
              <w:bottom w:w="80" w:type="dxa"/>
              <w:end w:w="120" w:type="dxa"/>
            </w:tcMar>
            <w:shd w:fill="FCE8E6"/>
            <w:vAlign w:val="center"/>
          </w:tcPr>
          <w:p>
            <w:pPr>
              <w:keepNext/>
              <w:spacing w:after="0"/>
            </w:pPr>
            <w:r>
              <w:rPr>
                <w:rFonts w:ascii="Calibri" w:hAnsi="Calibri"/>
                <w:b/>
                <w:color w:val="0B2545"/>
                <w:sz w:val="15"/>
              </w:rPr>
              <w:t>Finding</w:t>
            </w:r>
          </w:p>
        </w:tc>
        <w:tc>
          <w:tcPr>
            <w:tcW w:type="dxa" w:w="5600"/>
            <w:tcMar>
              <w:top w:w="80" w:type="dxa"/>
              <w:start w:w="120" w:type="dxa"/>
              <w:bottom w:w="80" w:type="dxa"/>
              <w:end w:w="120" w:type="dxa"/>
            </w:tcMar>
            <w:shd w:fill="FCE8E6"/>
            <w:vAlign w:val="center"/>
          </w:tcPr>
          <w:p>
            <w:pPr>
              <w:keepNext/>
              <w:spacing w:after="0"/>
            </w:pPr>
            <w:r>
              <w:rPr>
                <w:rFonts w:ascii="Calibri" w:hAnsi="Calibri"/>
                <w:b/>
                <w:color w:val="0B2545"/>
                <w:sz w:val="15"/>
              </w:rPr>
              <w:t>Why it matters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RO/appointment mismatch</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creation verifies appointment existence but not compatible status, tenant-business identity, location, customer, or vehicle alignment; it does not atomically convert the appointment.</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Technician attribution</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MPI start can accept another technician user ID. Enforce self-service unless a supervisor acts with an audited override.</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F-03</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Incomplete MPI</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Submission does not enforce template item keys, required photos, completeness, rubric, or duplicate prevention.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F-04</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No financial close gate</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An RO can close without invoice, tax calculation, payment/reconciliation, or accounting posting.</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F-05</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Portal is not a portal</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Portal-task records exist, but there is no customer authentication, signing, payment, secure artifact access, or completion flow.</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F-06</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Advisor-supplied price blobs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typed labor rates, parts markups, discounts, taxes, fees, supplies, split-pay, or rounding policy.</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F-07</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Parts is status-only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SKU ledger, bins, availability, reservation, PO, receipt, transfer, core, return, or reconciliation.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F-08</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Scheduling ignores capacity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skills, bays, technicians, shop calendars, promised capacity, or resource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F-09</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metric is inert</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outcomes are not advanced or linked to authorized line items.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F-10</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Retention action creates a booking</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 first-service offer directly creates a future scheduled appointment, conflating marketing intent with a confirmed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Lifecycle synchronization gaps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Cancellation and closure do not fully unwind or reconcile tickets, time, parts, sublet, payment, and downstream states.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N+1 aggregate read</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detail is assembled with multiple sequential queries and offset pagination; load behavior is unmeasured.</w:t>
            </w:r>
          </w:p>
        </w:tc>
      </w:tr>
    </w:tbl>
    <w:p>
      <w:pPr>
        <w:spacing w:after="0"/>
      </w:pPr>
    </w:p>
    <w:p>
      <w:pPr>
        <w:pStyle w:val="Heading2"/>
      </w:pPr>
      <w:r>
        <w:t>4.2 Platform and security gaps</w:t>
      </w:r>
    </w:p>
    <w:p>
      <w:pPr>
        <w:pStyle w:val="ListBullet"/>
        <w:keepLines/>
      </w:pPr>
      <w:r>
        <w:t>Tenant isolation is a coding convention. Foreign keys reference global UUIDs without tenant-qualified constraints, and PostgreSQL Row-Level Security is absent.</w:t>
      </w:r>
    </w:p>
    <w:p>
      <w:pPr>
        <w:pStyle w:val="ListBullet"/>
        <w:keepLines/>
      </w:pPr>
      <w:r>
        <w:t>The HS256 JWT verifier lacks issuer, audience, JWKS/key rotation, federated SSO, MFA assurance, session revocation, SCIM, and production reauthentication. Step-up parsing also accepts extra dot-separated segments and lacks a real issuance journey.</w:t>
      </w:r>
    </w:p>
    <w:p>
      <w:pPr>
        <w:pStyle w:val="ListBullet"/>
        <w:keepLines/>
      </w:pPr>
      <w:r>
        <w:t>Metrics and health endpoints are unauthenticated in the app; location identifiers appear in metric labels; cross-tenant aggregation depends on assumed global uniqueness.</w:t>
      </w:r>
    </w:p>
    <w:p>
      <w:pPr>
        <w:pStyle w:val="ListBullet"/>
        <w:keepLines/>
      </w:pPr>
      <w:r>
        <w:t>No rate limiting, WAF contract, CORS policy, standard security headers, request correlation, distributed tracing, secrets manager, key management, or support-access controls are defined.</w:t>
      </w:r>
    </w:p>
    <w:p>
      <w:pPr>
        <w:pStyle w:val="ListBullet"/>
        <w:keepLines/>
      </w:pPr>
      <w:r>
        <w:t>Audit emission after commit is best-effort and lossy. There is no durable transactional outbox, tamper-evident audit chain, or artifact lineage.</w:t>
      </w:r>
    </w:p>
    <w:p>
      <w:pPr>
        <w:pStyle w:val="ListBullet"/>
        <w:keepLines/>
      </w:pPr>
      <w:r>
        <w:t>Migrations are tracked by mutable filenames only—without checksums, a dirty state, advisory locking, compatibility policy, or expand/contract discipline. IF NOT EXISTS can conceal drift.</w:t>
      </w:r>
    </w:p>
    <w:p>
      <w:pPr>
        <w:pStyle w:val="ListBullet"/>
        <w:keepLines/>
      </w:pPr>
      <w:r>
        <w:t>Most input validation is handwritten; no OpenAPI contract, generated SDK, API versioning, Problem Details, webhook policy, or uniform idempotency protocol exists.</w:t>
      </w:r>
    </w:p>
    <w:p>
      <w:pPr>
        <w:pStyle w:val="Heading2"/>
      </w:pPr>
      <w:r>
        <w:t>4.3 Stop-the-line conditions before a pilot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7000"/>
      </w:tblGrid>
      <w:tr>
        <w:trPr>
          <w:cantSplit/>
          <w:tblHeader w:val="true"/>
        </w:trPr>
        <w:tc>
          <w:tcPr>
            <w:tcW w:type="dxa" w:w="2360"/>
            <w:tcMar>
              <w:top w:w="80" w:type="dxa"/>
              <w:start w:w="120" w:type="dxa"/>
              <w:bottom w:w="80" w:type="dxa"/>
              <w:end w:w="120" w:type="dxa"/>
            </w:tcMar>
            <w:shd w:fill="FFF4CE"/>
            <w:vAlign w:val="center"/>
          </w:tcPr>
          <w:p>
            <w:pPr>
              <w:keepNext/>
              <w:spacing w:after="0"/>
            </w:pPr>
            <w:r>
              <w:rPr>
                <w:rFonts w:ascii="Calibri" w:hAnsi="Calibri"/>
                <w:b/>
                <w:color w:val="0B2545"/>
                <w:sz w:val="17"/>
              </w:rPr>
              <w:t>Condition</w:t>
            </w:r>
          </w:p>
        </w:tc>
        <w:tc>
          <w:tcPr>
            <w:tcW w:type="dxa" w:w="7000"/>
            <w:tcMar>
              <w:top w:w="80" w:type="dxa"/>
              <w:start w:w="120" w:type="dxa"/>
              <w:bottom w:w="80" w:type="dxa"/>
              <w:end w:w="120" w:type="dxa"/>
            </w:tcMar>
            <w:shd w:fill="FFF4CE"/>
            <w:vAlign w:val="center"/>
          </w:tcPr>
          <w:p>
            <w:pPr>
              <w:keepNext/>
              <w:spacing w:after="0"/>
            </w:pPr>
            <w:r>
              <w:rPr>
                <w:rFonts w:ascii="Calibri" w:hAnsi="Calibri"/>
                <w:b/>
                <w:color w:val="0B2545"/>
                <w:sz w:val="17"/>
              </w:rPr>
              <w:t>Pilot gate</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escape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Prove RLS, tenant-qualified FKs, negative tests, and support access audit.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authorization</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Bind identity assurance, exact estimate version, signature/evidence artifact, timestamp, and revocation semantics.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Money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Replace JSON price references with deterministic quote/invoice lines, tax/fee policy, currency, rounding, and immutable versions.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close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Require invoice finalization, payment state or approved receivable, and balanced accounting event.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identity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Use OIDC/SAML and MFA; remove locally trusted enterprise JWT assumptions.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Run every migration and rollback/forward recovery path in ephemeral and restored production-like databases.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Data recovery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Demonstrate point-in-time restore and tenant export before handling live dealer data.</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communications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 consent, templates, delivery receipts, suppression, retries, and audit evidence.</w:t>
            </w:r>
          </w:p>
        </w:tc>
      </w:tr>
    </w:tbl>
    <w:p>
      <w:pPr>
        <w:spacing w:after="0"/>
      </w:pPr>
    </w:p>
    <w:p>
      <w:r>
        <w:br w:type="page"/>
      </w:r>
    </w:p>
    <w:p>
      <w:pPr>
        <w:pStyle w:val="Heading1"/>
      </w:pPr>
      <w:r>
        <w:t>5. Product Strategy and Market Bar</w:t>
      </w:r>
    </w:p>
    <w:p>
      <w:pPr>
        <w:pStyle w:val="Heading2"/>
      </w:pPr>
      <w:r>
        <w:t>5.1 Competitive baseline</w:t>
      </w:r>
    </w:p>
    <w:p>
      <w:pPr>
        <w:spacing w:before="0" w:after="120" w:line="264" w:lineRule="auto"/>
      </w:pPr>
      <w:r>
        <w:rPr>
          <w:rFonts w:ascii="Calibri" w:hAnsi="Calibri"/>
          <w:b w:val="0"/>
          <w:i w:val="0"/>
          <w:color w:val="1F2328"/>
        </w:rPr>
        <w:t>Current market leaders frame the dealership platform as an integrated operating system rather than a service scheduler. Tekion markets unified DMS, CRM, digital retail, service, payments, payroll, and AI; CDK spans digital retail, CRM, F&amp;I, DMS, fixed ops, and intelligence; Dealertrack connects DMS, F&amp;I, lenders, eContracting, and title/registration; Reynolds and Auto/Mate emphasize a single connected customer/vehicle/transaction record; Fortellis demonstrates that an API ecosystem is itself a strategic capability. [M1–M9]</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10"/>
        <w:gridCol w:w="3520"/>
        <w:gridCol w:w="3530"/>
      </w:tblGrid>
      <w:tr>
        <w:trPr>
          <w:cantSplit/>
          <w:tblHeader w:val="true"/>
        </w:trPr>
        <w:tc>
          <w:tcPr>
            <w:tcW w:type="dxa" w:w="2310"/>
            <w:tcMar>
              <w:top w:w="80" w:type="dxa"/>
              <w:start w:w="120" w:type="dxa"/>
              <w:bottom w:w="80" w:type="dxa"/>
              <w:end w:w="120" w:type="dxa"/>
            </w:tcMar>
            <w:shd w:fill="F2F4F7"/>
            <w:vAlign w:val="center"/>
          </w:tcPr>
          <w:p>
            <w:pPr>
              <w:keepNext/>
              <w:spacing w:after="0"/>
            </w:pPr>
            <w:r>
              <w:rPr>
                <w:rFonts w:ascii="Calibri" w:hAnsi="Calibri"/>
                <w:b/>
                <w:color w:val="0B2545"/>
                <w:sz w:val="16"/>
              </w:rPr>
              <w:t>Market expectation</w:t>
            </w:r>
          </w:p>
        </w:tc>
        <w:tc>
          <w:tcPr>
            <w:tcW w:type="dxa" w:w="3520"/>
            <w:tcMar>
              <w:top w:w="80" w:type="dxa"/>
              <w:start w:w="120" w:type="dxa"/>
              <w:bottom w:w="80" w:type="dxa"/>
              <w:end w:w="120" w:type="dxa"/>
            </w:tcMar>
            <w:shd w:fill="F2F4F7"/>
            <w:vAlign w:val="center"/>
          </w:tcPr>
          <w:p>
            <w:pPr>
              <w:keepNext/>
              <w:spacing w:after="0"/>
            </w:pPr>
            <w:r>
              <w:rPr>
                <w:rFonts w:ascii="Calibri" w:hAnsi="Calibri"/>
                <w:b/>
                <w:color w:val="0B2545"/>
                <w:sz w:val="16"/>
              </w:rPr>
              <w:t>Minimum credible capability</w:t>
            </w:r>
          </w:p>
        </w:tc>
        <w:tc>
          <w:tcPr>
            <w:tcW w:type="dxa" w:w="3530"/>
            <w:tcMar>
              <w:top w:w="80" w:type="dxa"/>
              <w:start w:w="120" w:type="dxa"/>
              <w:bottom w:w="80" w:type="dxa"/>
              <w:end w:w="120" w:type="dxa"/>
            </w:tcMar>
            <w:shd w:fill="F2F4F7"/>
            <w:vAlign w:val="center"/>
          </w:tcPr>
          <w:p>
            <w:pPr>
              <w:keepNext/>
              <w:spacing w:after="0"/>
            </w:pPr>
            <w:r>
              <w:rPr>
                <w:rFonts w:ascii="Calibri" w:hAnsi="Calibri"/>
                <w:b/>
                <w:color w:val="0B2545"/>
                <w:sz w:val="16"/>
              </w:rPr>
              <w:t>Opportunity to exceed</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Unified dealership truth</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vehicle, inventory, lead, deal, RO, document, and financial identities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Temporal graph with explainable merges and cross-rooftop permissions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End-to-end journeys</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Vehicle-to-retail and lead-to-delivery without rekeying</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orchestration, proactive exception handling, and collaborative customer journeys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Multi-rooftop operation</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Shared services, role scopes, rollups, location-local rules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Group optimization and benchmark recommendations with strict privacy</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Open ecosystem</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Documented APIs, webhooks, certified integrations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Self-service developer portal, sandbox, observability, revenue share, and data contracts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trust</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Cashiering, subledgers, GL, controls, reconciliation</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Real-time operational-to-financial traceability and continuous close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Security/compliance</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MFA, audit, retention, privacy, payment/credit controls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Evidence-by-design and continuously tested control posture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AI</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Assistance and insights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explainable agents operating only within policy and approval boundaries</w:t>
            </w:r>
          </w:p>
        </w:tc>
      </w:tr>
    </w:tbl>
    <w:p>
      <w:pPr>
        <w:spacing w:after="0"/>
      </w:pPr>
    </w:p>
    <w:p>
      <w:pPr>
        <w:pStyle w:val="Heading2"/>
      </w:pPr>
      <w:r>
        <w:t>5.2 Recommended commercial sequence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80"/>
        <w:gridCol w:w="3040"/>
        <w:gridCol w:w="4540"/>
      </w:tblGrid>
      <w:tr>
        <w:trPr>
          <w:cantSplit/>
          <w:tblHeader w:val="true"/>
        </w:trPr>
        <w:tc>
          <w:tcPr>
            <w:tcW w:type="dxa" w:w="1780"/>
            <w:tcMar>
              <w:top w:w="80" w:type="dxa"/>
              <w:start w:w="120" w:type="dxa"/>
              <w:bottom w:w="80" w:type="dxa"/>
              <w:end w:w="120" w:type="dxa"/>
            </w:tcMar>
            <w:shd w:fill="F2F4F7"/>
            <w:vAlign w:val="center"/>
          </w:tcPr>
          <w:p>
            <w:pPr>
              <w:keepNext/>
              <w:spacing w:after="0"/>
            </w:pPr>
            <w:r>
              <w:rPr>
                <w:rFonts w:ascii="Calibri" w:hAnsi="Calibri"/>
                <w:b/>
                <w:color w:val="0B2545"/>
                <w:sz w:val="17"/>
              </w:rPr>
              <w:t>Release</w:t>
            </w:r>
          </w:p>
        </w:tc>
        <w:tc>
          <w:tcPr>
            <w:tcW w:type="dxa" w:w="3040"/>
            <w:tcMar>
              <w:top w:w="80" w:type="dxa"/>
              <w:start w:w="120" w:type="dxa"/>
              <w:bottom w:w="80" w:type="dxa"/>
              <w:end w:w="120" w:type="dxa"/>
            </w:tcMar>
            <w:shd w:fill="F2F4F7"/>
            <w:vAlign w:val="center"/>
          </w:tcPr>
          <w:p>
            <w:pPr>
              <w:keepNext/>
              <w:spacing w:after="0"/>
            </w:pPr>
            <w:r>
              <w:rPr>
                <w:rFonts w:ascii="Calibri" w:hAnsi="Calibri"/>
                <w:b/>
                <w:color w:val="0B2545"/>
                <w:sz w:val="17"/>
              </w:rPr>
              <w:t>Product promise</w:t>
            </w:r>
          </w:p>
        </w:tc>
        <w:tc>
          <w:tcPr>
            <w:tcW w:type="dxa" w:w="4540"/>
            <w:tcMar>
              <w:top w:w="80" w:type="dxa"/>
              <w:start w:w="120" w:type="dxa"/>
              <w:bottom w:w="80" w:type="dxa"/>
              <w:end w:w="120" w:type="dxa"/>
            </w:tcMar>
            <w:shd w:fill="F2F4F7"/>
            <w:vAlign w:val="center"/>
          </w:tcPr>
          <w:p>
            <w:pPr>
              <w:keepNext/>
              <w:spacing w:after="0"/>
            </w:pPr>
            <w:r>
              <w:rPr>
                <w:rFonts w:ascii="Calibri" w:hAnsi="Calibri"/>
                <w:b/>
                <w:color w:val="0B2545"/>
                <w:sz w:val="17"/>
              </w:rPr>
              <w:t>Included outcome</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V1 — Management &amp; Sales Cloud</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Run vehicle acquisition-to-delivery and lead-to-sale without rekeying</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administration, customer and vehicle master, inventory, merchandising, CRM/BDC, marketing, showroom, appraisal, desking, digital retail, deal jacket, F&amp;I coordination, payment, delivery, reporting</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V2 — Enterprise Management DMS</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Operate and financially control a multi-rooftop group</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dealership accounting, consolidated controls, shared services, expanded OEM/lender/title/tax integrations, migration factory, partner ecosystem</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V3 — Governed Intelligence &amp; Optional Modules</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Optimize the dealership within human-approved policy</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Governed AI, partner marketplace, advanced forecasting, and only separately authorized modules; Fixed Ops remains deferred to FBL-300+</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Product thesis</w:t>
            </w:r>
          </w:p>
          <w:p>
            <w:pPr>
              <w:spacing w:after="0" w:line="264" w:lineRule="auto"/>
            </w:pPr>
            <w:r>
              <w:rPr>
                <w:rFonts w:ascii="Calibri" w:hAnsi="Calibri"/>
                <w:color w:val="1F2328"/>
                <w:sz w:val="21"/>
              </w:rPr>
              <w:t>Win first by giving owners and sales managers one operational truth from vehicle acquisition and merchandising through marketing attribution, lead handling, approved deal, funding coordination, delivery, and performance reporting. Preserve one customer, vehicle, stock, lead, deal, document, and financial identity across every rooftop.</w:t>
            </w:r>
          </w:p>
        </w:tc>
      </w:tr>
    </w:tbl>
    <w:p>
      <w:pPr>
        <w:spacing w:after="0"/>
      </w:pPr>
    </w:p>
    <w:p>
      <w:pPr>
        <w:pStyle w:val="Heading2"/>
      </w:pPr>
      <w:r>
        <w:t>5.3 Build versus integrate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680"/>
        <w:gridCol w:w="4680"/>
      </w:tblGrid>
      <w:tr>
        <w:trPr>
          <w:cantSplit/>
          <w:tblHeader w:val="true"/>
        </w:trPr>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Own and differentiate</w:t>
            </w:r>
          </w:p>
        </w:tc>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Integrate through certified providers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Canonical customer/vehicle/stock/lead/deal identities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bureaus, lender networks, and adverse-action delivery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Cross-department workflow and exception management</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eContracting, identity verification, e-sign, DMV/title/registration</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Pricing policy, quote/deal versions, approval evidence</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VIN/build data, valuation, marketplaces, OEM incentives and listing feeds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policy, audit, analytics, and permissions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Payment processing, bank connectivity, sales/use tax, Form 8300 filing support</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and financial ledgers tied to operations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SMS/voice/email transport and deliverability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Dealership-specific copilot with evidence and approvals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Payroll, benefits, background services, broad ERP exports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Integration control plane, contracts, health, replay</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Commodity infrastructure services where managed offerings reduce risk</w:t>
            </w:r>
          </w:p>
        </w:tc>
      </w:tr>
    </w:tbl>
    <w:p>
      <w:pPr>
        <w:spacing w:after="0"/>
      </w:pPr>
    </w:p>
    <w:p>
      <w:r>
        <w:br w:type="page"/>
      </w:r>
    </w:p>
    <w:p>
      <w:pPr>
        <w:pStyle w:val="Heading1"/>
      </w:pPr>
      <w:r>
        <w:t>6. Target Architecture</w:t>
      </w:r>
    </w:p>
    <w:p>
      <w:pPr>
        <w:pStyle w:val="Heading2"/>
      </w:pPr>
      <w:r>
        <w:t>6.1 Architecture principles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2200"/>
        <w:gridCol w:w="646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6"/>
              </w:rPr>
              <w:t>ID</w:t>
            </w:r>
          </w:p>
        </w:tc>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6"/>
              </w:rPr>
              <w:t>Principle</w:t>
            </w:r>
          </w:p>
        </w:tc>
        <w:tc>
          <w:tcPr>
            <w:tcW w:type="dxa" w:w="6460"/>
            <w:tcMar>
              <w:top w:w="80" w:type="dxa"/>
              <w:start w:w="120" w:type="dxa"/>
              <w:bottom w:w="80" w:type="dxa"/>
              <w:end w:w="120" w:type="dxa"/>
            </w:tcMar>
            <w:shd w:fill="F2F4F7"/>
            <w:vAlign w:val="center"/>
          </w:tcPr>
          <w:p>
            <w:pPr>
              <w:keepNext/>
              <w:spacing w:after="0"/>
            </w:pPr>
            <w:r>
              <w:rPr>
                <w:rFonts w:ascii="Calibri" w:hAnsi="Calibri"/>
                <w:b/>
                <w:color w:val="0B2545"/>
                <w:sz w:val="16"/>
              </w:rPr>
              <w:t>Binding consequence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One dealership graph</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Every workflow references canonical party, vehicle, organizational, and financial identities.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P2</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Tenant boundary in the database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checks are defense in depth, never the only boundary.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P3</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Strong internal module boundaries, explicit ports, and events; extract by evidence.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P4</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Immutable business versions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Quotes, estimates, deals, signatures, invoices, contracts, and postings are versioned facts.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P5</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Ledgers for quantity and money</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time, cash, AR/AP, and GL changes are append-only movements with corrections.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P6</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edges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event schemas, idempotency, compatibility, and generated clients are release gates.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P7</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Workflows survive failure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Long-running processes are resumable, observable, and compensating—not hidden request chains.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P8</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 is a product feature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Sensitive action records include actor, authority, inputs, version, artifact, and outcome.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P9</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Configuration over forks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Dealer, rooftop, legal-entity, OEM, locale, and plan differences are effective-dated policy.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P10</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AI is bounded</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Models recommend and assist; policy engines and people authorize credit, money, legal, and safety outcomes.</w:t>
            </w:r>
          </w:p>
        </w:tc>
      </w:tr>
    </w:tbl>
    <w:p>
      <w:pPr>
        <w:spacing w:after="0"/>
      </w:pPr>
    </w:p>
    <w:p>
      <w:pPr>
        <w:pStyle w:val="Heading2"/>
      </w:pPr>
      <w:r>
        <w:t>6.2 Logical deployment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400"/>
        <w:gridCol w:w="4500"/>
        <w:gridCol w:w="3460"/>
      </w:tblGrid>
      <w:tr>
        <w:trPr>
          <w:cantSplit/>
          <w:tblHeader w:val="true"/>
        </w:trPr>
        <w:tc>
          <w:tcPr>
            <w:tcW w:type="dxa" w:w="140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500"/>
            <w:tcMar>
              <w:top w:w="80" w:type="dxa"/>
              <w:start w:w="120" w:type="dxa"/>
              <w:bottom w:w="80" w:type="dxa"/>
              <w:end w:w="120" w:type="dxa"/>
            </w:tcMar>
            <w:shd w:fill="F2F4F7"/>
            <w:vAlign w:val="center"/>
          </w:tcPr>
          <w:p>
            <w:pPr>
              <w:keepNext/>
              <w:spacing w:after="0"/>
            </w:pPr>
            <w:r>
              <w:rPr>
                <w:rFonts w:ascii="Calibri" w:hAnsi="Calibri"/>
                <w:b/>
                <w:color w:val="0B2545"/>
                <w:sz w:val="16"/>
              </w:rPr>
              <w:t>Components</w:t>
            </w:r>
          </w:p>
        </w:tc>
        <w:tc>
          <w:tcPr>
            <w:tcW w:type="dxa" w:w="3460"/>
            <w:tcMar>
              <w:top w:w="80" w:type="dxa"/>
              <w:start w:w="120" w:type="dxa"/>
              <w:bottom w:w="80" w:type="dxa"/>
              <w:end w:w="120" w:type="dxa"/>
            </w:tcMar>
            <w:shd w:fill="F2F4F7"/>
            <w:vAlign w:val="center"/>
          </w:tcPr>
          <w:p>
            <w:pPr>
              <w:keepNext/>
              <w:spacing w:after="0"/>
            </w:pPr>
            <w:r>
              <w:rPr>
                <w:rFonts w:ascii="Calibri" w:hAnsi="Calibri"/>
                <w:b/>
                <w:color w:val="0B2545"/>
                <w:sz w:val="16"/>
              </w:rPr>
              <w:t>Rule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Experience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web, inventory mobile, CRM/sales mobile, customer portal/digital retail, admin/support, developer portal</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Role- and journey-specific shells; shared design system and generated API clients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Edge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CDN/WAF, API gateway, identity broker, rate limit, request signing, tenant routing</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 rules; enforce trust boundary and observability</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core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Versioned modular monolith containing platform kernel and dealership contexts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One deployable initially; module imports enforced; no cross-module table writes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Workers</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timers, communications, documents, integration delivery, search indexing, analytics export</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Consume durable outbox; idempotent; replayable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Redis, object storage, search index, analytical warehouse/lakehouse</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is transaction truth; derived stores rebuild from events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 ecosystem</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OEM, lender, bureau, tax, payment, DMV/title, marketplaces, communications, accounting exports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Adapters behind versioned ports; health, replay, and reconciliation are first-class</w:t>
            </w:r>
          </w:p>
        </w:tc>
      </w:tr>
    </w:tbl>
    <w:p>
      <w:pPr>
        <w:spacing w:after="0"/>
      </w:pPr>
    </w:p>
    <w:p>
      <w:pPr>
        <w:pStyle w:val="Heading2"/>
      </w:pPr>
      <w:r>
        <w:t>6.3 Why not microservices now</w:t>
      </w:r>
    </w:p>
    <w:p>
      <w:pPr>
        <w:spacing w:before="0" w:after="120" w:line="264" w:lineRule="auto"/>
      </w:pPr>
      <w:r>
        <w:rPr>
          <w:rFonts w:ascii="Calibri" w:hAnsi="Calibri"/>
          <w:b w:val="0"/>
          <w:i w:val="0"/>
          <w:color w:val="1F2328"/>
        </w:rPr>
        <w:t>The product needs domain discovery and consistent transaction boundaries more than independent deployments. Premature services would add distributed failures, duplicated identity, event drift, and support burden before the team has stable ownership. The modular monolith must still enforce extraction-ready seams.</w:t>
      </w:r>
    </w:p>
    <w:p>
      <w:pPr>
        <w:pStyle w:val="ListBullet"/>
        <w:keepLines/>
      </w:pPr>
      <w:r>
        <w:t>Each module owns its tables, commands, queries, policies, and published events.</w:t>
      </w:r>
    </w:p>
    <w:p>
      <w:pPr>
        <w:pStyle w:val="ListBullet"/>
        <w:keepLines/>
      </w:pPr>
      <w:r>
        <w:t>Cross-module reads use published query interfaces or projections; cross-module writes use commands/events.</w:t>
      </w:r>
    </w:p>
    <w:p>
      <w:pPr>
        <w:pStyle w:val="ListBullet"/>
        <w:keepLines/>
      </w:pPr>
      <w:r>
        <w:t>No module may import another module’s database repository.</w:t>
      </w:r>
    </w:p>
    <w:p>
      <w:pPr>
        <w:pStyle w:val="ListBullet"/>
        <w:keepLines/>
      </w:pPr>
      <w:r>
        <w:t>Outbox schemas and external API contracts are versioned from day one.</w:t>
      </w:r>
    </w:p>
    <w:p>
      <w:pPr>
        <w:pStyle w:val="ListBullet"/>
        <w:keepLines/>
      </w:pPr>
      <w:r>
        <w:t>Extract only when a module has independent scale, availability, regulatory isolation, or team ownership—and an observed problem that extraction solves.</w:t>
      </w:r>
    </w:p>
    <w:p>
      <w:pPr>
        <w:pStyle w:val="Heading2"/>
      </w:pPr>
      <w:r>
        <w:t>6.4 Recommended technology baseline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00"/>
        <w:gridCol w:w="5000"/>
        <w:gridCol w:w="2760"/>
      </w:tblGrid>
      <w:tr>
        <w:trPr>
          <w:cantSplit/>
          <w:tblHeader w:val="true"/>
        </w:trPr>
        <w:tc>
          <w:tcPr>
            <w:tcW w:type="dxa" w:w="1600"/>
            <w:tcMar>
              <w:top w:w="80" w:type="dxa"/>
              <w:start w:w="120" w:type="dxa"/>
              <w:bottom w:w="80" w:type="dxa"/>
              <w:end w:w="120" w:type="dxa"/>
            </w:tcMar>
            <w:shd w:fill="F2F4F7"/>
            <w:vAlign w:val="center"/>
          </w:tcPr>
          <w:p>
            <w:pPr>
              <w:keepNext/>
              <w:spacing w:after="0"/>
            </w:pPr>
            <w:r>
              <w:rPr>
                <w:rFonts w:ascii="Calibri" w:hAnsi="Calibri"/>
                <w:b/>
                <w:color w:val="0B2545"/>
                <w:sz w:val="15"/>
              </w:rPr>
              <w:t>Concern</w:t>
            </w:r>
          </w:p>
        </w:tc>
        <w:tc>
          <w:tcPr>
            <w:tcW w:type="dxa" w:w="5000"/>
            <w:tcMar>
              <w:top w:w="80" w:type="dxa"/>
              <w:start w:w="120" w:type="dxa"/>
              <w:bottom w:w="80" w:type="dxa"/>
              <w:end w:w="120" w:type="dxa"/>
            </w:tcMar>
            <w:shd w:fill="F2F4F7"/>
            <w:vAlign w:val="center"/>
          </w:tcPr>
          <w:p>
            <w:pPr>
              <w:keepNext/>
              <w:spacing w:after="0"/>
            </w:pPr>
            <w:r>
              <w:rPr>
                <w:rFonts w:ascii="Calibri" w:hAnsi="Calibri"/>
                <w:b/>
                <w:color w:val="0B2545"/>
                <w:sz w:val="15"/>
              </w:rPr>
              <w:t>Baseline</w:t>
            </w:r>
          </w:p>
        </w:tc>
        <w:tc>
          <w:tcPr>
            <w:tcW w:type="dxa" w:w="2760"/>
            <w:tcMar>
              <w:top w:w="80" w:type="dxa"/>
              <w:start w:w="120" w:type="dxa"/>
              <w:bottom w:w="80" w:type="dxa"/>
              <w:end w:w="120" w:type="dxa"/>
            </w:tcMar>
            <w:shd w:fill="F2F4F7"/>
            <w:vAlign w:val="center"/>
          </w:tcPr>
          <w:p>
            <w:pPr>
              <w:keepNext/>
              <w:spacing w:after="0"/>
            </w:pPr>
            <w:r>
              <w:rPr>
                <w:rFonts w:ascii="Calibri" w:hAnsi="Calibri"/>
                <w:b/>
                <w:color w:val="0B2545"/>
                <w:sz w:val="15"/>
              </w:rPr>
              <w:t>Decision note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Repository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TypeScript monorepo with apps/web, apps/api, apps/workers, packages/contracts, packages/domain, packages/ui, infra</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Keep language continuity; enforce boundaries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API</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Node LTS + TypeScript strict mode; Fastify or disciplined Express; Zod/TypeBox; OpenAPI 3.1</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 not rewrite solely for framework fashion</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Database</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PostgreSQL with RLS, PITR, read replicas as needed; PgBouncer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Transaction system of record</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Async</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 outbox + managed queue initially; Kafka only when throughput/ecosystem justifies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Avoid dual-write loss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Cache/idempotency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Redis with explicit TTL and eviction policy</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Never authoritative for business truth</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Artifacts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Versioned encrypted object storage with malware scan and legal holds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Documents/photos/signatures are referenced evidence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Search</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PostgreSQL first; managed OpenSearch when relevance/scale is proven</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and rebuildable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CDC/event-fed warehouse with semantic metrics layer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No reporting queries against OLTP at scale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Cloud</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containers, IaC, private networking, KMS/secrets, multi-AZ</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choice is secondary to control objectives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Delivery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Trunk-based CI, preview environments, signed images/SBOM, progressive deployment</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Every release produces evidence</w:t>
            </w:r>
          </w:p>
        </w:tc>
      </w:tr>
    </w:tbl>
    <w:p>
      <w:pPr>
        <w:spacing w:after="0"/>
      </w:pPr>
    </w:p>
    <w:p>
      <w:r>
        <w:br w:type="page"/>
      </w:r>
    </w:p>
    <w:p>
      <w:pPr>
        <w:pStyle w:val="Heading1"/>
      </w:pPr>
      <w:r>
        <w:t>7. Platform Kernel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90"/>
        <w:gridCol w:w="4700"/>
        <w:gridCol w:w="2870"/>
      </w:tblGrid>
      <w:tr>
        <w:trPr>
          <w:cantSplit/>
          <w:tblHeader w:val="true"/>
        </w:trPr>
        <w:tc>
          <w:tcPr>
            <w:tcW w:type="dxa" w:w="1790"/>
            <w:tcMar>
              <w:top w:w="80" w:type="dxa"/>
              <w:start w:w="120" w:type="dxa"/>
              <w:bottom w:w="80" w:type="dxa"/>
              <w:end w:w="120" w:type="dxa"/>
            </w:tcMar>
            <w:shd w:fill="F2F4F7"/>
            <w:vAlign w:val="center"/>
          </w:tcPr>
          <w:p>
            <w:pPr>
              <w:keepNext/>
              <w:spacing w:after="0"/>
            </w:pPr>
            <w:r>
              <w:rPr>
                <w:rFonts w:ascii="Calibri" w:hAnsi="Calibri"/>
                <w:b/>
                <w:color w:val="0B2545"/>
                <w:sz w:val="15"/>
              </w:rPr>
              <w:t>Kernel module</w:t>
            </w:r>
          </w:p>
        </w:tc>
        <w:tc>
          <w:tcPr>
            <w:tcW w:type="dxa" w:w="4700"/>
            <w:tcMar>
              <w:top w:w="80" w:type="dxa"/>
              <w:start w:w="120" w:type="dxa"/>
              <w:bottom w:w="80" w:type="dxa"/>
              <w:end w:w="120" w:type="dxa"/>
            </w:tcMar>
            <w:shd w:fill="F2F4F7"/>
            <w:vAlign w:val="center"/>
          </w:tcPr>
          <w:p>
            <w:pPr>
              <w:keepNext/>
              <w:spacing w:after="0"/>
            </w:pPr>
            <w:r>
              <w:rPr>
                <w:rFonts w:ascii="Calibri" w:hAnsi="Calibri"/>
                <w:b/>
                <w:color w:val="0B2545"/>
                <w:sz w:val="15"/>
              </w:rPr>
              <w:t>Responsibilities</w:t>
            </w:r>
          </w:p>
        </w:tc>
        <w:tc>
          <w:tcPr>
            <w:tcW w:type="dxa" w:w="2870"/>
            <w:tcMar>
              <w:top w:w="80" w:type="dxa"/>
              <w:start w:w="120" w:type="dxa"/>
              <w:bottom w:w="80" w:type="dxa"/>
              <w:end w:w="120" w:type="dxa"/>
            </w:tcMar>
            <w:shd w:fill="F2F4F7"/>
            <w:vAlign w:val="center"/>
          </w:tcPr>
          <w:p>
            <w:pPr>
              <w:keepNext/>
              <w:spacing w:after="0"/>
            </w:pPr>
            <w:r>
              <w:rPr>
                <w:rFonts w:ascii="Calibri" w:hAnsi="Calibri"/>
                <w:b/>
                <w:color w:val="0B2545"/>
                <w:sz w:val="15"/>
              </w:rPr>
              <w:t>Non-negotiable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Organization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Tenant, dealer group, legal entity, rooftop, department, cost center, business calendar, timezone, locale</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business record carries immutable tenant plus scoped organization keys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&amp; access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OIDC/SAML, MFA/passkeys, SCIM, sessions, devices, roles, ABAC policies, delegated administration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Assurance and purpose included in sensitive decisions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Entitlements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Plans, features, limits, usage meters, trials, overrides, invoices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SaaS commercial control plane, separate from dealership accounting</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Configuration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Effective-dated rules, templates, numbering, rates, taxes, OEM/location overrides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Typed schema, validation, approval, simulation, rollback</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Workflow</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Long-running process state, timers, retries, compensation, human tasks, SLA</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Observable and restartable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Audit &amp; evidence</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Append-only audit, evidence envelopes, artifact hashes, policy decision, actor/session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Tamper-evident storage and export</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 &amp; e-sign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Templates, render, version, package, signature, retention, legal hold</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No opaque evidence_refs JSON</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Communications &amp; consent</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Channel preferences, consent purpose, templates, campaigns, delivery/reply events, suppression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TCPA/CAN-SPAM and customer experience controls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hub</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Connections, credentials, mappings, jobs, webhooks, replay, reconciliation, partner SLAs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Adapters never leak provider shapes into core domains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Observability</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Request/trace IDs, structured logs, metrics, traces, audit correlation, SLOs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Tenant-safe telemetry with cardinality budgets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&amp; operations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cases, approved impersonation, data export, tenant health, migration controls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privileged support action is justified and audited</w:t>
            </w:r>
          </w:p>
        </w:tc>
      </w:tr>
    </w:tbl>
    <w:p>
      <w:pPr>
        <w:spacing w:after="0"/>
      </w:pPr>
    </w:p>
    <w:p>
      <w:pPr>
        <w:pStyle w:val="Heading2"/>
      </w:pPr>
      <w:r>
        <w:t>7.1 Tenant isolation model</w:t>
      </w:r>
    </w:p>
    <w:p>
      <w:pPr>
        <w:pStyle w:val="ListBullet"/>
        <w:keepLines/>
      </w:pPr>
      <w:r>
        <w:t>Set tenant context on every database transaction using a server-controlled session variable; never accept it from request payloads.</w:t>
      </w:r>
    </w:p>
    <w:p>
      <w:pPr>
        <w:pStyle w:val="ListBullet"/>
        <w:keepLines/>
      </w:pPr>
      <w:r>
        <w:t>Enable PostgreSQL RLS on all tenant-owned tables with deny-by-default policies.</w:t>
      </w:r>
    </w:p>
    <w:p>
      <w:pPr>
        <w:pStyle w:val="ListBullet"/>
        <w:keepLines/>
      </w:pPr>
      <w:r>
        <w:t>Use composite keys and foreign keys that include tenant_id so a child cannot reference another tenant’s parent—even through direct SQL.</w:t>
      </w:r>
    </w:p>
    <w:p>
      <w:pPr>
        <w:pStyle w:val="ListBullet"/>
        <w:keepLines/>
      </w:pPr>
      <w:r>
        <w:t>Partition operational roles by tenant, legal entity, rooftop, department, resource, and action; layer attributes for amount thresholds and sensitive purposes.</w:t>
      </w:r>
    </w:p>
    <w:p>
      <w:pPr>
        <w:pStyle w:val="ListBullet"/>
        <w:keepLines/>
      </w:pPr>
      <w:r>
        <w:t>Run automated tenant-escape mutation tests that remove application predicates and prove the database still denies access.</w:t>
      </w:r>
    </w:p>
    <w:p>
      <w:pPr>
        <w:pStyle w:val="ListBullet"/>
        <w:keepLines/>
      </w:pPr>
      <w:r>
        <w:t>Keep support access outside ordinary dealer roles: approval, reason, expiration, visible banner, full audit, and customer-configurable restrictions.</w:t>
      </w:r>
    </w:p>
    <w:p>
      <w:pPr>
        <w:pStyle w:val="Heading2"/>
      </w:pPr>
      <w:r>
        <w:t>7.2 Configuration model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50"/>
        <w:gridCol w:w="3680"/>
        <w:gridCol w:w="3830"/>
      </w:tblGrid>
      <w:tr>
        <w:trPr>
          <w:cantSplit/>
          <w:tblHeader w:val="true"/>
        </w:trPr>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7"/>
              </w:rPr>
              <w:t>Configuration class</w:t>
            </w:r>
          </w:p>
        </w:tc>
        <w:tc>
          <w:tcPr>
            <w:tcW w:type="dxa" w:w="3680"/>
            <w:tcMar>
              <w:top w:w="80" w:type="dxa"/>
              <w:start w:w="120" w:type="dxa"/>
              <w:bottom w:w="80" w:type="dxa"/>
              <w:end w:w="120" w:type="dxa"/>
            </w:tcMar>
            <w:shd w:fill="F2F4F7"/>
            <w:vAlign w:val="center"/>
          </w:tcPr>
          <w:p>
            <w:pPr>
              <w:keepNext/>
              <w:spacing w:after="0"/>
            </w:pPr>
            <w:r>
              <w:rPr>
                <w:rFonts w:ascii="Calibri" w:hAnsi="Calibri"/>
                <w:b/>
                <w:color w:val="0B2545"/>
                <w:sz w:val="17"/>
              </w:rPr>
              <w:t>Examples</w:t>
            </w:r>
          </w:p>
        </w:tc>
        <w:tc>
          <w:tcPr>
            <w:tcW w:type="dxa" w:w="3830"/>
            <w:tcMar>
              <w:top w:w="80" w:type="dxa"/>
              <w:start w:w="120" w:type="dxa"/>
              <w:bottom w:w="80" w:type="dxa"/>
              <w:end w:w="120" w:type="dxa"/>
            </w:tcMar>
            <w:shd w:fill="F2F4F7"/>
            <w:vAlign w:val="center"/>
          </w:tcPr>
          <w:p>
            <w:pPr>
              <w:keepNext/>
              <w:spacing w:after="0"/>
            </w:pPr>
            <w:r>
              <w:rPr>
                <w:rFonts w:ascii="Calibri" w:hAnsi="Calibri"/>
                <w:b/>
                <w:color w:val="0B2545"/>
                <w:sz w:val="17"/>
              </w:rPr>
              <w:t>Rules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Plan, modules, user/rooftop/transaction limits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Control-plane owned; metered; auditable</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Hours, lead-routing rules, inventory locations, showroom schedules, approval limits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Rooftop-effective; simulation before activation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 pricing policy, pack, reserve, commissions, taxes, fees, rounding, account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Four-eyes approval; immutable effective versions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Compliance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Retention, consent, notice templates, risk rules, jurisdiction</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Policy owner and legal basis recorded</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OEM/provider</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Vehicle/build mappings, incentives, listing feeds, lender/title packages, connection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Adapter-specific validation and certification version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Experience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Brand, locale, templates, portal features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Accessible defaults; no code forks</w:t>
            </w:r>
          </w:p>
        </w:tc>
      </w:tr>
    </w:tbl>
    <w:p>
      <w:pPr>
        <w:spacing w:after="0"/>
      </w:pPr>
    </w:p>
    <w:p>
      <w:r>
        <w:br w:type="page"/>
      </w:r>
    </w:p>
    <w:p>
      <w:pPr>
        <w:pStyle w:val="Heading1"/>
      </w:pPr>
      <w:r>
        <w:t>8. Dealership Bounded Contexts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5560"/>
        <w:gridCol w:w="190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Context</w:t>
            </w:r>
          </w:p>
        </w:tc>
        <w:tc>
          <w:tcPr>
            <w:tcW w:type="dxa" w:w="5560"/>
            <w:tcMar>
              <w:top w:w="80" w:type="dxa"/>
              <w:start w:w="120" w:type="dxa"/>
              <w:bottom w:w="80" w:type="dxa"/>
              <w:end w:w="120" w:type="dxa"/>
            </w:tcMar>
            <w:shd w:fill="F2F4F7"/>
            <w:vAlign w:val="center"/>
          </w:tcPr>
          <w:p>
            <w:pPr>
              <w:keepNext/>
              <w:spacing w:after="0"/>
            </w:pPr>
            <w:r>
              <w:rPr>
                <w:rFonts w:ascii="Calibri" w:hAnsi="Calibri"/>
                <w:b/>
                <w:color w:val="0B2545"/>
                <w:sz w:val="15"/>
              </w:rPr>
              <w:t>Owns</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Key relationships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Party / Customer 360</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Person, business, household, contact points, consent, identity match/merge, relationship</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All journeys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Vehicle Master</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VIN, decode/build, ownership, mileage, telematics reference, history</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 sales, service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Stock unit, acquisition, appraisal, trade, recon, location, merchandising, listing, aging</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accounting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CRM / BDC / Marketing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Lead, opportunity, activity, task, campaign, attribution, appointment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demand and revenue attribution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 Desking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Quote, deal scenario, payment, trade, incentives, taxes, approvals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F&amp;I</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Digital Retail</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Customer identity, saved journey, pricing, trade, credit handoff, checkout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orchestration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F&amp;I / Credit</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Application, bureau permission, lender submission/decision, menu, products, contract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Partner-heavy and regulated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 Documents</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Deal version, checklist, document package, signature, funding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Immutable evidence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Title / Registration</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Jurisdiction case, fees, forms, status, exceptions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integrations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Fixed Operations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Inherited appointment, RO, DVI, estimate, dispatch and QC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Frozen before FBL-300+</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Service Parts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Inherited and future service-parts catalog/procurement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Frozen before FBL-300+</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Warranty Repair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Potential eligibility, claim, submission and recovery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Requires future authorization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COA, journal, subledgers, AR/AP, cashiering, bank rec, tax, floorplan, consolidation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Balanced immutable postings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Workforce</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Employee/profile, skill, certification, schedule, clock, productivity, payroll export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distinct from HR master</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Compliance / Risk</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Red flags, privacy, sanctions, notices, cash reporting, control evidence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Policy service; counsel-owned rules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 / AI</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Semantic metrics, forecasts, recommendations, evaluation, model/prompt governance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data only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Ecosystem</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 lifecycle, canonical mapping, delivery, replay, certification, marketplace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Contract and reconciliation layer</w:t>
            </w:r>
          </w:p>
        </w:tc>
      </w:tr>
    </w:tbl>
    <w:p>
      <w:pPr>
        <w:spacing w:after="0"/>
      </w:pPr>
    </w:p>
    <w:p>
      <w:pPr>
        <w:pStyle w:val="Heading2"/>
      </w:pPr>
      <w:r>
        <w:t>8.1 Inherited Fixed Operations boundary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3620"/>
        <w:gridCol w:w="364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6"/>
              </w:rPr>
              <w:t>Boundary area</w:t>
            </w:r>
          </w:p>
        </w:tc>
        <w:tc>
          <w:tcPr>
            <w:tcW w:type="dxa" w:w="3620"/>
            <w:tcMar>
              <w:top w:w="80" w:type="dxa"/>
              <w:start w:w="120" w:type="dxa"/>
              <w:bottom w:w="80" w:type="dxa"/>
              <w:end w:w="120" w:type="dxa"/>
            </w:tcMar>
            <w:shd w:fill="F2F4F7"/>
            <w:vAlign w:val="center"/>
          </w:tcPr>
          <w:p>
            <w:pPr>
              <w:keepNext/>
              <w:spacing w:after="0"/>
            </w:pPr>
            <w:r>
              <w:rPr>
                <w:rFonts w:ascii="Calibri" w:hAnsi="Calibri"/>
                <w:b/>
                <w:color w:val="0B2545"/>
                <w:sz w:val="16"/>
              </w:rPr>
              <w:t>Preservation rule</w:t>
            </w:r>
          </w:p>
        </w:tc>
        <w:tc>
          <w:tcPr>
            <w:tcW w:type="dxa" w:w="3640"/>
            <w:tcMar>
              <w:top w:w="80" w:type="dxa"/>
              <w:start w:w="120" w:type="dxa"/>
              <w:bottom w:w="80" w:type="dxa"/>
              <w:end w:w="120" w:type="dxa"/>
            </w:tcMar>
            <w:shd w:fill="F2F4F7"/>
            <w:vAlign w:val="center"/>
          </w:tcPr>
          <w:p>
            <w:pPr>
              <w:keepNext/>
              <w:spacing w:after="0"/>
            </w:pPr>
            <w:r>
              <w:rPr>
                <w:rFonts w:ascii="Calibri" w:hAnsi="Calibri"/>
                <w:b/>
                <w:color w:val="0B2545"/>
                <w:sz w:val="16"/>
              </w:rPr>
              <w:t>Forward-only constraint</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Code and schemas</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current behavior and historical evidence</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enhancement or product expansion before FBL-300+</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Apply shared identity, tenant, authorization, logging and vulnerability corrections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 fixes may cross the boundary only when required for platform safety</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Migrations</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Use forward-only compatibility changes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Never edit accepted migrations or make management modules depend on service tables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Regression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Keep inherited characterization tests green</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A compatibility failure is corrected without reopening commercial scope</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recon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Record vendor, status, estimate, actual cost, target date and retail readiness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diagnosis, repair order, labor operation, technician schedule or service-parts workflow</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Future activation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Separate product-owner decision and locked FBL-300+ roadmap</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implied authorization from this architectural context</w:t>
            </w:r>
          </w:p>
        </w:tc>
      </w:tr>
    </w:tbl>
    <w:p>
      <w:pPr>
        <w:spacing w:after="0"/>
      </w:pPr>
    </w:p>
    <w:p>
      <w:pPr>
        <w:pStyle w:val="Heading2"/>
      </w:pPr>
      <w:r>
        <w:t>8.2 Accounting rule</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No dealership platform is complete without a financial spine</w:t>
            </w:r>
          </w:p>
          <w:p>
            <w:pPr>
              <w:spacing w:after="0" w:line="264" w:lineRule="auto"/>
            </w:pPr>
            <w:r>
              <w:rPr>
                <w:rFonts w:ascii="Calibri" w:hAnsi="Calibri"/>
                <w:color w:val="1F2328"/>
                <w:sz w:val="21"/>
              </w:rPr>
              <w:t>Operational events propose accounting intents; the accounting context validates effective mappings and posts balanced journal entries. Posted entries are never edited—corrections reverse and repost. Each journal line traces back to the stock unit, deal, deposit, payment, funding event, title fee, inventory movement, or provider settlement that caused it.</w:t>
            </w:r>
          </w:p>
        </w:tc>
      </w:tr>
    </w:tbl>
    <w:p>
      <w:pPr>
        <w:spacing w:after="0"/>
      </w:pPr>
    </w:p>
    <w:p>
      <w:pPr>
        <w:pStyle w:val="ListBullet"/>
        <w:keepLines/>
      </w:pPr>
      <w:r>
        <w:t>Represent money as currency plus fixed-scale decimal or integer minor units according to the currency; never floating point.</w:t>
      </w:r>
    </w:p>
    <w:p>
      <w:pPr>
        <w:pStyle w:val="ListBullet"/>
        <w:keepLines/>
      </w:pPr>
      <w:r>
        <w:t>Version all prices, taxes, fees, discounts, reserve, pack, commissions, and account mappings.</w:t>
      </w:r>
    </w:p>
    <w:p>
      <w:pPr>
        <w:pStyle w:val="ListBullet"/>
        <w:keepLines/>
      </w:pPr>
      <w:r>
        <w:t>Maintain AR, AP, inventory, cash, floorplan, and customer deposit subledgers with reconciliation status.</w:t>
      </w:r>
    </w:p>
    <w:p>
      <w:pPr>
        <w:pStyle w:val="ListBullet"/>
        <w:keepLines/>
      </w:pPr>
      <w:r>
        <w:t>Require legal-entity and accounting-period context; prevent cross-entity balancing.</w:t>
      </w:r>
    </w:p>
    <w:p>
      <w:pPr>
        <w:pStyle w:val="ListBullet"/>
        <w:keepLines/>
      </w:pPr>
      <w:r>
        <w:t>Build accounting after real transaction models stabilize, but define accounting intents from the beginning.</w:t>
      </w:r>
    </w:p>
    <w:p>
      <w:r>
        <w:br w:type="page"/>
      </w:r>
    </w:p>
    <w:p>
      <w:pPr>
        <w:pStyle w:val="Heading1"/>
      </w:pPr>
      <w:r>
        <w:t>9. Data, API, and Event Contracts</w:t>
      </w:r>
    </w:p>
    <w:p>
      <w:pPr>
        <w:pStyle w:val="Heading2"/>
      </w:pPr>
      <w:r>
        <w:t>9.1 Canonical identity and records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50"/>
        <w:gridCol w:w="7710"/>
      </w:tblGrid>
      <w:tr>
        <w:trPr>
          <w:cantSplit/>
          <w:tblHeader w:val="true"/>
        </w:trPr>
        <w:tc>
          <w:tcPr>
            <w:tcW w:type="dxa" w:w="1650"/>
            <w:tcMar>
              <w:top w:w="80" w:type="dxa"/>
              <w:start w:w="120" w:type="dxa"/>
              <w:bottom w:w="80" w:type="dxa"/>
              <w:end w:w="120" w:type="dxa"/>
            </w:tcMar>
            <w:shd w:fill="F2F4F7"/>
            <w:vAlign w:val="center"/>
          </w:tcPr>
          <w:p>
            <w:pPr>
              <w:keepNext/>
              <w:spacing w:after="0"/>
            </w:pPr>
            <w:r>
              <w:rPr>
                <w:rFonts w:ascii="Calibri" w:hAnsi="Calibri"/>
                <w:b/>
                <w:color w:val="0B2545"/>
                <w:sz w:val="17"/>
              </w:rPr>
              <w:t>Domain</w:t>
            </w:r>
          </w:p>
        </w:tc>
        <w:tc>
          <w:tcPr>
            <w:tcW w:type="dxa" w:w="7710"/>
            <w:tcMar>
              <w:top w:w="80" w:type="dxa"/>
              <w:start w:w="120" w:type="dxa"/>
              <w:bottom w:w="80" w:type="dxa"/>
              <w:end w:w="120" w:type="dxa"/>
            </w:tcMar>
            <w:shd w:fill="F2F4F7"/>
            <w:vAlign w:val="center"/>
          </w:tcPr>
          <w:p>
            <w:pPr>
              <w:keepNext/>
              <w:spacing w:after="0"/>
            </w:pPr>
            <w:r>
              <w:rPr>
                <w:rFonts w:ascii="Calibri" w:hAnsi="Calibri"/>
                <w:b/>
                <w:color w:val="0B2545"/>
                <w:sz w:val="17"/>
              </w:rPr>
              <w:t>Canonical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Organization</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DealerGroup, LegalEntity, Rooftop, Department, CostCenter</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User, EmployeeProfile, RoleBinding, PolicyDecision, SessionAssurance</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Party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Party, Person, Business, ContactPoint, Consent, MergeRecord</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 VINIdentity, Ownership, MileageEvent, StockUnit, LocationEvent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Demand</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Lead, Opportunity, Activity, Campaign, AppointmentRequest, Appointment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Retail</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Appraisal, Trade, Quote, DeskingScenario, Deal, DealVersion, DealDocument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CreditApplication, LenderSubmission, Decision, FIProduct, Contract, FundingCondition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service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RepairOrder, Operation, Inspection, Recommendation, Estimate, Authorization, WorkTicket and TimeEntry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service parts</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Potential PartSKU, InventoryLocation, InventoryMovement, Reservation, PurchaseOrder, Receipt and Return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 JournalEntry, JournalLine, Receivable, Payable, Payment, Settlement, Reconciliation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IdempotencyRecord, DomainEvent, OutboxMessage, AuditEvidence, Attachment, WorkflowInstance</w:t>
            </w:r>
          </w:p>
        </w:tc>
      </w:tr>
    </w:tbl>
    <w:p>
      <w:pPr>
        <w:spacing w:after="0"/>
      </w:pPr>
    </w:p>
    <w:p>
      <w:pPr>
        <w:pStyle w:val="Heading2"/>
      </w:pPr>
      <w:r>
        <w:t>9.2 Data rules</w:t>
      </w:r>
    </w:p>
    <w:p>
      <w:pPr>
        <w:pStyle w:val="ListBullet"/>
        <w:keepLines/>
      </w:pPr>
      <w:r>
        <w:t>UUID/ULID identifiers are opaque. Human document numbers are separate, tenant-scoped, and generated by versioned policy.</w:t>
      </w:r>
    </w:p>
    <w:p>
      <w:pPr>
        <w:pStyle w:val="ListBullet"/>
        <w:keepLines/>
      </w:pPr>
      <w:r>
        <w:t>Every mutable record carries created_at, created_by, updated_at, updated_by, and optimistic version; sensitive changes include reason.</w:t>
      </w:r>
    </w:p>
    <w:p>
      <w:pPr>
        <w:pStyle w:val="ListBullet"/>
        <w:keepLines/>
      </w:pPr>
      <w:r>
        <w:t>Temporal facts use effective_from/effective_to and recorded_at where business truth can arrive late or be corrected.</w:t>
      </w:r>
    </w:p>
    <w:p>
      <w:pPr>
        <w:pStyle w:val="ListBullet"/>
        <w:keepLines/>
      </w:pPr>
      <w:r>
        <w:t>Soft deletion is not a universal answer. Use explicit lifecycle states, retention rules, legal holds, and anonymization where appropriate.</w:t>
      </w:r>
    </w:p>
    <w:p>
      <w:pPr>
        <w:pStyle w:val="ListBullet"/>
        <w:keepLines/>
      </w:pPr>
      <w:r>
        <w:t>JSONB is allowed for provider payload capture, extensible metadata, and versioned envelopes—not for core monetary lines, relationships, status, or authorization facts.</w:t>
      </w:r>
    </w:p>
    <w:p>
      <w:pPr>
        <w:pStyle w:val="ListBullet"/>
        <w:keepLines/>
      </w:pPr>
      <w:r>
        <w:t>Artifacts live in object storage; rows carry tenant, classification, hash, content type, size, malware status, encryption key reference, retention, and legal hold.</w:t>
      </w:r>
    </w:p>
    <w:p>
      <w:pPr>
        <w:pStyle w:val="ListBullet"/>
        <w:keepLines/>
      </w:pPr>
      <w:r>
        <w:t>PII fields are classified and purpose-bound. Analytics uses minimized, tokenized, or de-identified projections.</w:t>
      </w:r>
    </w:p>
    <w:p>
      <w:pPr>
        <w:pStyle w:val="Heading2"/>
      </w:pPr>
      <w:r>
        <w:t>9.3 HTTP contract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000"/>
        <w:gridCol w:w="7360"/>
      </w:tblGrid>
      <w:tr>
        <w:trPr>
          <w:cantSplit/>
          <w:tblHeader w:val="true"/>
        </w:trPr>
        <w:tc>
          <w:tcPr>
            <w:tcW w:type="dxa" w:w="2000"/>
            <w:tcMar>
              <w:top w:w="80" w:type="dxa"/>
              <w:start w:w="120" w:type="dxa"/>
              <w:bottom w:w="80" w:type="dxa"/>
              <w:end w:w="120" w:type="dxa"/>
            </w:tcMar>
            <w:shd w:fill="F2F4F7"/>
            <w:vAlign w:val="center"/>
          </w:tcPr>
          <w:p>
            <w:pPr>
              <w:keepNext/>
              <w:spacing w:after="0"/>
            </w:pPr>
            <w:r>
              <w:rPr>
                <w:rFonts w:ascii="Calibri" w:hAnsi="Calibri"/>
                <w:b/>
                <w:color w:val="0B2545"/>
                <w:sz w:val="17"/>
              </w:rPr>
              <w:t>Concern</w:t>
            </w:r>
          </w:p>
        </w:tc>
        <w:tc>
          <w:tcPr>
            <w:tcW w:type="dxa" w:w="7360"/>
            <w:tcMar>
              <w:top w:w="80" w:type="dxa"/>
              <w:start w:w="120" w:type="dxa"/>
              <w:bottom w:w="80" w:type="dxa"/>
              <w:end w:w="120" w:type="dxa"/>
            </w:tcMar>
            <w:shd w:fill="F2F4F7"/>
            <w:vAlign w:val="center"/>
          </w:tcPr>
          <w:p>
            <w:pPr>
              <w:keepNext/>
              <w:spacing w:after="0"/>
            </w:pPr>
            <w:r>
              <w:rPr>
                <w:rFonts w:ascii="Calibri" w:hAnsi="Calibri"/>
                <w:b/>
                <w:color w:val="0B2545"/>
                <w:sz w:val="17"/>
              </w:rPr>
              <w:t>Standard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Versioning</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/api/v1 with additive compatibility policy; breaking changes require a new major contract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Schema</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 3.1 and JSON Schema generated/validated from one source of truth</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Errors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RFC 9457 Problem Details with stable type codes, request_id, and safe field details</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Concurrency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ETag/If-Match or explicit version on updates; 409/412 on conflict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Idempotency-Key for all externally retriable mutations; same key + same body returns same result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Pagination</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Opaque cursor with stable ordering; no unbounded list or offset at high scale</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Bearer token from trusted issuer; tenant and assurance derived by server policy</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Audit</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X-Request-ID propagated; actor, purpose, policy decision, and resource version recorded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Files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Pre-signed upload/download with classification, scan, and short-lived authorization</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Webhooks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Signed timestamped payload, unique event ID, replay window, subscription secret rotation, delivery log</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Async work</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202 Accepted plus operation resource for long jobs; cancellation and status defined</w:t>
            </w:r>
          </w:p>
        </w:tc>
      </w:tr>
    </w:tbl>
    <w:p>
      <w:pPr>
        <w:spacing w:after="0"/>
      </w:pPr>
    </w:p>
    <w:p>
      <w:pPr>
        <w:pStyle w:val="Heading2"/>
      </w:pPr>
      <w:r>
        <w:t>9.4 Event contract</w:t>
      </w:r>
    </w:p>
    <w:p>
      <w:pPr>
        <w:spacing w:before="0" w:after="120" w:line="264" w:lineRule="auto"/>
      </w:pPr>
      <w:r>
        <w:rPr>
          <w:rFonts w:ascii="Calibri" w:hAnsi="Calibri"/>
          <w:b w:val="0"/>
          <w:i w:val="0"/>
          <w:color w:val="1F2328"/>
        </w:rPr>
        <w:t>A domain transaction writes state and an outbox record atomically. A relay publishes an immutable envelope. Consumers record processed event IDs. Events describe completed facts, not remote procedure calls.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000"/>
        <w:gridCol w:w="6360"/>
      </w:tblGrid>
      <w:tr>
        <w:trPr>
          <w:cantSplit/>
          <w:tblHeader w:val="true"/>
        </w:trPr>
        <w:tc>
          <w:tcPr>
            <w:tcW w:type="dxa" w:w="3000"/>
            <w:tcMar>
              <w:top w:w="80" w:type="dxa"/>
              <w:start w:w="120" w:type="dxa"/>
              <w:bottom w:w="80" w:type="dxa"/>
              <w:end w:w="120" w:type="dxa"/>
            </w:tcMar>
            <w:shd w:fill="F2F4F7"/>
            <w:vAlign w:val="center"/>
          </w:tcPr>
          <w:p>
            <w:pPr>
              <w:keepNext/>
              <w:spacing w:after="0"/>
            </w:pPr>
            <w:r>
              <w:rPr>
                <w:rFonts w:ascii="Calibri" w:hAnsi="Calibri"/>
                <w:b/>
                <w:color w:val="0B2545"/>
                <w:sz w:val="17"/>
              </w:rPr>
              <w:t>Envelope field</w:t>
            </w:r>
          </w:p>
        </w:tc>
        <w:tc>
          <w:tcPr>
            <w:tcW w:type="dxa" w:w="6360"/>
            <w:tcMar>
              <w:top w:w="80" w:type="dxa"/>
              <w:start w:w="120" w:type="dxa"/>
              <w:bottom w:w="80" w:type="dxa"/>
              <w:end w:w="120" w:type="dxa"/>
            </w:tcMar>
            <w:shd w:fill="F2F4F7"/>
            <w:vAlign w:val="center"/>
          </w:tcPr>
          <w:p>
            <w:pPr>
              <w:keepNext/>
              <w:spacing w:after="0"/>
            </w:pPr>
            <w:r>
              <w:rPr>
                <w:rFonts w:ascii="Calibri" w:hAnsi="Calibri"/>
                <w:b/>
                <w:color w:val="0B2545"/>
                <w:sz w:val="17"/>
              </w:rPr>
              <w:t>Requirement</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Globally unique; used for deduplication</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event_type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Namespaced past-tense fact, e.g., service.estimate_authorized.v1</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occurred_at / recorded_at</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time and system time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tenant_id / organization scope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Mandatory; never inferred by consumer</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aggregate_type / aggregate_id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Supports ordering and optimistic consistency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actor / assurance / purpose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Who or what caused the event and under what authority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correlation_id / causation_id / trace_id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End-to-end workflow and diagnostic linkage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data / metadata</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Schema-validated; PII minimized; artifact references instead of large payloads</w:t>
            </w:r>
          </w:p>
        </w:tc>
      </w:tr>
    </w:tbl>
    <w:p>
      <w:pPr>
        <w:spacing w:after="0"/>
      </w:pPr>
    </w:p>
    <w:p>
      <w:pPr>
        <w:pStyle w:val="Heading2"/>
      </w:pPr>
      <w:r>
        <w:t>9.5 Initial event catalog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180"/>
        <w:gridCol w:w="1550"/>
        <w:gridCol w:w="4630"/>
      </w:tblGrid>
      <w:tr>
        <w:trPr>
          <w:cantSplit/>
          <w:tblHeader w:val="true"/>
        </w:trPr>
        <w:tc>
          <w:tcPr>
            <w:tcW w:type="dxa" w:w="3180"/>
            <w:tcMar>
              <w:top w:w="80" w:type="dxa"/>
              <w:start w:w="120" w:type="dxa"/>
              <w:bottom w:w="80" w:type="dxa"/>
              <w:end w:w="120" w:type="dxa"/>
            </w:tcMar>
            <w:shd w:fill="F2F4F7"/>
            <w:vAlign w:val="center"/>
          </w:tcPr>
          <w:p>
            <w:pPr>
              <w:keepNext/>
              <w:spacing w:after="0"/>
            </w:pPr>
            <w:r>
              <w:rPr>
                <w:rFonts w:ascii="Calibri" w:hAnsi="Calibri"/>
                <w:b/>
                <w:color w:val="0B2545"/>
                <w:sz w:val="16"/>
              </w:rPr>
              <w:t>Event</w:t>
            </w:r>
          </w:p>
        </w:tc>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Owner</w:t>
            </w:r>
          </w:p>
        </w:tc>
        <w:tc>
          <w:tcPr>
            <w:tcW w:type="dxa" w:w="4630"/>
            <w:tcMar>
              <w:top w:w="80" w:type="dxa"/>
              <w:start w:w="120" w:type="dxa"/>
              <w:bottom w:w="80" w:type="dxa"/>
              <w:end w:w="120" w:type="dxa"/>
            </w:tcMar>
            <w:shd w:fill="F2F4F7"/>
            <w:vAlign w:val="center"/>
          </w:tcPr>
          <w:p>
            <w:pPr>
              <w:keepNext/>
              <w:spacing w:after="0"/>
            </w:pPr>
            <w:r>
              <w:rPr>
                <w:rFonts w:ascii="Calibri" w:hAnsi="Calibri"/>
                <w:b/>
                <w:color w:val="0B2545"/>
                <w:sz w:val="16"/>
              </w:rPr>
              <w:t>Consumers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party.merged.v1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Party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CRM, inventory, deal and analytics projections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vehicle.ownership_recorded.v1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360 and compliance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inventory.stock_acquired.v1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Retail readiness, merchandising and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inventory.listing_published.v1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Marketplaces, CRM matching and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marketing.campaign_activated.v1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Channel delivery, attribution and compliance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crm.lead_assigned.v1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CRM</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BDC tasks, SLA timers and management alerts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crm.opportunity_stage_changed.v1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CRM</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Tasks, attribution,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sales.appraisal_approved.v1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Sales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Trade, desking and manager evidence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sales.deal_version_accepted.v1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Sales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Deal jacket, F&amp;I,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finance.lender_condition_changed.v1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F&amp;I</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Deal, funding queue and notifications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delivery.vehicle_delivered.v1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Delivery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sold state, title, accounting and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payment.settled.v1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and journal posting</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accounting.journal_posted.v1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Analytics and close status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integration.delivery_failed.v1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Ops exception queue</w:t>
            </w:r>
          </w:p>
        </w:tc>
      </w:tr>
    </w:tbl>
    <w:p>
      <w:pPr>
        <w:spacing w:after="0"/>
      </w:pPr>
    </w:p>
    <w:p>
      <w:r>
        <w:br w:type="page"/>
      </w:r>
    </w:p>
    <w:p>
      <w:pPr>
        <w:pStyle w:val="Heading1"/>
      </w:pPr>
      <w:r>
        <w:t>10. Security, Privacy, and Compliance</w:t>
      </w:r>
    </w:p>
    <w:p>
      <w:pPr>
        <w:pStyle w:val="Heading2"/>
      </w:pPr>
      <w:r>
        <w:t>10.1 Security architecture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Control plane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6"/>
              </w:rPr>
              <w:t>Required design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Identity</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OIDC; SAML for enterprise; passkeys/MFA; adaptive assurance; SCIM; short sessions for sensitive roles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RBAC baseline plus ABAC for tenant, legal entity, rooftop, department, ownership, amount, purpose, and assurance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Data isolation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RLS, tenant-qualified FKs, per-tenant export, support-access approvals, continuous negative tests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Encryption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TLS; KMS envelope encryption; rotation; field-level protection/tokenization for highly sensitive identifiers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Secrets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secret store, workload identity, no long-lived cloud keys, provider credential rotation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edge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WAF, rate limits, request/body caps, secure headers, CORS allowlists, bot/fraud controls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Software supply chain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Pinned lockfiles/images, SAST/SCA/secret scan, SBOM, signed artifacts, provenance, patch SLO</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Append-only evidence, hash chaining or WORM export, clock integrity, actor/session/policy/resource versions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Secure operations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Least privilege, break glass, JIT production access, session recording, change approval, incident playbooks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Testing</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Threat models, code review, DAST, penetration testing, tenant-isolation suite, backup restore, abuse cases</w:t>
            </w:r>
          </w:p>
        </w:tc>
      </w:tr>
    </w:tbl>
    <w:p>
      <w:pPr>
        <w:spacing w:after="0"/>
      </w:pPr>
    </w:p>
    <w:p>
      <w:pPr>
        <w:pStyle w:val="Heading2"/>
      </w:pPr>
      <w:r>
        <w:t>10.2 U.S. dealer control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4200"/>
        <w:gridCol w:w="3360"/>
      </w:tblGrid>
      <w:tr>
        <w:trPr>
          <w:cantSplit/>
          <w:tblHeader w:val="true"/>
        </w:trPr>
        <w:tc>
          <w:tcPr>
            <w:tcW w:type="dxa" w:w="1800"/>
            <w:tcMar>
              <w:top w:w="80" w:type="dxa"/>
              <w:start w:w="120" w:type="dxa"/>
              <w:bottom w:w="80" w:type="dxa"/>
              <w:end w:w="120" w:type="dxa"/>
            </w:tcMar>
            <w:shd w:fill="FFF4CE"/>
            <w:vAlign w:val="center"/>
          </w:tcPr>
          <w:p>
            <w:pPr>
              <w:keepNext/>
              <w:spacing w:after="0"/>
            </w:pPr>
            <w:r>
              <w:rPr>
                <w:rFonts w:ascii="Calibri" w:hAnsi="Calibri"/>
                <w:b/>
                <w:color w:val="0B2545"/>
                <w:sz w:val="14"/>
              </w:rPr>
              <w:t>Area</w:t>
            </w:r>
          </w:p>
        </w:tc>
        <w:tc>
          <w:tcPr>
            <w:tcW w:type="dxa" w:w="4200"/>
            <w:tcMar>
              <w:top w:w="80" w:type="dxa"/>
              <w:start w:w="120" w:type="dxa"/>
              <w:bottom w:w="80" w:type="dxa"/>
              <w:end w:w="120" w:type="dxa"/>
            </w:tcMar>
            <w:shd w:fill="FFF4CE"/>
            <w:vAlign w:val="center"/>
          </w:tcPr>
          <w:p>
            <w:pPr>
              <w:keepNext/>
              <w:spacing w:after="0"/>
            </w:pPr>
            <w:r>
              <w:rPr>
                <w:rFonts w:ascii="Calibri" w:hAnsi="Calibri"/>
                <w:b/>
                <w:color w:val="0B2545"/>
                <w:sz w:val="14"/>
              </w:rPr>
              <w:t>Engineering implication</w:t>
            </w:r>
          </w:p>
        </w:tc>
        <w:tc>
          <w:tcPr>
            <w:tcW w:type="dxa" w:w="3360"/>
            <w:tcMar>
              <w:top w:w="80" w:type="dxa"/>
              <w:start w:w="120" w:type="dxa"/>
              <w:bottom w:w="80" w:type="dxa"/>
              <w:end w:w="120" w:type="dxa"/>
            </w:tcMar>
            <w:shd w:fill="FFF4CE"/>
            <w:vAlign w:val="center"/>
          </w:tcPr>
          <w:p>
            <w:pPr>
              <w:keepNext/>
              <w:spacing w:after="0"/>
            </w:pPr>
            <w:r>
              <w:rPr>
                <w:rFonts w:ascii="Calibri" w:hAnsi="Calibri"/>
                <w:b/>
                <w:color w:val="0B2545"/>
                <w:sz w:val="14"/>
              </w:rPr>
              <w:t>Product control</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Safeguards Rule / GLBA</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Qualified security program, risk assessment, access controls, encryption, MFA, monitoring, service-provider oversight, incident response, reporting</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Security control library and annual evidence package [C1–C2]</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breach notification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Evaluate notification duty for unauthorized acquisition of unencrypted customer information affecting at least 500 consumers; FTC FAQ states 30 days after discovery</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Incident workflow, data inventory, affected-record query, decision/evidence clock [C1]</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Red Flags Rule</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Written identity-theft prevention program appropriate to covered accounts and detected red flags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Policy, alerts, case management, resolution evidence, periodic review [C3]</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FCRA / risk-based pricing</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Permissible purpose, consumer report controls, adverse action and risk-based pricing/credit score disclosures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Consent/evidence, provider response lineage, compliant notice generation and delivery [C6]</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ECOA / Regulation B</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Fair treatment, action-taken and adverse-action notices, reasons, timing,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Decision provenance, reason codes, human/compliance review, immutable notices [C5]</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PCI DSS v4.0.1</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Protect payment account data and operate applicable PCI controls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Use hosted/tokenized payments to reduce scope; never store raw PAN/CVV [C4]</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IRS Form 8300</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Report qualifying cash transactions over $10,000 and retain supporting evidence</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Cash aggregation rules, alerts, case workflow, filing/reference tracking [C7]</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OFAC sanctions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Risk-based sanctions compliance and screening appropriate to transactions and parties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Provider integration, fuzzy match case review, list/version evidence, re-screen policy [C8]</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TCPA / CAN-SPAM / privacy</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Purpose- and channel-specific consent, opt-outs, quiet hours, suppression, notices,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Central consent ledger and communication policy</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E-SIGN / UETA / records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 to electronic records, attribution, intent, integrity, accessibility,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Versioned document package, signing ceremony, certificate/evidence artifact</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State/OEM/DMV obligations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Jurisdiction- and franchise-specific forms, fees, disclosures, warranty, titling, record rules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Effective-dated jurisdiction packs validated by counsel/provider</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tcMar>
              <w:top w:w="80" w:type="dxa"/>
              <w:start w:w="120" w:type="dxa"/>
              <w:bottom w:w="80" w:type="dxa"/>
              <w:end w:w="120" w:type="dxa"/>
            </w:tcMar>
            <w:shd w:fill="FCE8E6"/>
            <w:vAlign w:val="center"/>
          </w:tcPr>
          <w:p>
            <w:pPr>
              <w:spacing w:after="60"/>
            </w:pPr>
            <w:r>
              <w:rPr>
                <w:rFonts w:ascii="Calibri" w:hAnsi="Calibri"/>
                <w:b/>
                <w:color w:val="9B1C1C"/>
                <w:sz w:val="21"/>
              </w:rPr>
              <w:t>Legal validation required</w:t>
            </w:r>
          </w:p>
          <w:p>
            <w:pPr>
              <w:spacing w:after="0" w:line="264" w:lineRule="auto"/>
            </w:pPr>
            <w:r>
              <w:rPr>
                <w:rFonts w:ascii="Calibri" w:hAnsi="Calibri"/>
                <w:color w:val="1F2328"/>
                <w:sz w:val="21"/>
              </w:rPr>
              <w:t>The product must support compliant operations, but software architecture cannot decide which entity is the creditor, which dealer activities create specific duties, or which state/OEM rules apply. Assign accountable legal/compliance owners and preserve their approved policy versions.</w:t>
            </w:r>
          </w:p>
        </w:tc>
      </w:tr>
    </w:tbl>
    <w:p>
      <w:pPr>
        <w:spacing w:after="0"/>
      </w:pPr>
    </w:p>
    <w:p>
      <w:pPr>
        <w:pStyle w:val="Heading2"/>
      </w:pPr>
      <w:r>
        <w:t>10.3 Data privacy and retention</w:t>
      </w:r>
    </w:p>
    <w:p>
      <w:pPr>
        <w:pStyle w:val="ListBullet"/>
        <w:keepLines/>
      </w:pPr>
      <w:r>
        <w:t>Maintain a data catalog mapping field → classification → purpose → lawful/business basis → processors → retention → deletion/anonymization method.</w:t>
      </w:r>
    </w:p>
    <w:p>
      <w:pPr>
        <w:pStyle w:val="ListBullet"/>
        <w:keepLines/>
      </w:pPr>
      <w:r>
        <w:t>Separate customer-facing access from employee access; require reauthentication for sensitive documents, identity data, and payment changes.</w:t>
      </w:r>
    </w:p>
    <w:p>
      <w:pPr>
        <w:pStyle w:val="ListBullet"/>
        <w:keepLines/>
      </w:pPr>
      <w:r>
        <w:t>Support access, export, correction, restriction, and deletion/anonymization workflows subject to statutory and accounting retention.</w:t>
      </w:r>
    </w:p>
    <w:p>
      <w:pPr>
        <w:pStyle w:val="ListBullet"/>
        <w:keepLines/>
      </w:pPr>
      <w:r>
        <w:t>Partition analytics and AI datasets from operational access; remove direct identifiers where not essential.</w:t>
      </w:r>
    </w:p>
    <w:p>
      <w:pPr>
        <w:pStyle w:val="ListBullet"/>
        <w:keepLines/>
      </w:pPr>
      <w:r>
        <w:t>Provide dealer-configurable legal holds and immutable record preservation without making every operational record permanently mutable or undeletable.</w:t>
      </w:r>
    </w:p>
    <w:p>
      <w:r>
        <w:br w:type="page"/>
      </w:r>
    </w:p>
    <w:p>
      <w:pPr>
        <w:pStyle w:val="Heading1"/>
      </w:pPr>
      <w:r>
        <w:t>11. Reliability, Operations, and Quality</w:t>
      </w:r>
    </w:p>
    <w:p>
      <w:pPr>
        <w:pStyle w:val="Heading2"/>
      </w:pPr>
      <w:r>
        <w:t>11.1 Initial service objectives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4440"/>
        <w:gridCol w:w="302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Objective</w:t>
            </w:r>
          </w:p>
        </w:tc>
        <w:tc>
          <w:tcPr>
            <w:tcW w:type="dxa" w:w="4440"/>
            <w:tcMar>
              <w:top w:w="80" w:type="dxa"/>
              <w:start w:w="120" w:type="dxa"/>
              <w:bottom w:w="80" w:type="dxa"/>
              <w:end w:w="120" w:type="dxa"/>
            </w:tcMar>
            <w:shd w:fill="F2F4F7"/>
            <w:vAlign w:val="center"/>
          </w:tcPr>
          <w:p>
            <w:pPr>
              <w:keepNext/>
              <w:spacing w:after="0"/>
            </w:pPr>
            <w:r>
              <w:rPr>
                <w:rFonts w:ascii="Calibri" w:hAnsi="Calibri"/>
                <w:b/>
                <w:color w:val="0B2545"/>
                <w:sz w:val="16"/>
              </w:rPr>
              <w:t>Target</w:t>
            </w:r>
          </w:p>
        </w:tc>
        <w:tc>
          <w:tcPr>
            <w:tcW w:type="dxa" w:w="3020"/>
            <w:tcMar>
              <w:top w:w="80" w:type="dxa"/>
              <w:start w:w="120" w:type="dxa"/>
              <w:bottom w:w="80" w:type="dxa"/>
              <w:end w:w="120" w:type="dxa"/>
            </w:tcMar>
            <w:shd w:fill="F2F4F7"/>
            <w:vAlign w:val="center"/>
          </w:tcPr>
          <w:p>
            <w:pPr>
              <w:keepNext/>
              <w:spacing w:after="0"/>
            </w:pPr>
            <w:r>
              <w:rPr>
                <w:rFonts w:ascii="Calibri" w:hAnsi="Calibri"/>
                <w:b/>
                <w:color w:val="0B2545"/>
                <w:sz w:val="16"/>
              </w:rPr>
              <w:t>Proof</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Availability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99.9% sellable V1; 99.95% enterprise tier after proven operations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Monthly SLO with error-budget policy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Interactive API</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reads &lt;300 ms; p95 writes &lt;700 ms excluding documented external/async work</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Measured per endpoint class and tenant-safe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authorization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page/action &lt;2 s on mobile broadband</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Synthetic journey plus real-user monitoring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Async delivery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95% of ordinary events/webhooks dispatched &lt;60 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Backlog age and poison-message SLO</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Durability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No acknowledged transaction loss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ACID state + transactional outbox</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Recovery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RPO ≤5 min; RTO ≤60 min for critical transaction path</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Quarterly restore and annual regional exercise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Accessibility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WCAG 2.2 AA</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Automated and manual keyboard/screen-reader checks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Localization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English and Spanish for V1 management, sales and customer journeys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No hard-coded customer-facing strings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 retention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Configurable policy, commonly seven years for financial/evidence records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Legal/compliance approval by record class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Offline tolerance</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Authorized inventory and sales mobile flows can retain safe drafts and queue permitted updates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Conflict policy and encrypted local storage</w:t>
            </w:r>
          </w:p>
        </w:tc>
      </w:tr>
    </w:tbl>
    <w:p>
      <w:pPr>
        <w:spacing w:after="0"/>
      </w:pPr>
    </w:p>
    <w:p>
      <w:pPr>
        <w:pStyle w:val="Heading2"/>
      </w:pPr>
      <w:r>
        <w:t>11.2 Delivery and migration discipline</w:t>
      </w:r>
    </w:p>
    <w:p>
      <w:pPr>
        <w:pStyle w:val="ListBullet"/>
        <w:keepLines/>
      </w:pPr>
      <w:r>
        <w:t>Migrations are immutable, checksummed, serialized with advisory locks, and tested from every supported prior version.</w:t>
      </w:r>
    </w:p>
    <w:p>
      <w:pPr>
        <w:pStyle w:val="ListBullet"/>
        <w:keepLines/>
      </w:pPr>
      <w:r>
        <w:t>Use expand/migrate/contract changes. Application versions remain compatible across rolling deployment windows.</w:t>
      </w:r>
    </w:p>
    <w:p>
      <w:pPr>
        <w:pStyle w:val="ListBullet"/>
        <w:keepLines/>
      </w:pPr>
      <w:r>
        <w:t>Backfills are resumable, rate-limited, observable, tenant-scoped, and produce reconciliation reports.</w:t>
      </w:r>
    </w:p>
    <w:p>
      <w:pPr>
        <w:pStyle w:val="ListBullet"/>
        <w:keepLines/>
      </w:pPr>
      <w:r>
        <w:t>Every release includes database compatibility, rollback decision, feature-flag plan, and post-deploy verification.</w:t>
      </w:r>
    </w:p>
    <w:p>
      <w:pPr>
        <w:pStyle w:val="ListBullet"/>
        <w:keepLines/>
      </w:pPr>
      <w:r>
        <w:t>Production deploys use progressive exposure and automatic rollback on defined SLO/error signals.</w:t>
      </w:r>
    </w:p>
    <w:p>
      <w:pPr>
        <w:pStyle w:val="ListBullet"/>
        <w:keepLines/>
      </w:pPr>
      <w:r>
        <w:t>Backups are not accepted until a separate environment restores them and application-level integrity checks pass.</w:t>
      </w:r>
    </w:p>
    <w:p>
      <w:pPr>
        <w:pStyle w:val="Heading2"/>
      </w:pPr>
      <w:r>
        <w:t>11.3 Required test pyramid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550"/>
        <w:gridCol w:w="4430"/>
        <w:gridCol w:w="3380"/>
      </w:tblGrid>
      <w:tr>
        <w:trPr>
          <w:cantSplit/>
          <w:tblHeader w:val="true"/>
        </w:trPr>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430"/>
            <w:tcMar>
              <w:top w:w="80" w:type="dxa"/>
              <w:start w:w="120" w:type="dxa"/>
              <w:bottom w:w="80" w:type="dxa"/>
              <w:end w:w="120" w:type="dxa"/>
            </w:tcMar>
            <w:shd w:fill="F2F4F7"/>
            <w:vAlign w:val="center"/>
          </w:tcPr>
          <w:p>
            <w:pPr>
              <w:keepNext/>
              <w:spacing w:after="0"/>
            </w:pPr>
            <w:r>
              <w:rPr>
                <w:rFonts w:ascii="Calibri" w:hAnsi="Calibri"/>
                <w:b/>
                <w:color w:val="0B2545"/>
                <w:sz w:val="16"/>
              </w:rPr>
              <w:t>Examples</w:t>
            </w:r>
          </w:p>
        </w:tc>
        <w:tc>
          <w:tcPr>
            <w:tcW w:type="dxa" w:w="3380"/>
            <w:tcMar>
              <w:top w:w="80" w:type="dxa"/>
              <w:start w:w="120" w:type="dxa"/>
              <w:bottom w:w="80" w:type="dxa"/>
              <w:end w:w="120" w:type="dxa"/>
            </w:tcMar>
            <w:shd w:fill="F2F4F7"/>
            <w:vAlign w:val="center"/>
          </w:tcPr>
          <w:p>
            <w:pPr>
              <w:keepNext/>
              <w:spacing w:after="0"/>
            </w:pPr>
            <w:r>
              <w:rPr>
                <w:rFonts w:ascii="Calibri" w:hAnsi="Calibri"/>
                <w:b/>
                <w:color w:val="0B2545"/>
                <w:sz w:val="16"/>
              </w:rPr>
              <w:t>Minimum proof</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Domain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State-machine, pricing, tax, allocation, ledger balance, policy</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Unit + property-based + mutation</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Commands/queries, authorization, idempotency, workflows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 with real Postgres/Redis/queue emulators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compatibility, provider adapters, webhooks, events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Schema and consumer-driven contract suites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Tenant/security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Cross-tenant references, RLS, roles, support, enumeration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Negative mutation tests and penetration tests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Concurrency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Double booking, double authorization, reservation, clocking, payment</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Deterministic race suites with locks/retries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Journey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 acquisition-to-retail; lead-to-sale; funding/delivery; returns/refunds; close/reopen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Browser/mobile E2E against production-like env</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Migrations, backfills, reconciliation, import, export, restore</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Golden datasets and sampled production-like volume</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Nonfunctional</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Load, soak, chaos, accessibility, localization, DR</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Release and quarterly gates</w:t>
            </w:r>
          </w:p>
        </w:tc>
      </w:tr>
    </w:tbl>
    <w:p>
      <w:pPr>
        <w:spacing w:after="0"/>
      </w:pPr>
    </w:p>
    <w:p>
      <w:pPr>
        <w:pStyle w:val="Heading2"/>
      </w:pPr>
      <w:r>
        <w:t>11.4 Operational dashboards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Audience</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Signals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Engineering on-call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SLO burn, saturation, queue age, DB locks, retries, integration failures, deployment health</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operator</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age and days-to-live, lead response, appointment/show/close, appraisal variance, gross, funding time and delivery exceptions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Unposted intents, journal imbalance attempts, cash/settlement variance, AR/AP aging, close progress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Privileged access, red flags, identity assurance, control failures, evidence completeness, retention holds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SaaS operations</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provisioning, plan usage, connector health, data migration, support access, cost-to-serve</w:t>
            </w:r>
          </w:p>
        </w:tc>
      </w:tr>
    </w:tbl>
    <w:p>
      <w:pPr>
        <w:spacing w:after="0"/>
      </w:pPr>
    </w:p>
    <w:p>
      <w:r>
        <w:br w:type="page"/>
      </w:r>
    </w:p>
    <w:p>
      <w:pPr>
        <w:pStyle w:val="Heading1"/>
      </w:pPr>
      <w:r>
        <w:t>12. Experience, Analytics, and Governed AI</w:t>
      </w:r>
    </w:p>
    <w:p>
      <w:pPr>
        <w:pStyle w:val="Heading2"/>
      </w:pPr>
      <w:r>
        <w:t>12.1 Product surfaces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50"/>
        <w:gridCol w:w="7210"/>
      </w:tblGrid>
      <w:tr>
        <w:trPr>
          <w:cantSplit/>
          <w:tblHeader w:val="true"/>
        </w:trPr>
        <w:tc>
          <w:tcPr>
            <w:tcW w:type="dxa" w:w="2150"/>
            <w:tcMar>
              <w:top w:w="80" w:type="dxa"/>
              <w:start w:w="120" w:type="dxa"/>
              <w:bottom w:w="80" w:type="dxa"/>
              <w:end w:w="120" w:type="dxa"/>
            </w:tcMar>
            <w:shd w:fill="F2F4F7"/>
            <w:vAlign w:val="center"/>
          </w:tcPr>
          <w:p>
            <w:pPr>
              <w:keepNext/>
              <w:spacing w:after="0"/>
            </w:pPr>
            <w:r>
              <w:rPr>
                <w:rFonts w:ascii="Calibri" w:hAnsi="Calibri"/>
                <w:b/>
                <w:color w:val="0B2545"/>
                <w:sz w:val="17"/>
              </w:rPr>
              <w:t>Surface</w:t>
            </w:r>
          </w:p>
        </w:tc>
        <w:tc>
          <w:tcPr>
            <w:tcW w:type="dxa" w:w="7210"/>
            <w:tcMar>
              <w:top w:w="80" w:type="dxa"/>
              <w:start w:w="120" w:type="dxa"/>
              <w:bottom w:w="80" w:type="dxa"/>
              <w:end w:w="120" w:type="dxa"/>
            </w:tcMar>
            <w:shd w:fill="F2F4F7"/>
            <w:vAlign w:val="center"/>
          </w:tcPr>
          <w:p>
            <w:pPr>
              <w:keepNext/>
              <w:spacing w:after="0"/>
            </w:pPr>
            <w:r>
              <w:rPr>
                <w:rFonts w:ascii="Calibri" w:hAnsi="Calibri"/>
                <w:b/>
                <w:color w:val="0B2545"/>
                <w:sz w:val="17"/>
              </w:rPr>
              <w:t>Core jobs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Owner / general manager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Cross-rooftop inventory, marketing, sales, gross, funding, delivery, goals, approvals, alerts and drill-down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manager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Acquisition, stock identity, documents, location, readiness, pricing, media, aging, holds, transfers and listings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Marketing / BDC</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Audiences, consent, campaigns, attribution, lead queues, SLA tasks, appointments, suppression and ROI</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Sales / desk</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360, leads, communications, inventory matching, appraisal, desking, approvals and deal collaboration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F&amp;I / title / delivery</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and lender coordination, products, conditions, notices, deposits, funding, title, registration and handoff</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vehicle selection, saved journey, trade, deal terms, documents, e-sign, payment and delivery status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 / controller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Cashiering, exceptions, subledgers, journals, reconciliation, close, consolidated reporting</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Admin / support</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Tenant/org setup, policies, entitlements, imports, integrations, access, health, evidence</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Developer / partner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API docs, sandbox, credentials, scopes, subscriptions, usage, delivery logs, certification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Fixed Ops</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module only; no new advisor, technician, service-parts or repair workflow before FBL-300+</w:t>
            </w:r>
          </w:p>
        </w:tc>
      </w:tr>
    </w:tbl>
    <w:p>
      <w:pPr>
        <w:spacing w:after="0"/>
      </w:pPr>
    </w:p>
    <w:p>
      <w:pPr>
        <w:pStyle w:val="Heading2"/>
      </w:pPr>
      <w:r>
        <w:t>12.2 Experience rules</w:t>
      </w:r>
    </w:p>
    <w:p>
      <w:pPr>
        <w:pStyle w:val="ListBullet"/>
        <w:keepLines/>
      </w:pPr>
      <w:r>
        <w:t>Design around exception queues and next-best actions, not database CRUD screens.</w:t>
      </w:r>
    </w:p>
    <w:p>
      <w:pPr>
        <w:pStyle w:val="ListBullet"/>
        <w:keepLines/>
      </w:pPr>
      <w:r>
        <w:t>Show the source and effective version of price, policy, customer consent, and external decision.</w:t>
      </w:r>
    </w:p>
    <w:p>
      <w:pPr>
        <w:pStyle w:val="ListBullet"/>
        <w:keepLines/>
      </w:pPr>
      <w:r>
        <w:t>Preserve a shared timeline across customer, vehicle, stock unit, lead, deal, document, funding and communication while respecting role scopes.</w:t>
      </w:r>
    </w:p>
    <w:p>
      <w:pPr>
        <w:pStyle w:val="ListBullet"/>
        <w:keepLines/>
      </w:pPr>
      <w:r>
        <w:t>Make high-risk actions visually distinct and require reason, preview, assurance, and confirmation.</w:t>
      </w:r>
    </w:p>
    <w:p>
      <w:pPr>
        <w:pStyle w:val="ListBullet"/>
        <w:keepLines/>
      </w:pPr>
      <w:r>
        <w:t>Build responsive, keyboard-complete, screen-reader-friendly workflows; mobile inventory and sales users need resilient capture and offline-safe drafts where authorized.</w:t>
      </w:r>
    </w:p>
    <w:p>
      <w:pPr>
        <w:pStyle w:val="ListBullet"/>
        <w:keepLines/>
      </w:pPr>
      <w:r>
        <w:t>Use a common design system, localization keys, telemetry events, and generated typed clients across every surface.</w:t>
      </w:r>
    </w:p>
    <w:p>
      <w:pPr>
        <w:pStyle w:val="Heading2"/>
      </w:pPr>
      <w:r>
        <w:t>12.3 Analytics architecture</w:t>
      </w:r>
    </w:p>
    <w:p>
      <w:pPr>
        <w:spacing w:before="0" w:after="120" w:line="264" w:lineRule="auto"/>
      </w:pPr>
      <w:r>
        <w:rPr>
          <w:rFonts w:ascii="Calibri" w:hAnsi="Calibri"/>
          <w:b w:val="0"/>
          <w:i w:val="0"/>
          <w:color w:val="1F2328"/>
        </w:rPr>
        <w:t>Operational metrics must be defined in a versioned semantic layer. Domain events and CDC feed a warehouse/lakehouse; transformations produce conformed customer, vehicle, inventory, campaign, lead, deal, funding, delivery and accounting dimensions/facts. Every dashboard metric declares grain, filters, time semantics, currency conversion, and source lineage.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726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7"/>
              </w:rPr>
              <w:t>North-star area</w:t>
            </w:r>
          </w:p>
        </w:tc>
        <w:tc>
          <w:tcPr>
            <w:tcW w:type="dxa" w:w="7260"/>
            <w:tcMar>
              <w:top w:w="80" w:type="dxa"/>
              <w:start w:w="120" w:type="dxa"/>
              <w:bottom w:w="80" w:type="dxa"/>
              <w:end w:w="120" w:type="dxa"/>
            </w:tcMar>
            <w:shd w:fill="F2F4F7"/>
            <w:vAlign w:val="center"/>
          </w:tcPr>
          <w:p>
            <w:pPr>
              <w:keepNext/>
              <w:spacing w:after="0"/>
            </w:pPr>
            <w:r>
              <w:rPr>
                <w:rFonts w:ascii="Calibri" w:hAnsi="Calibri"/>
                <w:b/>
                <w:color w:val="0B2545"/>
                <w:sz w:val="17"/>
              </w:rPr>
              <w:t>Example measures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Days from acquisition to retail-ready, listing completeness, age bands, turns, price changes, holds, transfer cycle and gross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Marketing / BDC</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Spend, delivery, response, lead source, first response, appointment, show, suppression, attribution and ROI</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Sales</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Lead response, appointment/show/close, gross, inventory age, appraisal variance, deal cycle and salesperson performance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Journey completion, repeat purchase, referral, satisfaction, consent and channel health</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Funding / delivery</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Decision and condition cycle, contracts-in-transit, funding age, title exceptions and delivery completion</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Daily close lag, unposted exceptions, cash variance, AR/AP aging, reconciliation age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Adoption, workflow completion, connector health, support burden, per-tenant cost, SLO attainment</w:t>
            </w:r>
          </w:p>
        </w:tc>
      </w:tr>
    </w:tbl>
    <w:p>
      <w:pPr>
        <w:spacing w:after="0"/>
      </w:pPr>
    </w:p>
    <w:p>
      <w:pPr>
        <w:pStyle w:val="Heading2"/>
      </w:pPr>
      <w:r>
        <w:t>12.4 AI capability map and guardrails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50"/>
        <w:gridCol w:w="4000"/>
        <w:gridCol w:w="3610"/>
      </w:tblGrid>
      <w:tr>
        <w:trPr>
          <w:cantSplit/>
          <w:tblHeader w:val="true"/>
        </w:trPr>
        <w:tc>
          <w:tcPr>
            <w:tcW w:type="dxa" w:w="175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4000"/>
            <w:tcMar>
              <w:top w:w="80" w:type="dxa"/>
              <w:start w:w="120" w:type="dxa"/>
              <w:bottom w:w="80" w:type="dxa"/>
              <w:end w:w="120" w:type="dxa"/>
            </w:tcMar>
            <w:shd w:fill="F2F4F7"/>
            <w:vAlign w:val="center"/>
          </w:tcPr>
          <w:p>
            <w:pPr>
              <w:keepNext/>
              <w:spacing w:after="0"/>
            </w:pPr>
            <w:r>
              <w:rPr>
                <w:rFonts w:ascii="Calibri" w:hAnsi="Calibri"/>
                <w:b/>
                <w:color w:val="0B2545"/>
                <w:sz w:val="16"/>
              </w:rPr>
              <w:t>Use</w:t>
            </w:r>
          </w:p>
        </w:tc>
        <w:tc>
          <w:tcPr>
            <w:tcW w:type="dxa" w:w="3610"/>
            <w:tcMar>
              <w:top w:w="80" w:type="dxa"/>
              <w:start w:w="120" w:type="dxa"/>
              <w:bottom w:w="80" w:type="dxa"/>
              <w:end w:w="120" w:type="dxa"/>
            </w:tcMar>
            <w:shd w:fill="F2F4F7"/>
            <w:vAlign w:val="center"/>
          </w:tcPr>
          <w:p>
            <w:pPr>
              <w:keepNext/>
              <w:spacing w:after="0"/>
            </w:pPr>
            <w:r>
              <w:rPr>
                <w:rFonts w:ascii="Calibri" w:hAnsi="Calibri"/>
                <w:b/>
                <w:color w:val="0B2545"/>
                <w:sz w:val="16"/>
              </w:rPr>
              <w:t>Boundary</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Copilot</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Summaries, suggested next action, policy-aware search, form assistance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Citations to records; user confirms mutations</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CRM/sales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Lead prioritization, outreach draft, conversation summary, inventory match</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Consent and suppression enforced outside the model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Acquisition/recon/price recommendations and aging risk</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Inputs and comparable evidence visible; human approval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Audience suggestion, content draft, channel mix, timing and attribution explanation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Consent, suppression, budget and activation remain deterministic and human-controlled</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Desking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Scenario explanation, missing-data detection and manager exception guidance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Never sets binding terms, incentives, taxes or approvals autonomously</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F&amp;I coordination</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Condition classification, document checklist and next-step guidance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autonomous credit decision, lender selection, product sale or adverse-action reason</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OCR/classification/extraction and missing-field detection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Confidence thresholds, source boxes, human review</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Risk</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Anomaly detection and case prioritization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autonomous credit denial, sanctions disposition, or adverse action reason</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suggestions and exception explanation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Never autonomously post or alter a journal</w:t>
            </w:r>
          </w:p>
        </w:tc>
      </w:tr>
    </w:tbl>
    <w:p>
      <w:pPr>
        <w:spacing w:after="0"/>
      </w:pPr>
    </w:p>
    <w:p>
      <w:pPr>
        <w:spacing w:before="0" w:after="120" w:line="264" w:lineRule="auto"/>
      </w:pPr>
      <w:r>
        <w:rPr>
          <w:rFonts w:ascii="Calibri" w:hAnsi="Calibri"/>
          <w:b w:val="0"/>
          <w:i w:val="0"/>
          <w:color w:val="1F2328"/>
        </w:rPr>
        <w:t>Every AI action records model/version, system policy version, retrieved evidence IDs, prompt template version, output, user edits, final action, and evaluation result. PII is minimized; provider retention/training settings are contractually controlled. Release requires offline evals, red-team cases, hallucination/failure thresholds, and rollback.</w:t>
      </w:r>
    </w:p>
    <w:p>
      <w:r>
        <w:br w:type="page"/>
      </w:r>
    </w:p>
    <w:p>
      <w:pPr>
        <w:pStyle w:val="Heading1"/>
      </w:pPr>
      <w:r>
        <w:t>13. Governing Forward-Only Product Roadmap</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Roadmap authority</w:t>
            </w:r>
          </w:p>
          <w:p>
            <w:pPr>
              <w:spacing w:after="0" w:line="264" w:lineRule="auto"/>
            </w:pPr>
            <w:r>
              <w:rPr>
                <w:rFonts w:ascii="Calibri" w:hAnsi="Calibri"/>
                <w:color w:val="1F2328"/>
                <w:sz w:val="21"/>
              </w:rPr>
              <w:t>This section supersedes every prior Fixed Ops-first roadmap, vague FBL-200+ expansion statement, and conflicting product sequence. FBL-000 and FBL-010 remain permanently closed. FBL-020-R2 is the only active code-bearing order. No later phase may start until its immediate predecessor is formally closed.</w:t>
            </w:r>
          </w:p>
        </w:tc>
      </w:tr>
    </w:tbl>
    <w:p>
      <w:pPr>
        <w:spacing w:after="0"/>
      </w:pPr>
    </w:p>
    <w:p>
      <w:pPr>
        <w:pStyle w:val="Heading2"/>
      </w:pPr>
      <w:r>
        <w:t>13.1 Product scope freeze</w:t>
      </w:r>
    </w:p>
    <w:p>
      <w:pPr>
        <w:spacing w:before="0" w:after="120" w:line="264" w:lineRule="auto"/>
      </w:pPr>
      <w:r>
        <w:rPr>
          <w:rFonts w:ascii="Calibri" w:hAnsi="Calibri"/>
          <w:b w:val="0"/>
          <w:i w:val="0"/>
          <w:color w:val="1F2328"/>
        </w:rPr>
        <w:t>The commercial product is Dealership Management &amp; Sales Cloud: dealership administration, customer and vehicle master, inventory, merchandising, CRM/BDC, marketing, sales pipeline, showroom management, appraisal, desking, digital retail, deal jacket, F&amp;I coordination, funding and delivery operations, workforce management, and executive reporting.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160"/>
        <w:gridCol w:w="4200"/>
      </w:tblGrid>
      <w:tr>
        <w:trPr>
          <w:cantSplit/>
          <w:tblHeader w:val="true"/>
        </w:trPr>
        <w:tc>
          <w:tcPr>
            <w:tcW w:type="dxa" w:w="5160"/>
            <w:tcMar>
              <w:top w:w="80" w:type="dxa"/>
              <w:start w:w="120" w:type="dxa"/>
              <w:bottom w:w="80" w:type="dxa"/>
              <w:end w:w="120" w:type="dxa"/>
            </w:tcMar>
            <w:shd w:fill="F2F4F7"/>
            <w:vAlign w:val="center"/>
          </w:tcPr>
          <w:p>
            <w:pPr>
              <w:keepNext/>
              <w:spacing w:after="0"/>
            </w:pPr>
            <w:r>
              <w:rPr>
                <w:rFonts w:ascii="Calibri" w:hAnsi="Calibri"/>
                <w:b/>
                <w:color w:val="0B2545"/>
                <w:sz w:val="16"/>
              </w:rPr>
              <w:t>Required in commercial V1</w:t>
            </w:r>
          </w:p>
        </w:tc>
        <w:tc>
          <w:tcPr>
            <w:tcW w:type="dxa" w:w="4200"/>
            <w:tcMar>
              <w:top w:w="80" w:type="dxa"/>
              <w:start w:w="120" w:type="dxa"/>
              <w:bottom w:w="80" w:type="dxa"/>
              <w:end w:w="120" w:type="dxa"/>
            </w:tcMar>
            <w:shd w:fill="F2F4F7"/>
            <w:vAlign w:val="center"/>
          </w:tcPr>
          <w:p>
            <w:pPr>
              <w:keepNext/>
              <w:spacing w:after="0"/>
            </w:pPr>
            <w:r>
              <w:rPr>
                <w:rFonts w:ascii="Calibri" w:hAnsi="Calibri"/>
                <w:b/>
                <w:color w:val="0B2545"/>
                <w:sz w:val="16"/>
              </w:rPr>
              <w:t>Excluded unless separately authorized</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Dealership, rooftop, department, staff, role, policy, branding, hours, and operating configuration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orders, service appointments, DVI/MPI, technician dispatch, technician time, service-bay scheduling</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360, consent, deduplication, imports, vehicle master, ownership and relationship history</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Service-parts procurement, warranty repair, sublet repair, comebacks, declined-service campaigns</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 acquisition, stock identity, location, costs, photos, pricing, holds, transfers, aging and listings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repair-shop management or enhancement of the inherited Fixed Ops product</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Leads, CRM/BDC, campaigns, attribution, appointments, showroom, follow-up, won/lost analysis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payroll or human-resources system of record</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Trade appraisal, manager-approved deal scenarios, online/in-store continuity, documents and e-sign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dealership GL, AP, AR, floorplan and consolidated close before FBL-200</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F&amp;I provider coordination, deposits/payments, funding conditions, title, registration, delivery and sold reconciliation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Autonomous AI decisions involving credit, money, legal rights, compliance, or customer commitments</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Goals, territories, commissions, approvals, alerts, scorecards, inventory performance, marketing ROI and sales reporting</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Uncertified OEM, lender, DMV/title, tax, valuation, payment, messaging, or identity integrations</w:t>
            </w:r>
          </w:p>
        </w:tc>
      </w:tr>
    </w:tbl>
    <w:p>
      <w:pPr>
        <w:spacing w:after="0"/>
      </w:pPr>
    </w:p>
    <w:p>
      <w:pPr>
        <w:spacing w:before="0" w:after="120" w:line="264" w:lineRule="auto"/>
      </w:pPr>
      <w:r>
        <w:rPr>
          <w:rFonts w:ascii="Calibri" w:hAnsi="Calibri"/>
          <w:b w:val="0"/>
          <w:i/>
          <w:color w:val="5B6573"/>
          <w:sz w:val="19"/>
        </w:rPr>
        <w:t>Inventory reconditioning may record vendor, status, estimated cost, actual cost, target completion date, and retail-readiness. It must not expand into repair diagnosis, work orders, technician scheduling, labor operations, or parts-service workflow.</w:t>
      </w:r>
    </w:p>
    <w:p>
      <w:pPr>
        <w:pStyle w:val="Heading2"/>
      </w:pPr>
      <w:r>
        <w:t>13.2 Phase map to the commercial finish line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220"/>
        <w:gridCol w:w="1100"/>
        <w:gridCol w:w="3850"/>
        <w:gridCol w:w="3190"/>
      </w:tblGrid>
      <w:tr>
        <w:trPr>
          <w:cantSplit/>
          <w:tblHeader w:val="true"/>
        </w:trPr>
        <w:tc>
          <w:tcPr>
            <w:tcW w:type="dxa" w:w="1220"/>
            <w:tcMar>
              <w:top w:w="80" w:type="dxa"/>
              <w:start w:w="120" w:type="dxa"/>
              <w:bottom w:w="80" w:type="dxa"/>
              <w:end w:w="120" w:type="dxa"/>
            </w:tcMar>
            <w:shd w:fill="F2F4F7"/>
            <w:vAlign w:val="center"/>
          </w:tcPr>
          <w:p>
            <w:pPr>
              <w:keepNext/>
              <w:spacing w:after="0"/>
            </w:pPr>
            <w:r>
              <w:rPr>
                <w:rFonts w:ascii="Calibri" w:hAnsi="Calibri"/>
                <w:b/>
                <w:color w:val="0B2545"/>
                <w:sz w:val="14"/>
              </w:rPr>
              <w:t>Phase</w:t>
            </w:r>
          </w:p>
        </w:tc>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4"/>
              </w:rPr>
              <w:t>Status</w:t>
            </w:r>
          </w:p>
        </w:tc>
        <w:tc>
          <w:tcPr>
            <w:tcW w:type="dxa" w:w="3850"/>
            <w:tcMar>
              <w:top w:w="80" w:type="dxa"/>
              <w:start w:w="120" w:type="dxa"/>
              <w:bottom w:w="80" w:type="dxa"/>
              <w:end w:w="120" w:type="dxa"/>
            </w:tcMar>
            <w:shd w:fill="F2F4F7"/>
            <w:vAlign w:val="center"/>
          </w:tcPr>
          <w:p>
            <w:pPr>
              <w:keepNext/>
              <w:spacing w:after="0"/>
            </w:pPr>
            <w:r>
              <w:rPr>
                <w:rFonts w:ascii="Calibri" w:hAnsi="Calibri"/>
                <w:b/>
                <w:color w:val="0B2545"/>
                <w:sz w:val="14"/>
              </w:rPr>
              <w:t>Required result</w:t>
            </w:r>
          </w:p>
        </w:tc>
        <w:tc>
          <w:tcPr>
            <w:tcW w:type="dxa" w:w="3190"/>
            <w:tcMar>
              <w:top w:w="80" w:type="dxa"/>
              <w:start w:w="120" w:type="dxa"/>
              <w:bottom w:w="80" w:type="dxa"/>
              <w:end w:w="120" w:type="dxa"/>
            </w:tcMar>
            <w:shd w:fill="F2F4F7"/>
            <w:vAlign w:val="center"/>
          </w:tcPr>
          <w:p>
            <w:pPr>
              <w:keepNext/>
              <w:spacing w:after="0"/>
            </w:pPr>
            <w:r>
              <w:rPr>
                <w:rFonts w:ascii="Calibri" w:hAnsi="Calibri"/>
                <w:b/>
                <w:color w:val="0B2545"/>
                <w:sz w:val="14"/>
              </w:rPr>
              <w:t>Binary exit gate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FBL-000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Reproducible baseline</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evidence remains immutable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FBL-010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Architecture shell and enforceable boundaries</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evidence remains immutable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FBL-020-R2</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ACTIVE</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Complete identity, organization, session revocation, MFA, support access, provider refresh and audit boundary</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R2 code gate accepted; live certification completed or isolated as the sole external blocker</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FBL-030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BLOCKED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PostgreSQL tenant isolation, RLS, tenant-qualified relationships and transaction context</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Database denies cross-tenant access when application filters are removed</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FBL-040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BLOCKED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OpenAPI, Problem Details, idempotency, audit evidence, outbox, timers, correlation and integration kernel</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Duplicate requests are safe; events replay without loss or duplication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FBL-050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Usable staff application shell and dealership administration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Owner configures dealership, rooftops, departments, users, roles, branding, hours and policies in the UI</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FBL-060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Customer 360, contact preferences, consent, deduplication, merge and imports</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Golden import reconciles and every customer action remains tenant-safe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FBL-070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Vehicle master and inventory acquisition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Vehicle moves from acquisition to unique stock identity, location, documents, costs and retail-ready status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FBL-080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Inventory operations and merchandising</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Pricing, photos, features, aging, holds, transfers and listing feeds reconcile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FBL-090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CRM and BDC operations</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Lead is captured, deduplicated, assigned, contacted, scheduled, advanced and measured without loss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FBL-100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Sales pipeline and showroom management</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Customer advances through appointment, arrival, vehicle selection, demo, follow-up, negotiation and disposition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FBL-110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Marketing management, consent and attribution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Campaign-to-response-to-lead-to-revenue is suppressed, attributed and reconciled</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FBL-120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Appraisal, trade, pricing and desking</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Deterministic scenarios calculate; manager freezes one exact approved version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FBL-130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Digital retail and customer continuity</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Online journey continues in-store with the same customer, vehicle, trade, price and deal version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FBL-140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Deal jacket, document checklist and e-sign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Complete versioned package is generated, reviewed, signed, retained and attributable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FBL-150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F&amp;I, credit, lender and compliance coordination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Consent-to-decision journey works through certified adapters with conditions, products, notices and evidence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FBL-160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Payment, funding, title, registration and delivery</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Deal funds and delivers; payment reconciles; title advances; vehicle becomes sold; accounting export balances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FBL-170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Workforce and executive management</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Goals, commissions, approvals, scorecards, alerts and management reports reconcile to source facts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FBL-180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SaaS operations and production hardening</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Provisioning, billing, imports, support, security, accessibility, load, restore, DR and training pass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FBL-190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Controlled pilot and commercial launch</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Two rooftops complete agreed acquisition-to-delivery volume with no critical defects and signed acceptance</w:t>
            </w:r>
          </w:p>
        </w:tc>
      </w:tr>
    </w:tbl>
    <w:p>
      <w:pPr>
        <w:spacing w:after="0"/>
      </w:pPr>
    </w:p>
    <w:p>
      <w:pPr>
        <w:pStyle w:val="Heading2"/>
      </w:pPr>
      <w:r>
        <w:t>13.3 Commercial V1 finish line</w:t>
      </w:r>
    </w:p>
    <w:p>
      <w:pPr>
        <w:pStyle w:val="ListNumber"/>
        <w:keepLines/>
        <w:numPr>
          <w:ilvl w:val="0"/>
          <w:numId w:val="902"/>
        </w:numPr>
      </w:pPr>
      <w:r>
        <w:t>Configure dealership, rooftops, departments, staff, roles and operating policies.</w:t>
      </w:r>
    </w:p>
    <w:p>
      <w:pPr>
        <w:pStyle w:val="ListNumber"/>
        <w:keepLines/>
        <w:numPr>
          <w:ilvl w:val="0"/>
          <w:numId w:val="902"/>
        </w:numPr>
      </w:pPr>
      <w:r>
        <w:t>Acquire a vehicle; establish canonical vehicle and stock identity; record location, costs, documents and retail readiness.</w:t>
      </w:r>
    </w:p>
    <w:p>
      <w:pPr>
        <w:pStyle w:val="ListNumber"/>
        <w:keepLines/>
        <w:numPr>
          <w:ilvl w:val="0"/>
          <w:numId w:val="902"/>
        </w:numPr>
      </w:pPr>
      <w:r>
        <w:t>Price, photograph, merchandise, publish and reconcile the listing.</w:t>
      </w:r>
    </w:p>
    <w:p>
      <w:pPr>
        <w:pStyle w:val="ListNumber"/>
        <w:keepLines/>
        <w:numPr>
          <w:ilvl w:val="0"/>
          <w:numId w:val="902"/>
        </w:numPr>
      </w:pPr>
      <w:r>
        <w:t>Capture, deduplicate, assign and work a lead through compliant CRM/BDC and marketing follow-up.</w:t>
      </w:r>
    </w:p>
    <w:p>
      <w:pPr>
        <w:pStyle w:val="ListNumber"/>
        <w:keepLines/>
        <w:numPr>
          <w:ilvl w:val="0"/>
          <w:numId w:val="902"/>
        </w:numPr>
      </w:pPr>
      <w:r>
        <w:t>Schedule and manage the showroom journey, vehicle selection, demo, trade appraisal and negotiation.</w:t>
      </w:r>
    </w:p>
    <w:p>
      <w:pPr>
        <w:pStyle w:val="ListNumber"/>
        <w:keepLines/>
        <w:numPr>
          <w:ilvl w:val="0"/>
          <w:numId w:val="902"/>
        </w:numPr>
      </w:pPr>
      <w:r>
        <w:t>Create deterministic deal scenarios and freeze one manager-approved version.</w:t>
      </w:r>
    </w:p>
    <w:p>
      <w:pPr>
        <w:pStyle w:val="ListNumber"/>
        <w:keepLines/>
        <w:numPr>
          <w:ilvl w:val="0"/>
          <w:numId w:val="902"/>
        </w:numPr>
      </w:pPr>
      <w:r>
        <w:t>Continue any online journey in-store without rekeying customer, vehicle, trade, pricing or deal facts.</w:t>
      </w:r>
    </w:p>
    <w:p>
      <w:pPr>
        <w:pStyle w:val="ListNumber"/>
        <w:keepLines/>
        <w:numPr>
          <w:ilvl w:val="0"/>
          <w:numId w:val="902"/>
        </w:numPr>
      </w:pPr>
      <w:r>
        <w:t>Generate, review, sign and retain the versioned deal jacket.</w:t>
      </w:r>
    </w:p>
    <w:p>
      <w:pPr>
        <w:pStyle w:val="ListNumber"/>
        <w:keepLines/>
        <w:numPr>
          <w:ilvl w:val="0"/>
          <w:numId w:val="902"/>
        </w:numPr>
      </w:pPr>
      <w:r>
        <w:t>Coordinate credit, lender, F&amp;I products, conditions and required notices through certified providers.</w:t>
      </w:r>
    </w:p>
    <w:p>
      <w:pPr>
        <w:pStyle w:val="ListNumber"/>
        <w:keepLines/>
        <w:numPr>
          <w:ilvl w:val="0"/>
          <w:numId w:val="902"/>
        </w:numPr>
      </w:pPr>
      <w:r>
        <w:t>Collect and reconcile deposits/payments; satisfy funding, title and registration requirements; deliver the vehicle.</w:t>
      </w:r>
    </w:p>
    <w:p>
      <w:pPr>
        <w:pStyle w:val="ListNumber"/>
        <w:keepLines/>
        <w:numPr>
          <w:ilvl w:val="0"/>
          <w:numId w:val="902"/>
        </w:numPr>
      </w:pPr>
      <w:r>
        <w:t>Mark the stock sold and reconcile gross, attribution, salesperson, inventory and executive performance reporting.</w:t>
      </w: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Definition of commercially complete</w:t>
            </w:r>
          </w:p>
          <w:p>
            <w:pPr>
              <w:spacing w:after="0" w:line="264" w:lineRule="auto"/>
            </w:pPr>
            <w:r>
              <w:rPr>
                <w:rFonts w:ascii="Calibri" w:hAnsi="Calibri"/>
                <w:color w:val="1F2328"/>
                <w:sz w:val="21"/>
              </w:rPr>
              <w:t>A real dealership employee must complete the entire acquisition-to-delivery and lead-to-sale journey through production interfaces without spreadsheet work or duplicate entry, except a documented temporary fallback for an external provider. FBL-190 is not full Tekion/CDK/Reynolds/Dealertrack parity; management-focused DMS parity requires FBL-200 through FBL-220.</w:t>
            </w:r>
          </w:p>
        </w:tc>
      </w:tr>
    </w:tbl>
    <w:p>
      <w:pPr>
        <w:spacing w:after="0"/>
      </w:pPr>
    </w:p>
    <w:p>
      <w:pPr>
        <w:pStyle w:val="Heading2"/>
      </w:pPr>
      <w:r>
        <w:t>13.4 Enterprise expansion after V1</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500"/>
        <w:gridCol w:w="7860"/>
      </w:tblGrid>
      <w:tr>
        <w:trPr>
          <w:cantSplit/>
          <w:tblHeader w:val="true"/>
        </w:trPr>
        <w:tc>
          <w:tcPr>
            <w:tcW w:type="dxa" w:w="1500"/>
            <w:tcMar>
              <w:top w:w="80" w:type="dxa"/>
              <w:start w:w="120" w:type="dxa"/>
              <w:bottom w:w="80" w:type="dxa"/>
              <w:end w:w="120" w:type="dxa"/>
            </w:tcMar>
            <w:shd w:fill="F2F4F7"/>
            <w:vAlign w:val="center"/>
          </w:tcPr>
          <w:p>
            <w:pPr>
              <w:keepNext/>
              <w:spacing w:after="0"/>
            </w:pPr>
            <w:r>
              <w:rPr>
                <w:rFonts w:ascii="Calibri" w:hAnsi="Calibri"/>
                <w:b/>
                <w:color w:val="0B2545"/>
                <w:sz w:val="17"/>
              </w:rPr>
              <w:t>Phase</w:t>
            </w:r>
          </w:p>
        </w:tc>
        <w:tc>
          <w:tcPr>
            <w:tcW w:type="dxa" w:w="7860"/>
            <w:tcMar>
              <w:top w:w="80" w:type="dxa"/>
              <w:start w:w="120" w:type="dxa"/>
              <w:bottom w:w="80" w:type="dxa"/>
              <w:end w:w="120" w:type="dxa"/>
            </w:tcMar>
            <w:shd w:fill="F2F4F7"/>
            <w:vAlign w:val="center"/>
          </w:tcPr>
          <w:p>
            <w:pPr>
              <w:keepNext/>
              <w:spacing w:after="0"/>
            </w:pPr>
            <w:r>
              <w:rPr>
                <w:rFonts w:ascii="Calibri" w:hAnsi="Calibri"/>
                <w:b/>
                <w:color w:val="0B2545"/>
                <w:sz w:val="17"/>
              </w:rPr>
              <w:t>Outcome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FBL-200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dealership accounting: GL, AR, AP, cashiering, floorplan, bank reconciliation, commissions and month-end close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FBL-210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 multi-rooftop controls, shared services, consolidated reporting and close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FBL-220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Expanded OEM, lender, DMV/title, tax, valuation, marketplace and compliance certifications</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FBL-230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Partner/developer platform, sandbox, marketplace, connector certification and monetization</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FBL-240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Governed AI for inventory, CRM, marketing, sales, management forecasting and exception guidance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FBL-300+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Fixed Ops/repairs only after a separate product-owner authorization and independently locked roadmap</w:t>
            </w:r>
          </w:p>
        </w:tc>
      </w:tr>
    </w:tbl>
    <w:p>
      <w:pPr>
        <w:spacing w:after="0"/>
      </w:pPr>
    </w:p>
    <w:p>
      <w:pPr>
        <w:pStyle w:val="Heading2"/>
      </w:pPr>
      <w:r>
        <w:t>13.5 Existing-code and data transition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Asset</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Binding transition rule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Fixed Ops module</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Freeze behind its module boundary; permit only security, compatibility, migration and regression fixes before FBL-300+</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Current service tables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by forward migration and compatibility repositories; do not make them dependencies of management-and-sales contexts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Existing IDs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as legacy external IDs; issue canonical IDs and maintain explicit mappings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Audit events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historical evidence; new events use the durable envelope and remain append-only</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Routes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characterized inherited behavior; publish new /api/v1 management-and-sales contracts through FBL-040 onward</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Tests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Keep inherited characterization tests green; new phases add real PostgreSQL, security-negative, contract and end-to-end proofs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imports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Stage, normalize, match, validate, reconcile, obtain business signoff, cut over, and retain source snapshots</w:t>
            </w:r>
          </w:p>
        </w:tc>
      </w:tr>
    </w:tbl>
    <w:p>
      <w:pPr>
        <w:spacing w:after="0"/>
      </w:pPr>
    </w:p>
    <w:p>
      <w:pPr>
        <w:pStyle w:val="Heading2"/>
      </w:pPr>
      <w:r>
        <w:t>13.6 No-loop execution law</w:t>
      </w:r>
    </w:p>
    <w:p>
      <w:pPr>
        <w:pStyle w:val="ListNumber"/>
        <w:keepLines/>
        <w:numPr>
          <w:ilvl w:val="0"/>
          <w:numId w:val="903"/>
        </w:numPr>
      </w:pPr>
      <w:r>
        <w:t>Only one code-bearing phase may be ACTIVE. Work from a later phase is prohibited.</w:t>
      </w:r>
    </w:p>
    <w:p>
      <w:pPr>
        <w:pStyle w:val="ListNumber"/>
        <w:keepLines/>
        <w:numPr>
          <w:ilvl w:val="0"/>
          <w:numId w:val="903"/>
        </w:numPr>
      </w:pPr>
      <w:r>
        <w:t>Specification locks before coding: users, journeys, screens, ownership, schema, API/events, permissions, reports, acceptance cases and non-goals.</w:t>
      </w:r>
    </w:p>
    <w:p>
      <w:pPr>
        <w:pStyle w:val="ListNumber"/>
        <w:keepLines/>
        <w:numPr>
          <w:ilvl w:val="0"/>
          <w:numId w:val="903"/>
        </w:numPr>
      </w:pPr>
      <w:r>
        <w:t>Every business phase after FBL-040 delivers a usable UI; backend-only completion is prohibited.</w:t>
      </w:r>
    </w:p>
    <w:p>
      <w:pPr>
        <w:pStyle w:val="ListNumber"/>
        <w:keepLines/>
        <w:numPr>
          <w:ilvl w:val="0"/>
          <w:numId w:val="903"/>
        </w:numPr>
      </w:pPr>
      <w:r>
        <w:t>One consolidated gate review covers product, architecture, data, security, UI, migrations, tests, operations and documentation.</w:t>
      </w:r>
    </w:p>
    <w:p>
      <w:pPr>
        <w:pStyle w:val="ListNumber"/>
        <w:keepLines/>
        <w:numPr>
          <w:ilvl w:val="0"/>
          <w:numId w:val="903"/>
        </w:numPr>
      </w:pPr>
      <w:r>
        <w:t>Allowed statuses are PLANNED, SPECIFICATION LOCKED, ACTIVE, GATE REVIEW, CLOSED and BLOCKED.</w:t>
      </w:r>
    </w:p>
    <w:p>
      <w:pPr>
        <w:pStyle w:val="ListNumber"/>
        <w:keepLines/>
        <w:numPr>
          <w:ilvl w:val="0"/>
          <w:numId w:val="903"/>
        </w:numPr>
      </w:pPr>
      <w:r>
        <w:t>Closed phases never reopen. Correct later defects through a forward-numbered order and new forward migration.</w:t>
      </w:r>
    </w:p>
    <w:p>
      <w:pPr>
        <w:pStyle w:val="ListNumber"/>
        <w:keepLines/>
        <w:numPr>
          <w:ilvl w:val="0"/>
          <w:numId w:val="903"/>
        </w:numPr>
      </w:pPr>
      <w:r>
        <w:t>Every gate requires exact final-head CI, fresh and upgraded database proof, negative security tests, journey evidence and zero unexplained skips.</w:t>
      </w:r>
    </w:p>
    <w:p>
      <w:pPr>
        <w:pStyle w:val="ListNumber"/>
        <w:keepLines/>
        <w:numPr>
          <w:ilvl w:val="0"/>
          <w:numId w:val="903"/>
        </w:numPr>
      </w:pPr>
      <w:r>
        <w:t>Out-of-scope ideas enter the later-phase register; they do not enter the active implementation.</w:t>
      </w:r>
    </w:p>
    <w:p>
      <w:pPr>
        <w:pStyle w:val="ListNumber"/>
        <w:keepLines/>
        <w:numPr>
          <w:ilvl w:val="0"/>
          <w:numId w:val="903"/>
        </w:numPr>
      </w:pPr>
      <w:r>
        <w:t>Closeout uses at most one code-bearing commit and one documentation-only commit. Never create a self-referential run-number loop.</w:t>
      </w:r>
    </w:p>
    <w:p>
      <w:pPr>
        <w:pStyle w:val="ListNumber"/>
        <w:keepLines/>
        <w:numPr>
          <w:ilvl w:val="0"/>
          <w:numId w:val="903"/>
        </w:numPr>
      </w:pPr>
      <w:r>
        <w:t>The next phase remains unauthorized until the architect and product owner formally close the active phase.</w:t>
      </w:r>
    </w:p>
    <w:p>
      <w:r>
        <w:br w:type="page"/>
      </w:r>
    </w:p>
    <w:p>
      <w:pPr>
        <w:pStyle w:val="Heading1"/>
      </w:pPr>
      <w:r>
        <w:t>14. Fable Implementation Orders</w:t>
      </w:r>
    </w:p>
    <w:p>
      <w:pPr>
        <w:pStyle w:val="Heading2"/>
      </w:pPr>
      <w:r>
        <w:t>14.1 Execution contract</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Instruction to Fable</w:t>
            </w:r>
          </w:p>
          <w:p>
            <w:pPr>
              <w:spacing w:after="0" w:line="264" w:lineRule="auto"/>
            </w:pPr>
            <w:r>
              <w:rPr>
                <w:rFonts w:ascii="Calibri" w:hAnsi="Calibri"/>
                <w:color w:val="1F2328"/>
                <w:sz w:val="21"/>
              </w:rPr>
              <w:t>Implement only the order whose status is ACTIVE. Do not add adjacent features, alter the approved product sequence, edit an accepted migration, skip a required test, or proceed past a gate. When blocked, return evidence, options, and a recommendation. Only the architect/product owner may close the order and authorize its successor.</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700"/>
        <w:gridCol w:w="6660"/>
      </w:tblGrid>
      <w:tr>
        <w:trPr>
          <w:cantSplit/>
          <w:tblHeader w:val="true"/>
        </w:trPr>
        <w:tc>
          <w:tcPr>
            <w:tcW w:type="dxa" w:w="2700"/>
            <w:tcMar>
              <w:top w:w="80" w:type="dxa"/>
              <w:start w:w="120" w:type="dxa"/>
              <w:bottom w:w="80" w:type="dxa"/>
              <w:end w:w="120" w:type="dxa"/>
            </w:tcMar>
            <w:shd w:fill="F2F4F7"/>
            <w:vAlign w:val="center"/>
          </w:tcPr>
          <w:p>
            <w:pPr>
              <w:keepNext/>
              <w:spacing w:after="0"/>
            </w:pPr>
            <w:r>
              <w:rPr>
                <w:rFonts w:ascii="Calibri" w:hAnsi="Calibri"/>
                <w:b/>
                <w:color w:val="0B2545"/>
                <w:sz w:val="17"/>
              </w:rPr>
              <w:t>Packet field</w:t>
            </w:r>
          </w:p>
        </w:tc>
        <w:tc>
          <w:tcPr>
            <w:tcW w:type="dxa" w:w="6660"/>
            <w:tcMar>
              <w:top w:w="80" w:type="dxa"/>
              <w:start w:w="120" w:type="dxa"/>
              <w:bottom w:w="80" w:type="dxa"/>
              <w:end w:w="120" w:type="dxa"/>
            </w:tcMar>
            <w:shd w:fill="F2F4F7"/>
            <w:vAlign w:val="center"/>
          </w:tcPr>
          <w:p>
            <w:pPr>
              <w:keepNext/>
              <w:spacing w:after="0"/>
            </w:pPr>
            <w:r>
              <w:rPr>
                <w:rFonts w:ascii="Calibri" w:hAnsi="Calibri"/>
                <w:b/>
                <w:color w:val="0B2545"/>
                <w:sz w:val="17"/>
              </w:rPr>
              <w:t>Required content</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Order ID and objective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One measurable outcome</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Inputs and dependencies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ADRs, prior artifacts, provider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 scope / non-goals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Explicit boundary against opportunistic work</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obligations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invariants, data ownership, security, API/event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Deliverables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Code, schema, docs, migrations, dashboards, runbooks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Verification</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Exact commands/suites and required negative cases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 pack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Diff summary, schemas, OpenAPI diff, migration proof, screenshots/results, risks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Exit gate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Binary acceptance conditions and approval owner</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Rollback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How a failed release or migration is reversed/contained</w:t>
            </w:r>
          </w:p>
        </w:tc>
      </w:tr>
    </w:tbl>
    <w:p>
      <w:pPr>
        <w:spacing w:after="0"/>
      </w:pPr>
    </w:p>
    <w:p>
      <w:pPr>
        <w:pStyle w:val="Heading2"/>
      </w:pPr>
      <w:r>
        <w:t>14.2 Ordered backlog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150"/>
        <w:gridCol w:w="1880"/>
        <w:gridCol w:w="950"/>
        <w:gridCol w:w="3740"/>
        <w:gridCol w:w="1640"/>
      </w:tblGrid>
      <w:tr>
        <w:trPr>
          <w:cantSplit/>
          <w:tblHeader w:val="true"/>
        </w:trPr>
        <w:tc>
          <w:tcPr>
            <w:tcW w:type="dxa" w:w="1150"/>
            <w:tcMar>
              <w:top w:w="80" w:type="dxa"/>
              <w:start w:w="120" w:type="dxa"/>
              <w:bottom w:w="80" w:type="dxa"/>
              <w:end w:w="120" w:type="dxa"/>
            </w:tcMar>
            <w:shd w:fill="F2F4F7"/>
            <w:vAlign w:val="center"/>
          </w:tcPr>
          <w:p>
            <w:pPr>
              <w:keepNext/>
              <w:spacing w:after="0"/>
            </w:pPr>
            <w:r>
              <w:rPr>
                <w:rFonts w:ascii="Calibri" w:hAnsi="Calibri"/>
                <w:b/>
                <w:color w:val="0B2545"/>
                <w:sz w:val="14"/>
              </w:rPr>
              <w:t>Order</w:t>
            </w:r>
          </w:p>
        </w:tc>
        <w:tc>
          <w:tcPr>
            <w:tcW w:type="dxa" w:w="1880"/>
            <w:tcMar>
              <w:top w:w="80" w:type="dxa"/>
              <w:start w:w="120" w:type="dxa"/>
              <w:bottom w:w="80" w:type="dxa"/>
              <w:end w:w="120" w:type="dxa"/>
            </w:tcMar>
            <w:shd w:fill="F2F4F7"/>
            <w:vAlign w:val="center"/>
          </w:tcPr>
          <w:p>
            <w:pPr>
              <w:keepNext/>
              <w:spacing w:after="0"/>
            </w:pPr>
            <w:r>
              <w:rPr>
                <w:rFonts w:ascii="Calibri" w:hAnsi="Calibri"/>
                <w:b/>
                <w:color w:val="0B2545"/>
                <w:sz w:val="14"/>
              </w:rPr>
              <w:t>Objective</w:t>
            </w:r>
          </w:p>
        </w:tc>
        <w:tc>
          <w:tcPr>
            <w:tcW w:type="dxa" w:w="950"/>
            <w:tcMar>
              <w:top w:w="80" w:type="dxa"/>
              <w:start w:w="120" w:type="dxa"/>
              <w:bottom w:w="80" w:type="dxa"/>
              <w:end w:w="120" w:type="dxa"/>
            </w:tcMar>
            <w:shd w:fill="F2F4F7"/>
            <w:vAlign w:val="center"/>
          </w:tcPr>
          <w:p>
            <w:pPr>
              <w:keepNext/>
              <w:spacing w:after="0"/>
            </w:pPr>
            <w:r>
              <w:rPr>
                <w:rFonts w:ascii="Calibri" w:hAnsi="Calibri"/>
                <w:b/>
                <w:color w:val="0B2545"/>
                <w:sz w:val="14"/>
              </w:rPr>
              <w:t>Status</w:t>
            </w:r>
          </w:p>
        </w:tc>
        <w:tc>
          <w:tcPr>
            <w:tcW w:type="dxa" w:w="3740"/>
            <w:tcMar>
              <w:top w:w="80" w:type="dxa"/>
              <w:start w:w="120" w:type="dxa"/>
              <w:bottom w:w="80" w:type="dxa"/>
              <w:end w:w="120" w:type="dxa"/>
            </w:tcMar>
            <w:shd w:fill="F2F4F7"/>
            <w:vAlign w:val="center"/>
          </w:tcPr>
          <w:p>
            <w:pPr>
              <w:keepNext/>
              <w:spacing w:after="0"/>
            </w:pPr>
            <w:r>
              <w:rPr>
                <w:rFonts w:ascii="Calibri" w:hAnsi="Calibri"/>
                <w:b/>
                <w:color w:val="0B2545"/>
                <w:sz w:val="14"/>
              </w:rPr>
              <w:t>Scope</w:t>
            </w:r>
          </w:p>
        </w:tc>
        <w:tc>
          <w:tcPr>
            <w:tcW w:type="dxa" w:w="1640"/>
            <w:tcMar>
              <w:top w:w="80" w:type="dxa"/>
              <w:start w:w="120" w:type="dxa"/>
              <w:bottom w:w="80" w:type="dxa"/>
              <w:end w:w="120" w:type="dxa"/>
            </w:tcMar>
            <w:shd w:fill="F2F4F7"/>
            <w:vAlign w:val="center"/>
          </w:tcPr>
          <w:p>
            <w:pPr>
              <w:keepNext/>
              <w:spacing w:after="0"/>
            </w:pPr>
            <w:r>
              <w:rPr>
                <w:rFonts w:ascii="Calibri" w:hAnsi="Calibri"/>
                <w:b/>
                <w:color w:val="0B2545"/>
                <w:sz w:val="14"/>
              </w:rPr>
              <w:t>Gate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FBL-000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Reproducible baseline</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and permanently closed</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FBL-010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Architecture shell</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and permanently closed</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FBL-020-R2</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Identity boundary completion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ACTIVE</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Exact provider binding, revocable sessions, MFA, support, refresh, policy/audit evidence</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R2 accepted</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FBL-030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Database tenant enforcement</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BLOCKED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RLS, tenant-qualified relationships, transaction tenant context</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Tenant escape denied</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FBL-040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Contract and durability kernel</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BLOCKED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OpenAPI, idempotency, outbox, audit, timers, integration foundation</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Replay/no-loss</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FBL-050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Staff shell and administration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Usable multi-rooftop configuration UI</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Owner journey</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FBL-060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Customer 360</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 dedupe, merge, search and imports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Golden reconcile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FBL-070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Vehicle master and acquisition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Canonical vehicle/stock, location, documents, costs and readiness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Acquisition journey</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FBL-080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Inventory and merchandising</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Pricing, media, holds, transfers, aging and listings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Feed reconcile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FBL-090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CRM and BDC</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Lead capture, assignment, activity, appointment and measurement</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No-lost-lead E2E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FBL-100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Sales and showroom</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Customer-to-negotiation workflow and manager oversight</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Sales E2E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FBL-110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Marketing and attribution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Audience, consent, campaign, response, suppression and ROI</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Revenue attribution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FBL-120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Appraisal and desking</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Trade and deterministic manager-approved deal versions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Frozen scenario</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FBL-130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Digital retail</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Online-to-store continuity without rekeying</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Continuity E2E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FBL-140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Deal jacket and e-sign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Versioned documents, checklist, signatures and retention</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Signed package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FBL-150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F&amp;I coordination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Credit, lender, products, conditions, notices and evidence</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Certified journey</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FBL-160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Funding, title and delivery</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Payment, funding, title, registration, delivery and sold reconcile</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Funded delivery</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FBL-170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Workforce and executive management</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Goals, commissions, approvals, alerts and scorecards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Source reconcile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FBL-180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Production hardening</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SaaS operations, security, accessibility, load, restore, DR and training</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Readiness gate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FBL-190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Controlled pilot and launch</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Two-rooftop acquisition-to-delivery pilot</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Signed acceptance</w:t>
            </w:r>
          </w:p>
        </w:tc>
      </w:tr>
    </w:tbl>
    <w:p>
      <w:pPr>
        <w:spacing w:after="0"/>
      </w:pPr>
    </w:p>
    <w:p>
      <w:pPr>
        <w:pStyle w:val="Heading2"/>
      </w:pPr>
      <w:r>
        <w:t>14.3 First active instruction — FBL-020-R2</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Governing position</w:t>
            </w:r>
          </w:p>
          <w:p>
            <w:pPr>
              <w:spacing w:after="0" w:line="264" w:lineRule="auto"/>
            </w:pPr>
            <w:r>
              <w:rPr>
                <w:rFonts w:ascii="Calibri" w:hAnsi="Calibri"/>
                <w:color w:val="1F2328"/>
                <w:sz w:val="21"/>
              </w:rPr>
              <w:t>Base head 359de3020056e09700e4d8a4668c4a7010adcac4. FBL-000 and FBL-010 are accepted and permanently closed. FBL-020-R1 is not accepted. FBL-020-R2 is ACTIVE. Live WorkOS certification and FBL-030 are blocked. Fable must finish R2, return its evidence packet, and stop.</w:t>
            </w:r>
          </w:p>
        </w:tc>
      </w:tr>
    </w:tbl>
    <w:p>
      <w:pPr>
        <w:spacing w:after="0"/>
      </w:pPr>
    </w:p>
    <w:p>
      <w:pPr>
        <w:spacing w:before="0" w:after="120" w:line="264" w:lineRule="auto"/>
      </w:pPr>
      <w:r>
        <w:rPr>
          <w:rFonts w:ascii="Calibri" w:hAnsi="Calibri"/>
          <w:b/>
          <w:color w:val="0B2545"/>
        </w:rPr>
        <w:t xml:space="preserve">Objective. </w:t>
      </w:r>
      <w:r>
        <w:rPr>
          <w:rFonts w:ascii="Calibri" w:hAnsi="Calibri"/>
          <w:color w:val="1F2328"/>
        </w:rPr>
        <w:t>Complete the identity boundary without reopening accepted architecture or Fixed Ops behavior: exact external-identity binding, locally revocable cookie and bearer sessions, server-side single-use login, high-assurance grant consumption, complete policy/audit evidence, authorized support access, bounded WorkOS refresh, secure non-local configuration, and executable Gate B operations.</w:t>
      </w:r>
    </w:p>
    <w:p>
      <w:pPr>
        <w:pStyle w:val="Heading3"/>
      </w:pPr>
      <w:r>
        <w:t>Binding implementation obligations</w:t>
      </w:r>
    </w:p>
    <w:p>
      <w:pPr>
        <w:pStyle w:val="ListBullet"/>
        <w:keepLines/>
      </w:pPr>
      <w:r>
        <w:t>Add forward-only migration 057. Migrations 000 and 049–056 remain byte-identical. Revoke unprovable legacy sessions and disable ambiguous links; never guess identity relationships.</w:t>
      </w:r>
    </w:p>
    <w:p>
      <w:pPr>
        <w:pStyle w:val="ListBullet"/>
        <w:keepLines/>
      </w:pPr>
      <w:r>
        <w:t>Bind every UserLink, login, reauthentication and local session to provider, configured issuer, provider organization, provider subject, internal tenant and exact provider connection.</w:t>
      </w:r>
    </w:p>
    <w:p>
      <w:pPr>
        <w:pStyle w:val="ListBullet"/>
        <w:keepLines/>
      </w:pPr>
      <w:r>
        <w:t>Revalidate tenant, organization, connection, issuer, UserLink and local session on every cookie and bearer request. Remove the nullable-connection bypass.</w:t>
      </w:r>
    </w:p>
    <w:p>
      <w:pPr>
        <w:pStyle w:val="ListBullet"/>
        <w:keepLines/>
      </w:pPr>
      <w:r>
        <w:t>Replace cookie-only login trust with an authoritative expiring, atomically consumed server transaction covering state, nonce, PKCE, redirect, evidence and replay denial.</w:t>
      </w:r>
    </w:p>
    <w:p>
      <w:pPr>
        <w:pStyle w:val="ListBullet"/>
        <w:keepLines/>
      </w:pPr>
      <w:r>
        <w:t>Reject future or impossible token times, wrong transaction bindings and WorkOS impersonation. Reauthentication must revalidate the exact starting connection, issuer, organization, subject, resource and required assurance.</w:t>
      </w:r>
    </w:p>
    <w:p>
      <w:pPr>
        <w:pStyle w:val="ListBullet"/>
        <w:keepLines/>
      </w:pPr>
      <w:r>
        <w:t>A fresh-only grant must never authorize a Fixed Ops operation that requires fresh-and-MFA-policy assurance. Preserve atomic use and rollback.</w:t>
      </w:r>
    </w:p>
    <w:p>
      <w:pPr>
        <w:pStyle w:val="ListBullet"/>
        <w:keepLines/>
      </w:pPr>
      <w:r>
        <w:t>Implement provider-neutral WorkOS session refresh with sealed rotating refresh state. Identity mismatch, refresh failure or impersonation revokes the local session immediately.</w:t>
      </w:r>
    </w:p>
    <w:p>
      <w:pPr>
        <w:pStyle w:val="ListBullet"/>
        <w:keepLines/>
      </w:pPr>
      <w:r>
        <w:t>Write complete PolicyDecision evidence from generated request context, including actual actor, tenant, scope, request/correlation IDs, binding/version facts, auth_time, freshness, MFA classification and support state.</w:t>
      </w:r>
    </w:p>
    <w:p>
      <w:pPr>
        <w:pStyle w:val="ListBullet"/>
        <w:keepLines/>
      </w:pPr>
      <w:r>
        <w:t>Advance authorization versions on every meaningful organization, provider, UserLink, role and support mutation; persist the true actor and transactional audit event.</w:t>
      </w:r>
    </w:p>
    <w:p>
      <w:pPr>
        <w:pStyle w:val="ListBullet"/>
        <w:keepLines/>
      </w:pPr>
      <w:r>
        <w:t>Require platform-support requester authority and tenant-admin, high-assurance, separated approval. Expose active support actor, tenant, request/session IDs, scope and expiry through context, logs, policy, audit, /auth/session and response headers.</w:t>
      </w:r>
    </w:p>
    <w:p>
      <w:pPr>
        <w:pStyle w:val="ListBullet"/>
        <w:keepLines/>
      </w:pPr>
      <w:r>
        <w:t>Permit HTTP identity endpoints only for explicit local development/test. Require HTTPS and Secure cookies in staging and production.</w:t>
      </w:r>
    </w:p>
    <w:p>
      <w:pPr>
        <w:pStyle w:val="ListBullet"/>
        <w:keepLines/>
      </w:pPr>
      <w:r>
        <w:t>Correct bootstrap and WorkOS runbooks for issuer binding, explicit link activation, MFA certification lifecycle, impersonation disablement, redirect URIs, refresh rotation, logout/revocation and sanitized evidence.</w:t>
      </w:r>
    </w:p>
    <w:p>
      <w:pPr>
        <w:pStyle w:val="Heading3"/>
      </w:pPr>
      <w:r>
        <w:t>R2 gate and stop rule</w:t>
      </w:r>
    </w:p>
    <w:p>
      <w:pPr>
        <w:pStyle w:val="ListBullet"/>
        <w:keepLines/>
      </w:pPr>
      <w:r>
        <w:t>Preserve the existing 221 tests except rejected connection-less-session acceptance; replace that behavior with denial proof and finish above 221 with zero failures, skips, cancellations or todos.</w:t>
      </w:r>
    </w:p>
    <w:p>
      <w:pPr>
        <w:pStyle w:val="ListBullet"/>
        <w:keepLines/>
      </w:pPr>
      <w:r>
        <w:t>Quality ceilings remain tsc-strict &lt;=59, eslint &lt;=136 and format &lt;=23. Do not raise them or weaken architecture, SQL, migration, container, SBOM, dependency or secret-scan gates.</w:t>
      </w:r>
    </w:p>
    <w:p>
      <w:pPr>
        <w:pStyle w:val="ListBullet"/>
        <w:keepLines/>
      </w:pPr>
      <w:r>
        <w:t>Push one code-bearing head and wait for its exact CI run; update the delivery report once; push one final head and wait for its exact CI run. Do not create a self-referential report loop.</w:t>
      </w:r>
    </w:p>
    <w:p>
      <w:pPr>
        <w:pStyle w:val="ListBullet"/>
        <w:keepLines/>
      </w:pPr>
      <w:r>
        <w:t>Do not begin live certification until the R2 code-bearing run succeeds. If credentials remain unavailable, report FBL-020 CODE COMPLETE — LIVE CERTIFICATION PENDING and stop.</w:t>
      </w:r>
    </w:p>
    <w:p>
      <w:pPr>
        <w:pStyle w:val="ListBullet"/>
        <w:keepLines/>
      </w:pPr>
      <w:r>
        <w:t>Do not begin FBL-030, inventory, CRM, marketing, sales, UI product work or any other later phase until the architect accepts R2 and issues a separate order.</w:t>
      </w:r>
    </w:p>
    <w:p>
      <w:pPr>
        <w:pStyle w:val="Heading3"/>
      </w:pPr>
      <w:r>
        <w:t>Required R2 return packet</w:t>
      </w:r>
    </w:p>
    <w:p>
      <w:pPr>
        <w:spacing w:before="0" w:after="120" w:line="264" w:lineRule="auto"/>
      </w:pPr>
      <w:r>
        <w:rPr>
          <w:rFonts w:ascii="Calibri" w:hAnsi="Calibri"/>
          <w:b w:val="0"/>
          <w:i w:val="0"/>
          <w:color w:val="1F2328"/>
        </w:rPr>
        <w:t>Return final commit and HEAD/origin/main equality; exact code-bearing and final-head workflow evidence; artifact inventory; test deltas; exact changed files; migration 057 checksum and prior-migration byte identity; fresh/upgraded convergence and reconciliation; UserLink binding and cookie/bearer revocation matrices; login replay, reauthentication, MFA, refresh rotation and impersonation proofs; complete PolicyDecision, authorization-version and audit inventories; support approval/indicator proof; configuration/cookie matrix; corrected runbooks/report; raw-output sentinel scan; quality counts; Gate B status; and confirmation that FBL-030 was not started.</w:t>
      </w:r>
    </w:p>
    <w:p>
      <w:pPr>
        <w:pStyle w:val="Heading2"/>
      </w:pPr>
      <w:r>
        <w:t>14.4 Accepted historical order FBL-000 — Reproducible Baseline</w:t>
      </w:r>
    </w:p>
    <w:p>
      <w:pPr>
        <w:spacing w:before="0" w:after="120" w:line="264" w:lineRule="auto"/>
      </w:pPr>
      <w:r>
        <w:rPr>
          <w:rFonts w:ascii="Calibri" w:hAnsi="Calibri"/>
          <w:b/>
          <w:color w:val="0B2545"/>
        </w:rPr>
        <w:t xml:space="preserve">Objective. </w:t>
      </w:r>
      <w:r>
        <w:rPr>
          <w:rFonts w:ascii="Calibri" w:hAnsi="Calibri"/>
          <w:color w:val="1F2328"/>
        </w:rPr>
        <w:t>Make the current repository reproducible and continuously verifiable without changing business behavior.</w:t>
      </w:r>
    </w:p>
    <w:p>
      <w:pPr>
        <w:pStyle w:val="Heading3"/>
      </w:pPr>
      <w:r>
        <w:t>Scope</w:t>
      </w:r>
    </w:p>
    <w:p>
      <w:pPr>
        <w:pStyle w:val="ListBullet"/>
        <w:keepLines/>
      </w:pPr>
      <w:r>
        <w:t>Add a CI workflow with locked install, typecheck, build, lint/format, unit tests, real PostgreSQL integration/route tests, dependency scan, secret scan, SBOM, and container build.</w:t>
      </w:r>
    </w:p>
    <w:p>
      <w:pPr>
        <w:pStyle w:val="ListBullet"/>
        <w:keepLines/>
      </w:pPr>
      <w:r>
        <w:t>Start PostgreSQL ephemerally in CI, apply migrations from an empty database, and run every database-backed suite. Eliminate conditional skips for required suites.</w:t>
      </w:r>
    </w:p>
    <w:p>
      <w:pPr>
        <w:pStyle w:val="ListBullet"/>
        <w:keepLines/>
      </w:pPr>
      <w:r>
        <w:t>Enable TypeScript strictness reporting. Do not mass-fix unrelated typing in this order; produce a ratcheted baseline and block new violations.</w:t>
      </w:r>
    </w:p>
    <w:p>
      <w:pPr>
        <w:pStyle w:val="ListBullet"/>
        <w:keepLines/>
      </w:pPr>
      <w:r>
        <w:t>Pin supported Node and PostgreSQL versions. Pin container base by digest through an approved update mechanism.</w:t>
      </w:r>
    </w:p>
    <w:p>
      <w:pPr>
        <w:pStyle w:val="ListBullet"/>
        <w:keepLines/>
      </w:pPr>
      <w:r>
        <w:t>Capture test counts, duration, schema fingerprint, image digest, audit results, and tool versions as build artifacts.</w:t>
      </w:r>
    </w:p>
    <w:p>
      <w:pPr>
        <w:pStyle w:val="ListBullet"/>
        <w:keepLines/>
      </w:pPr>
      <w:r>
        <w:t>Document local one-command setup, test, migration, seed, and teardown using non-destructive commands.</w:t>
      </w:r>
    </w:p>
    <w:p>
      <w:pPr>
        <w:pStyle w:val="Heading3"/>
      </w:pPr>
      <w:r>
        <w:t>Non-goals</w:t>
      </w:r>
    </w:p>
    <w:p>
      <w:pPr>
        <w:spacing w:before="0" w:after="120" w:line="264" w:lineRule="auto"/>
      </w:pPr>
      <w:r>
        <w:rPr>
          <w:rFonts w:ascii="Calibri" w:hAnsi="Calibri"/>
          <w:b w:val="0"/>
          <w:i w:val="0"/>
          <w:color w:val="1F2328"/>
        </w:rPr>
        <w:t>No product features, framework rewrite, schema redesign, endpoint redesign, or cleanup whose behavior cannot be proven unchanged.</w:t>
      </w:r>
    </w:p>
    <w:p>
      <w:pPr>
        <w:pStyle w:val="Heading3"/>
      </w:pPr>
      <w:r>
        <w:t>Acceptance gate</w:t>
      </w:r>
    </w:p>
    <w:p>
      <w:pPr>
        <w:pStyle w:val="ListBullet"/>
        <w:keepLines/>
      </w:pPr>
      <w:r>
        <w:t>CI passes from a clean clone with zero skipped required tests.</w:t>
      </w:r>
    </w:p>
    <w:p>
      <w:pPr>
        <w:pStyle w:val="ListBullet"/>
        <w:keepLines/>
      </w:pPr>
      <w:r>
        <w:t>All current migrations apply to an empty database and the application starts/readiness succeeds.</w:t>
      </w:r>
    </w:p>
    <w:p>
      <w:pPr>
        <w:pStyle w:val="ListBullet"/>
        <w:keepLines/>
      </w:pPr>
      <w:r>
        <w:t>A second CI job exercises an upgrade from the earliest retained schema fixture.</w:t>
      </w:r>
    </w:p>
    <w:p>
      <w:pPr>
        <w:pStyle w:val="ListBullet"/>
        <w:keepLines/>
      </w:pPr>
      <w:r>
        <w:t>Build artifacts include test results, SBOM, container digest, and migration/schema fingerprints.</w:t>
      </w:r>
    </w:p>
    <w:p>
      <w:pPr>
        <w:pStyle w:val="ListBullet"/>
        <w:keepLines/>
      </w:pPr>
      <w:r>
        <w:t>Fable returns a baseline report of warnings, flaky tests, typing debt, package findings, and unresolved environment assumptions.</w:t>
      </w:r>
    </w:p>
    <w:p>
      <w:pPr>
        <w:pStyle w:val="Heading2"/>
      </w:pPr>
      <w:r>
        <w:t>14.5 Accepted historical order FBL-010 — Architecture Shell</w:t>
      </w:r>
    </w:p>
    <w:p>
      <w:pPr>
        <w:spacing w:before="0" w:after="120" w:line="264" w:lineRule="auto"/>
      </w:pPr>
      <w:r>
        <w:rPr>
          <w:rFonts w:ascii="Calibri" w:hAnsi="Calibri"/>
          <w:b/>
          <w:color w:val="0B2545"/>
        </w:rPr>
        <w:t xml:space="preserve">Objective. </w:t>
      </w:r>
      <w:r>
        <w:rPr>
          <w:rFonts w:ascii="Calibri" w:hAnsi="Calibri"/>
          <w:color w:val="1F2328"/>
        </w:rPr>
        <w:t>Create enforceable module and contract boundaries while preserving the running service.</w:t>
      </w:r>
    </w:p>
    <w:p>
      <w:pPr>
        <w:pStyle w:val="ListBullet"/>
        <w:keepLines/>
      </w:pPr>
      <w:r>
        <w:t>Create the approved monorepo layout: deployable API/worker/web shells plus platform, fixed-ops, contracts, database, test-kit, and UI packages.</w:t>
      </w:r>
    </w:p>
    <w:p>
      <w:pPr>
        <w:pStyle w:val="ListBullet"/>
        <w:keepLines/>
      </w:pPr>
      <w:r>
        <w:t>Write ADR-001 modular monolith, ADR-002 module ownership, ADR-003 API/event compatibility, ADR-004 migration policy, and ADR-005 technology selections.</w:t>
      </w:r>
    </w:p>
    <w:p>
      <w:pPr>
        <w:pStyle w:val="ListBullet"/>
        <w:keepLines/>
      </w:pPr>
      <w:r>
        <w:t>Define dependency rules: domain depends on no transport/database; application depends on ports; adapters implement ports; modules cannot access each other’s repositories.</w:t>
      </w:r>
    </w:p>
    <w:p>
      <w:pPr>
        <w:pStyle w:val="ListBullet"/>
        <w:keepLines/>
      </w:pPr>
      <w:r>
        <w:t>Introduce standard request context, typed Problem Details, configuration validation, request IDs, and structured logging with a PII-safe field policy.</w:t>
      </w:r>
    </w:p>
    <w:p>
      <w:pPr>
        <w:pStyle w:val="ListBullet"/>
        <w:keepLines/>
      </w:pPr>
      <w:r>
        <w:t>Move code only in small behavior-preserving slices with characterization tests. The 3,279-line service file may shrink, but no big-bang replacement is permitted.</w:t>
      </w:r>
    </w:p>
    <w:p>
      <w:pPr>
        <w:pStyle w:val="ListBullet"/>
        <w:keepLines/>
      </w:pPr>
      <w:r>
        <w:t>Add architecture-lint checks to CI and a module ownership map.</w:t>
      </w:r>
    </w:p>
    <w:p>
      <w:pPr>
        <w:pStyle w:val="Heading3"/>
      </w:pPr>
      <w:r>
        <w:t>Acceptance gate</w:t>
      </w:r>
    </w:p>
    <w:p>
      <w:pPr>
        <w:pStyle w:val="ListBullet"/>
        <w:keepLines/>
      </w:pPr>
      <w:r>
        <w:t>All FBL-000 evidence remains green.</w:t>
      </w:r>
    </w:p>
    <w:p>
      <w:pPr>
        <w:pStyle w:val="ListBullet"/>
        <w:keepLines/>
      </w:pPr>
      <w:r>
        <w:t>A dependency-rule test fails when a module imports another module’s persistence adapter.</w:t>
      </w:r>
    </w:p>
    <w:p>
      <w:pPr>
        <w:pStyle w:val="ListBullet"/>
        <w:keepLines/>
      </w:pPr>
      <w:r>
        <w:t>Current HTTP behavior remains contract-characterized.</w:t>
      </w:r>
    </w:p>
    <w:p>
      <w:pPr>
        <w:pStyle w:val="ListBullet"/>
        <w:keepLines/>
      </w:pPr>
      <w:r>
        <w:t>Every new top-level package has an owner, purpose, allowed dependencies, and public API.</w:t>
      </w:r>
    </w:p>
    <w:p>
      <w:pPr>
        <w:pStyle w:val="ListBullet"/>
        <w:keepLines/>
      </w:pPr>
      <w:r>
        <w:t>No duplicate source-of-truth model is introduced.</w:t>
      </w:r>
    </w:p>
    <w:p>
      <w:pPr>
        <w:pStyle w:val="Heading2"/>
      </w:pPr>
      <w:r>
        <w:t>14.6 Original FBL-020 scope — retained context only</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tcMar>
              <w:top w:w="80" w:type="dxa"/>
              <w:start w:w="120" w:type="dxa"/>
              <w:bottom w:w="80" w:type="dxa"/>
              <w:end w:w="120" w:type="dxa"/>
            </w:tcMar>
            <w:shd w:fill="FCE8E6"/>
            <w:vAlign w:val="center"/>
          </w:tcPr>
          <w:p>
            <w:pPr>
              <w:spacing w:after="60"/>
            </w:pPr>
            <w:r>
              <w:rPr>
                <w:rFonts w:ascii="Calibri" w:hAnsi="Calibri"/>
                <w:b/>
                <w:color w:val="9B1C1C"/>
                <w:sz w:val="21"/>
              </w:rPr>
              <w:t>Status warning</w:t>
            </w:r>
          </w:p>
          <w:p>
            <w:pPr>
              <w:spacing w:after="0" w:line="264" w:lineRule="auto"/>
            </w:pPr>
            <w:r>
              <w:rPr>
                <w:rFonts w:ascii="Calibri" w:hAnsi="Calibri"/>
                <w:color w:val="1F2328"/>
                <w:sz w:val="21"/>
              </w:rPr>
              <w:t>This original scope is historical context. The FBL-020-R2 instruction in Section 14.3 is the only active and governing implementation order.</w:t>
            </w:r>
          </w:p>
        </w:tc>
      </w:tr>
    </w:tbl>
    <w:p>
      <w:pPr>
        <w:spacing w:after="0"/>
      </w:pPr>
    </w:p>
    <w:p>
      <w:pPr>
        <w:spacing w:before="0" w:after="120" w:line="264" w:lineRule="auto"/>
      </w:pPr>
      <w:r>
        <w:rPr>
          <w:rFonts w:ascii="Calibri" w:hAnsi="Calibri"/>
          <w:b/>
          <w:color w:val="0B2545"/>
        </w:rPr>
        <w:t xml:space="preserve">Objective. </w:t>
      </w:r>
      <w:r>
        <w:rPr>
          <w:rFonts w:ascii="Calibri" w:hAnsi="Calibri"/>
          <w:color w:val="1F2328"/>
        </w:rPr>
        <w:t>Replace custom production trust with a real organization and identity boundary.</w:t>
      </w:r>
    </w:p>
    <w:p>
      <w:pPr>
        <w:pStyle w:val="ListBullet"/>
        <w:keepLines/>
      </w:pPr>
      <w:r>
        <w:t>Implement Tenant, DealerGroup, LegalEntity, Rooftop, Department, UserLink, RoleBinding, and PolicyDecision records with effective status and audit fields.</w:t>
      </w:r>
    </w:p>
    <w:p>
      <w:pPr>
        <w:pStyle w:val="ListBullet"/>
        <w:keepLines/>
      </w:pPr>
      <w:r>
        <w:t>Integrate one managed OIDC provider using issuer/audience/JWKS validation, key rotation, clock-skew policy, logout/session semantics, and MFA assurance claims.</w:t>
      </w:r>
    </w:p>
    <w:p>
      <w:pPr>
        <w:pStyle w:val="ListBullet"/>
        <w:keepLines/>
      </w:pPr>
      <w:r>
        <w:t>Support role scope by tenant, entity, rooftop, department, and resource. Define a policy API rather than role checks scattered through routes.</w:t>
      </w:r>
    </w:p>
    <w:p>
      <w:pPr>
        <w:pStyle w:val="ListBullet"/>
        <w:keepLines/>
      </w:pPr>
      <w:r>
        <w:t>Create an explicit, approved support-access flow with reason, time limit, visible indicator, and audit evidence.</w:t>
      </w:r>
    </w:p>
    <w:p>
      <w:pPr>
        <w:pStyle w:val="ListBullet"/>
        <w:keepLines/>
      </w:pPr>
      <w:r>
        <w:t>Remove the custom JWT signer from production paths. Preserve only a clearly isolated test-token facility.</w:t>
      </w:r>
    </w:p>
    <w:p>
      <w:pPr>
        <w:pStyle w:val="ListBullet"/>
        <w:keepLines/>
      </w:pPr>
      <w:r>
        <w:t>Define, but do not yet enable, SAML/SCIM enterprise adapters behind interfaces.</w:t>
      </w:r>
    </w:p>
    <w:p>
      <w:pPr>
        <w:pStyle w:val="Heading3"/>
      </w:pPr>
      <w:r>
        <w:t>Required negative tests</w:t>
      </w:r>
    </w:p>
    <w:p>
      <w:pPr>
        <w:pStyle w:val="ListBullet"/>
        <w:keepLines/>
      </w:pPr>
      <w:r>
        <w:t>Wrong issuer, audience, algorithm, signature, tenant, disabled user, expired session, insufficient MFA assurance, and stale role binding are denied.</w:t>
      </w:r>
    </w:p>
    <w:p>
      <w:pPr>
        <w:pStyle w:val="ListBullet"/>
        <w:keepLines/>
      </w:pPr>
      <w:r>
        <w:t>A user in one rooftop cannot access another without an explicit group role.</w:t>
      </w:r>
    </w:p>
    <w:p>
      <w:pPr>
        <w:pStyle w:val="ListBullet"/>
        <w:keepLines/>
      </w:pPr>
      <w:r>
        <w:t>Support cannot enter a tenant without an active approval and cannot suppress the audit record.</w:t>
      </w:r>
    </w:p>
    <w:p>
      <w:pPr>
        <w:pStyle w:val="ListBullet"/>
        <w:keepLines/>
      </w:pPr>
      <w:r>
        <w:t>Resource IDs do not reveal existence when access is denied.</w:t>
      </w:r>
    </w:p>
    <w:p>
      <w:pPr>
        <w:pStyle w:val="Heading3"/>
      </w:pPr>
      <w:r>
        <w:t>Acceptance gate</w:t>
      </w:r>
    </w:p>
    <w:p>
      <w:pPr>
        <w:spacing w:before="0" w:after="120" w:line="264" w:lineRule="auto"/>
      </w:pPr>
      <w:r>
        <w:rPr>
          <w:rFonts w:ascii="Calibri" w:hAnsi="Calibri"/>
          <w:b w:val="0"/>
          <w:i w:val="0"/>
          <w:color w:val="1F2328"/>
        </w:rPr>
        <w:t>An end-to-end test proves authenticated staff access, scoped denial, MFA-gated sensitive action, support access approval/expiry, and complete audit evidence. Architect approval is required before FBL-030.</w:t>
      </w:r>
    </w:p>
    <w:p>
      <w:pPr>
        <w:pStyle w:val="Heading2"/>
      </w:pPr>
      <w:r>
        <w:t>14.7 Definition of done for every later order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7"/>
              </w:rPr>
              <w:t>Required proof</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Acceptance examples passed with dealership-domain owner; non-goals remain untouched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ADR compliance; ownership respected; no cross-module table writes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Data</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Forward migration, compatibility window, backfill/reconciliation, recovery path</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Contract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OpenAPI/event diff reviewed; generated client and compatibility tests pass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Threat-model changes, authorization negatives, PII classification, audit evidence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Unit/integration/contract/E2E/concurrency suites as applicable; no unjustified skips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SLO signals, dashboards, alerts, runbook, capacity impact, rollout/rollback</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Documentation</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User/admin/API docs and release notes updated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Machine-readable results and human summary attached to the order</w:t>
            </w:r>
          </w:p>
        </w:tc>
      </w:tr>
    </w:tbl>
    <w:p>
      <w:pPr>
        <w:spacing w:after="0"/>
      </w:pPr>
    </w:p>
    <w:p>
      <w:r>
        <w:br w:type="page"/>
      </w:r>
    </w:p>
    <w:p>
      <w:pPr>
        <w:pStyle w:val="Heading1"/>
      </w:pPr>
      <w:r>
        <w:t>15. Program Model, Economics, and Risks</w:t>
      </w:r>
    </w:p>
    <w:p>
      <w:pPr>
        <w:pStyle w:val="Heading2"/>
      </w:pPr>
      <w:r>
        <w:t>15.1 Minimum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Role</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Accountability</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owner</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Market wedge, scope, economics, customer commitments, acceptance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 SMEs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marketing/BDC, sales/desk, F&amp;I, title/delivery, controller/accounting and compliance; recurring design reviews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Architecture/technical lead</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Boundaries, ADRs, NFRs, security, implementation orders and gates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 engineers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Platform/backend, web/mobile, integrations/data; ownership by context</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UX/product design</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Workflow research, design system, accessibility, customer journeys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 engineering</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Test systems, data fixtures, E2E, performance, release evidence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Platform/SRE/security</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Cloud, delivery, observability, incident response, threat/control engineering</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Implementation/customer success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conversion, training, configuration, adoption, support</w:t>
            </w:r>
          </w:p>
        </w:tc>
      </w:tr>
    </w:tbl>
    <w:p>
      <w:pPr>
        <w:spacing w:after="0"/>
      </w:pPr>
    </w:p>
    <w:p>
      <w:pPr>
        <w:pStyle w:val="Heading2"/>
      </w:pPr>
      <w:r>
        <w:t>15.2 Highest program risks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10"/>
        <w:gridCol w:w="800"/>
        <w:gridCol w:w="3180"/>
        <w:gridCol w:w="3670"/>
      </w:tblGrid>
      <w:tr>
        <w:trPr>
          <w:cantSplit/>
          <w:tblHeader w:val="true"/>
        </w:trPr>
        <w:tc>
          <w:tcPr>
            <w:tcW w:type="dxa" w:w="1710"/>
            <w:tcMar>
              <w:top w:w="80" w:type="dxa"/>
              <w:start w:w="120" w:type="dxa"/>
              <w:bottom w:w="80" w:type="dxa"/>
              <w:end w:w="120" w:type="dxa"/>
            </w:tcMar>
            <w:shd w:fill="FCE8E6"/>
            <w:vAlign w:val="center"/>
          </w:tcPr>
          <w:p>
            <w:pPr>
              <w:keepNext/>
              <w:spacing w:after="0"/>
            </w:pPr>
            <w:r>
              <w:rPr>
                <w:rFonts w:ascii="Calibri" w:hAnsi="Calibri"/>
                <w:b/>
                <w:color w:val="0B2545"/>
                <w:sz w:val="15"/>
              </w:rPr>
              <w:t>Risk</w:t>
            </w:r>
          </w:p>
        </w:tc>
        <w:tc>
          <w:tcPr>
            <w:tcW w:type="dxa" w:w="800"/>
            <w:tcMar>
              <w:top w:w="80" w:type="dxa"/>
              <w:start w:w="120" w:type="dxa"/>
              <w:bottom w:w="80" w:type="dxa"/>
              <w:end w:w="120" w:type="dxa"/>
            </w:tcMar>
            <w:shd w:fill="FCE8E6"/>
            <w:vAlign w:val="center"/>
          </w:tcPr>
          <w:p>
            <w:pPr>
              <w:keepNext/>
              <w:spacing w:after="0"/>
            </w:pPr>
            <w:r>
              <w:rPr>
                <w:rFonts w:ascii="Calibri" w:hAnsi="Calibri"/>
                <w:b/>
                <w:color w:val="0B2545"/>
                <w:sz w:val="15"/>
              </w:rPr>
              <w:t>Level</w:t>
            </w:r>
          </w:p>
        </w:tc>
        <w:tc>
          <w:tcPr>
            <w:tcW w:type="dxa" w:w="3180"/>
            <w:tcMar>
              <w:top w:w="80" w:type="dxa"/>
              <w:start w:w="120" w:type="dxa"/>
              <w:bottom w:w="80" w:type="dxa"/>
              <w:end w:w="120" w:type="dxa"/>
            </w:tcMar>
            <w:shd w:fill="FCE8E6"/>
            <w:vAlign w:val="center"/>
          </w:tcPr>
          <w:p>
            <w:pPr>
              <w:keepNext/>
              <w:spacing w:after="0"/>
            </w:pPr>
            <w:r>
              <w:rPr>
                <w:rFonts w:ascii="Calibri" w:hAnsi="Calibri"/>
                <w:b/>
                <w:color w:val="0B2545"/>
                <w:sz w:val="15"/>
              </w:rPr>
              <w:t>Consequence</w:t>
            </w:r>
          </w:p>
        </w:tc>
        <w:tc>
          <w:tcPr>
            <w:tcW w:type="dxa" w:w="3670"/>
            <w:tcMar>
              <w:top w:w="80" w:type="dxa"/>
              <w:start w:w="120" w:type="dxa"/>
              <w:bottom w:w="80" w:type="dxa"/>
              <w:end w:w="120" w:type="dxa"/>
            </w:tcMar>
            <w:shd w:fill="FCE8E6"/>
            <w:vAlign w:val="center"/>
          </w:tcPr>
          <w:p>
            <w:pPr>
              <w:keepNext/>
              <w:spacing w:after="0"/>
            </w:pPr>
            <w:r>
              <w:rPr>
                <w:rFonts w:ascii="Calibri" w:hAnsi="Calibri"/>
                <w:b/>
                <w:color w:val="0B2545"/>
                <w:sz w:val="15"/>
              </w:rPr>
              <w:t>Control</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Domain under-specification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 CRM, marketing, sales, accounting, F&amp;I, title and OEM edge cases can invalidate late architecture</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Embed SMEs; example-driven specs; shadow real workflows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One-engineer bottleneck</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Serial delivery and weak review create schedule and quality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Constrain V1; add independent QA/security/domain review</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certification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Lender/OEM/DMV/provider access and certification are external critical paths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Start commercial/technical discovery early; adapters and simulators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Dealer data conversion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Dirty duplicates, legacy codes, balances, documents, and history can derail launch</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 factory, profiling, rehearsal, reconciliation, signoff</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 correctness</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A plausible UI can hide irreconcilable books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Controller-led design; ledger invariants; parallel close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Security/privacy incident</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Sensitive consumer and finance data creates severe operational and trust impact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Safeguards program, minimized scope, independent testing</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Scope imitation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Copying competitor feature lists yields a broad but unusable product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Outcome KPIs and wedge discipline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Microservice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Complexity exceeds team capacity</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Enforced modular monolith; extraction criteria</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AI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Opaque or autonomous decisions create legal and trust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Human approval, evidence, evals, exclusions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Migration/release failure</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Schema drift or irrecoverable deploy can stop dealer operations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Expand/contract, PITR, restore tests, progressive delivery</w:t>
            </w:r>
          </w:p>
        </w:tc>
      </w:tr>
    </w:tbl>
    <w:p>
      <w:pPr>
        <w:spacing w:after="0"/>
      </w:pPr>
    </w:p>
    <w:p>
      <w:pPr>
        <w:pStyle w:val="Heading2"/>
      </w:pPr>
      <w:r>
        <w:t>15.3 Commercial metrics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7"/>
              </w:rPr>
              <w:t>Stage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7"/>
              </w:rPr>
              <w:t>Required evidence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Problem validation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At least 10 dealership workflow interviews across owner, general manager, inventory, marketing/BDC, sales, desk, F&amp;I, title and controller roles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partner</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2–3 rooftops commit data, SMEs, weekly review, and measurable baseline outcomes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Private pilot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Complete vehicle-acquisition-to-delivery and lead-to-sale flow with reconciliation and support runbook</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Paid V1</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SLOs met; security/compliance gate; migration repeatable; user adoption and ROI documented</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Expansion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Management-and-sales retention and unit economics justify native accounting and enterprise integration investment</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controls, provider certifications, migration factory, 24/7 operations, audit readiness</w:t>
            </w:r>
          </w:p>
        </w:tc>
      </w:tr>
    </w:tbl>
    <w:p>
      <w:pPr>
        <w:spacing w:after="0"/>
      </w:pPr>
    </w:p>
    <w:p>
      <w:r>
        <w:br w:type="page"/>
      </w:r>
    </w:p>
    <w:p>
      <w:pPr>
        <w:pStyle w:val="Heading1"/>
      </w:pPr>
      <w:r>
        <w:t>16. Acceptance Scorecard and Next Decisions</w:t>
      </w:r>
    </w:p>
    <w:p>
      <w:pPr>
        <w:pStyle w:val="Heading2"/>
      </w:pPr>
      <w:r>
        <w:t>16.1 “Industrial SaaS” acceptance scorecard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Pass condition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completeness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 complete paid journey has no spreadsheet/manual rekey except intentional provider fallbacks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trust</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Database denies cross-tenant access even when application predicates are deliberately removed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integrity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Every quantity/money movement reconciles; every posting balances and traces to evidence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evidence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Authorization, signatures, notices, consent, documents, and payments are version-bound and retrievable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Reliability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SLO, restore, migration, queue replay, and incident exercises meet targets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 can diagnose safely without direct production edits; every intervention is audited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Ecosystem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Documented APIs/webhooks, sandbox, connector health, replay, versioning, and certification process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User experience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Role-specific journeys are accessible, localized, mobile/resilient, and measured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 owners, evidence, testing, provider oversight, and incident duties are operational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AI governance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No high-impact autonomy; evidence, evaluation, human decisions, and rollback are present</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readiness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Provisioning, entitlements, billing, migration, training, support, and data portability work</w:t>
            </w:r>
          </w:p>
        </w:tc>
      </w:tr>
    </w:tbl>
    <w:p>
      <w:pPr>
        <w:spacing w:after="0"/>
      </w:pPr>
    </w:p>
    <w:p>
      <w:pPr>
        <w:pStyle w:val="Heading2"/>
      </w:pPr>
      <w:r>
        <w:t>16.2 Governing decisions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5070"/>
        <w:gridCol w:w="359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7"/>
              </w:rPr>
              <w:t>ID</w:t>
            </w:r>
          </w:p>
        </w:tc>
        <w:tc>
          <w:tcPr>
            <w:tcW w:type="dxa" w:w="507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3590"/>
            <w:tcMar>
              <w:top w:w="80" w:type="dxa"/>
              <w:start w:w="120" w:type="dxa"/>
              <w:bottom w:w="80" w:type="dxa"/>
              <w:end w:w="120" w:type="dxa"/>
            </w:tcMar>
            <w:shd w:fill="F2F4F7"/>
            <w:vAlign w:val="center"/>
          </w:tcPr>
          <w:p>
            <w:pPr>
              <w:keepNext/>
              <w:spacing w:after="0"/>
            </w:pPr>
            <w:r>
              <w:rPr>
                <w:rFonts w:ascii="Calibri" w:hAnsi="Calibri"/>
                <w:b/>
                <w:color w:val="0B2545"/>
                <w:sz w:val="17"/>
              </w:rPr>
              <w:t>Architect recommendation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D1</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Dealership Management &amp; Sales Cloud as the initial paid wedge</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 governing product scope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D2</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Select first dealer segment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Recommended: independent and small multi-rooftop groups before franchise certification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D3</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architecture disposition</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 evolutionary replacement / modular monolith</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D4</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Finish managed identity boundary</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FBL-020-R2 is the only active code-bearing phase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D5</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Name accountable dealership SMEs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marketing/BDC, sales, desk, F&amp;I, title, controller and compliance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D6</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Set delivery capacity and budget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Do not commit full-DMS dates based on a one-engineer plan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D7</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pilot outcome metrics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days-to-live, lead response, appointment/show/close, gross, attribution, funding time, delivery, adoption and support burden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D8</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Enforce the ordered phase map</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No authorization beyond FBL-020-R2 until its formal closure</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Immediate next move</w:t>
            </w:r>
          </w:p>
          <w:p>
            <w:pPr>
              <w:spacing w:after="0" w:line="264" w:lineRule="auto"/>
            </w:pPr>
            <w:r>
              <w:rPr>
                <w:rFonts w:ascii="Calibri" w:hAnsi="Calibri"/>
                <w:color w:val="1F2328"/>
                <w:sz w:val="21"/>
              </w:rPr>
              <w:t>Give Fable only the FBL-020-R2 order in Section 14.3. Accept its exact final-head evidence or return one consolidated forward correction. After formal closure, issue FBL-030 only. Do not authorize inventory, CRM, marketing, sales, UI product work, repairs, or any later phase before FBL-030 and FBL-040 establish the trusted platform foundation.</w:t>
            </w:r>
          </w:p>
        </w:tc>
      </w:tr>
    </w:tbl>
    <w:p>
      <w:pPr>
        <w:spacing w:after="0"/>
      </w:pPr>
    </w:p>
    <w:p>
      <w:r>
        <w:br w:type="page"/>
      </w:r>
    </w:p>
    <w:p>
      <w:pPr>
        <w:pStyle w:val="Heading1"/>
      </w:pPr>
      <w:r>
        <w:t>Appendix A — Repository Evidence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650"/>
        <w:gridCol w:w="5710"/>
      </w:tblGrid>
      <w:tr>
        <w:trPr>
          <w:cantSplit/>
          <w:tblHeader w:val="true"/>
        </w:trPr>
        <w:tc>
          <w:tcPr>
            <w:tcW w:type="dxa" w:w="3650"/>
            <w:tcMar>
              <w:top w:w="80" w:type="dxa"/>
              <w:start w:w="120" w:type="dxa"/>
              <w:bottom w:w="80" w:type="dxa"/>
              <w:end w:w="120" w:type="dxa"/>
            </w:tcMar>
            <w:shd w:fill="F2F4F7"/>
            <w:vAlign w:val="center"/>
          </w:tcPr>
          <w:p>
            <w:pPr>
              <w:keepNext/>
              <w:spacing w:after="0"/>
            </w:pPr>
            <w:r>
              <w:rPr>
                <w:rFonts w:ascii="Calibri" w:hAnsi="Calibri"/>
                <w:b/>
                <w:color w:val="0B2545"/>
                <w:sz w:val="17"/>
              </w:rPr>
              <w:t>Evidence</w:t>
            </w:r>
          </w:p>
        </w:tc>
        <w:tc>
          <w:tcPr>
            <w:tcW w:type="dxa" w:w="5710"/>
            <w:tcMar>
              <w:top w:w="80" w:type="dxa"/>
              <w:start w:w="120" w:type="dxa"/>
              <w:bottom w:w="80" w:type="dxa"/>
              <w:end w:w="120" w:type="dxa"/>
            </w:tcMar>
            <w:shd w:fill="F2F4F7"/>
            <w:vAlign w:val="center"/>
          </w:tcPr>
          <w:p>
            <w:pPr>
              <w:keepNext/>
              <w:spacing w:after="0"/>
            </w:pPr>
            <w:r>
              <w:rPr>
                <w:rFonts w:ascii="Calibri" w:hAnsi="Calibri"/>
                <w:b/>
                <w:color w:val="0B2545"/>
                <w:sz w:val="17"/>
              </w:rPr>
              <w:t>Architectural use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package.json</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 scripts and dependency set; no application framework beyond one Node/Express service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src/index.ts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HTTP bootstrap, health/readiness, metrics, request handling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src/modules/service-cockpit/routes.ts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and role checks for the available product surface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src/modules/service-cockpit/service.ts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3,279-line application/service layer containing most business use cases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src/modules/service-cockpit/domain.ts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states and transition rules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src/modules/service-cockpit/metrics.ts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counters/gauges/histograms and location-label design</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src/db/migrate.ts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Filename-based migration runner without checksums/dirty state/advisory locking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migrations/000_*.sql through 054_*.sql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Tenant-tagged service schema, global UUID references, audit/queue additions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tests/*.test.ts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domain/security/doc tests and database-backed integration/route suites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docs/PLATFORM-CONTEXT.md</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Confirms the broader generated platform is not the delivered repository and records prior tenancy concerns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Dockerfile / docker-compose.yml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Single API and PostgreSQL local topology</w:t>
            </w:r>
          </w:p>
        </w:tc>
      </w:tr>
    </w:tbl>
    <w:p>
      <w:pPr>
        <w:spacing w:after="0"/>
      </w:pPr>
    </w:p>
    <w:p>
      <w:r>
        <w:br w:type="page"/>
      </w:r>
    </w:p>
    <w:p>
      <w:pPr>
        <w:pStyle w:val="Heading1"/>
      </w:pPr>
      <w:r>
        <w:t>Appendix B — Architecture Decision Register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100"/>
        <w:gridCol w:w="2450"/>
        <w:gridCol w:w="1850"/>
        <w:gridCol w:w="3960"/>
      </w:tblGrid>
      <w:tr>
        <w:trPr>
          <w:cantSplit/>
          <w:tblHeader w:val="true"/>
        </w:trPr>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6"/>
              </w:rPr>
              <w:t>ADR</w:t>
            </w:r>
          </w:p>
        </w:tc>
        <w:tc>
          <w:tcPr>
            <w:tcW w:type="dxa" w:w="2450"/>
            <w:tcMar>
              <w:top w:w="80" w:type="dxa"/>
              <w:start w:w="120" w:type="dxa"/>
              <w:bottom w:w="80" w:type="dxa"/>
              <w:end w:w="120" w:type="dxa"/>
            </w:tcMar>
            <w:shd w:fill="F2F4F7"/>
            <w:vAlign w:val="center"/>
          </w:tcPr>
          <w:p>
            <w:pPr>
              <w:keepNext/>
              <w:spacing w:after="0"/>
            </w:pPr>
            <w:r>
              <w:rPr>
                <w:rFonts w:ascii="Calibri" w:hAnsi="Calibri"/>
                <w:b/>
                <w:color w:val="0B2545"/>
                <w:sz w:val="16"/>
              </w:rPr>
              <w:t>Decision</w:t>
            </w:r>
          </w:p>
        </w:tc>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6"/>
              </w:rPr>
              <w:t>Status</w:t>
            </w:r>
          </w:p>
        </w:tc>
        <w:tc>
          <w:tcPr>
            <w:tcW w:type="dxa" w:w="3960"/>
            <w:tcMar>
              <w:top w:w="80" w:type="dxa"/>
              <w:start w:w="120" w:type="dxa"/>
              <w:bottom w:w="80" w:type="dxa"/>
              <w:end w:w="120" w:type="dxa"/>
            </w:tcMar>
            <w:shd w:fill="F2F4F7"/>
            <w:vAlign w:val="center"/>
          </w:tcPr>
          <w:p>
            <w:pPr>
              <w:keepNext/>
              <w:spacing w:after="0"/>
            </w:pPr>
            <w:r>
              <w:rPr>
                <w:rFonts w:ascii="Calibri" w:hAnsi="Calibri"/>
                <w:b/>
                <w:color w:val="0B2545"/>
                <w:sz w:val="16"/>
              </w:rPr>
              <w:t>Rationale</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ADR-001</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Evolutionary replacement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Preserve proven fixed-ops behavior while replacing platform deficiencies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ADR-002</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Minimize distributed complexity; enforce extraction-ready module seams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ADR-003</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PostgreSQL/RLS tenancy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Database-enforced isolation and tenant-qualified referential integrity</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ADR-004</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Transactional outbox</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business-state/event dual-write gap</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ADR-005</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enterprise identity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OIDC/SAML/SCIM and assurance instead of custom trust</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ADR-006</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Typed ledgers and immutable versions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inventory, and evidence correctness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ADR-007</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Regulated rails via partners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Accelerate certification-heavy capabilities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ADR-008</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API/events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Versioning, generated clients, partner ecosystem</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ADR-009</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copilot AI</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Human control over high-impact decisions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ADR-010</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Initial cloud/provider choices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Open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Select with cost, region, managed services, team experience, and controls</w:t>
            </w:r>
          </w:p>
        </w:tc>
      </w:tr>
    </w:tbl>
    <w:p>
      <w:pPr>
        <w:spacing w:after="0"/>
      </w:pPr>
    </w:p>
    <w:p>
      <w:r>
        <w:br w:type="page"/>
      </w:r>
    </w:p>
    <w:p>
      <w:pPr>
        <w:pStyle w:val="Heading1"/>
      </w:pPr>
      <w:r>
        <w:t>Appendix C — Primary Market and Regulatory Sources</w:t>
      </w:r>
    </w:p>
    <w:p>
      <w:pPr>
        <w:spacing w:before="0" w:after="120" w:line="264" w:lineRule="auto"/>
      </w:pPr>
      <w:r>
        <w:rPr>
          <w:rFonts w:ascii="Calibri" w:hAnsi="Calibri"/>
          <w:b w:val="0"/>
          <w:i/>
          <w:color w:val="5B6573"/>
          <w:sz w:val="19"/>
        </w:rPr>
        <w:t>Sources were accessed July 30, 2026. Product pages establish current marketed scope; they do not independently prove implementation quality. Regulatory sources are primary guidance/regulation entry points and must be interpreted with counsel.</w:t>
      </w:r>
    </w:p>
    <w:p>
      <w:pPr>
        <w:spacing w:after="80"/>
      </w:pPr>
      <w:r>
        <w:rPr>
          <w:rFonts w:ascii="Calibri" w:hAnsi="Calibri"/>
          <w:b/>
          <w:color w:val="0B2545"/>
          <w:sz w:val="19"/>
        </w:rPr>
        <w:t xml:space="preserve">M1  Tekion Automotive Retail Cloud. </w:t>
      </w:r>
      <w:hyperlink r:id="rId11">
        <w:r>
          <w:rPr>
            <w:color w:val="2E74B5"/>
            <w:u w:val="single"/>
            <w:rFonts w:ascii="Calibri" w:hAnsi="Calibri"/>
          </w:rPr>
          <w:t>https://tekion.com/products/arc</w:t>
        </w:r>
      </w:hyperlink>
      <w:r>
        <w:rPr>
          <w:rFonts w:ascii="Calibri" w:hAnsi="Calibri"/>
          <w:color w:val="5B6573"/>
          <w:sz w:val="19"/>
        </w:rPr>
        <w:t xml:space="preserve"> — Unified DMS, sales, service, parts, F&amp;I, accounting and adjacent cloud products.</w:t>
      </w:r>
    </w:p>
    <w:p>
      <w:pPr>
        <w:spacing w:after="80"/>
      </w:pPr>
      <w:r>
        <w:rPr>
          <w:rFonts w:ascii="Calibri" w:hAnsi="Calibri"/>
          <w:b/>
          <w:color w:val="0B2545"/>
          <w:sz w:val="19"/>
        </w:rPr>
        <w:t xml:space="preserve">M2  Tekion. </w:t>
      </w:r>
      <w:hyperlink r:id="rId12">
        <w:r>
          <w:rPr>
            <w:color w:val="2E74B5"/>
            <w:u w:val="single"/>
            <w:rFonts w:ascii="Calibri" w:hAnsi="Calibri"/>
          </w:rPr>
          <w:t>https://tekion.com/</w:t>
        </w:r>
      </w:hyperlink>
      <w:r>
        <w:rPr>
          <w:rFonts w:ascii="Calibri" w:hAnsi="Calibri"/>
          <w:color w:val="5B6573"/>
          <w:sz w:val="19"/>
        </w:rPr>
        <w:t xml:space="preserve"> — AI-native platform positioning across DMS, CRM, digital retail, and service.</w:t>
      </w:r>
    </w:p>
    <w:p>
      <w:pPr>
        <w:spacing w:after="80"/>
      </w:pPr>
      <w:r>
        <w:rPr>
          <w:rFonts w:ascii="Calibri" w:hAnsi="Calibri"/>
          <w:b/>
          <w:color w:val="0B2545"/>
          <w:sz w:val="19"/>
        </w:rPr>
        <w:t xml:space="preserve">M3  CDK Global. </w:t>
      </w:r>
      <w:hyperlink r:id="rId13">
        <w:r>
          <w:rPr>
            <w:color w:val="2E74B5"/>
            <w:u w:val="single"/>
            <w:rFonts w:ascii="Calibri" w:hAnsi="Calibri"/>
          </w:rPr>
          <w:t>https://www.cdkglobal.com/</w:t>
        </w:r>
      </w:hyperlink>
      <w:r>
        <w:rPr>
          <w:rFonts w:ascii="Calibri" w:hAnsi="Calibri"/>
          <w:color w:val="5B6573"/>
          <w:sz w:val="19"/>
        </w:rPr>
        <w:t xml:space="preserve"> — Digital retail, CRM, F&amp;I, DMS, fixed operations, and intelligence product scope.</w:t>
      </w:r>
    </w:p>
    <w:p>
      <w:pPr>
        <w:spacing w:after="80"/>
      </w:pPr>
      <w:r>
        <w:rPr>
          <w:rFonts w:ascii="Calibri" w:hAnsi="Calibri"/>
          <w:b/>
          <w:color w:val="0B2545"/>
          <w:sz w:val="19"/>
        </w:rPr>
        <w:t xml:space="preserve">M4  CDK Dealer Management System. </w:t>
      </w:r>
      <w:hyperlink r:id="rId14">
        <w:r>
          <w:rPr>
            <w:color w:val="2E74B5"/>
            <w:u w:val="single"/>
            <w:rFonts w:ascii="Calibri" w:hAnsi="Calibri"/>
          </w:rPr>
          <w:t>https://www.cdkglobal.com/dms</w:t>
        </w:r>
      </w:hyperlink>
      <w:r>
        <w:rPr>
          <w:rFonts w:ascii="Calibri" w:hAnsi="Calibri"/>
          <w:color w:val="5B6573"/>
          <w:sz w:val="19"/>
        </w:rPr>
        <w:t xml:space="preserve"> — DMS and connected service/payment capabilities.</w:t>
      </w:r>
    </w:p>
    <w:p>
      <w:pPr>
        <w:spacing w:after="80"/>
      </w:pPr>
      <w:r>
        <w:rPr>
          <w:rFonts w:ascii="Calibri" w:hAnsi="Calibri"/>
          <w:b/>
          <w:color w:val="0B2545"/>
          <w:sz w:val="19"/>
        </w:rPr>
        <w:t xml:space="preserve">M5  Dealertrack Dealer Management Solutions. </w:t>
      </w:r>
      <w:hyperlink r:id="rId15">
        <w:r>
          <w:rPr>
            <w:color w:val="2E74B5"/>
            <w:u w:val="single"/>
            <w:rFonts w:ascii="Calibri" w:hAnsi="Calibri"/>
          </w:rPr>
          <w:t>https://us.dealertrack.com/content/dealertrack/en/dealer-management-solutions.html</w:t>
        </w:r>
      </w:hyperlink>
      <w:r>
        <w:rPr>
          <w:rFonts w:ascii="Calibri" w:hAnsi="Calibri"/>
          <w:color w:val="5B6573"/>
          <w:sz w:val="19"/>
        </w:rPr>
        <w:t xml:space="preserve"> — Cloud DMS and integration positioning.</w:t>
      </w:r>
    </w:p>
    <w:p>
      <w:pPr>
        <w:spacing w:after="80"/>
      </w:pPr>
      <w:r>
        <w:rPr>
          <w:rFonts w:ascii="Calibri" w:hAnsi="Calibri"/>
          <w:b/>
          <w:color w:val="0B2545"/>
          <w:sz w:val="19"/>
        </w:rPr>
        <w:t xml:space="preserve">M6  Dealertrack. </w:t>
      </w:r>
      <w:hyperlink r:id="rId16">
        <w:r>
          <w:rPr>
            <w:color w:val="2E74B5"/>
            <w:u w:val="single"/>
            <w:rFonts w:ascii="Calibri" w:hAnsi="Calibri"/>
          </w:rPr>
          <w:t>https://us.dealertrack.com/</w:t>
        </w:r>
      </w:hyperlink>
      <w:r>
        <w:rPr>
          <w:rFonts w:ascii="Calibri" w:hAnsi="Calibri"/>
          <w:color w:val="5B6573"/>
          <w:sz w:val="19"/>
        </w:rPr>
        <w:t xml:space="preserve"> — DMS/F&amp;I/lender ecosystem and contracting surface.</w:t>
      </w:r>
    </w:p>
    <w:p>
      <w:pPr>
        <w:spacing w:after="80"/>
      </w:pPr>
      <w:r>
        <w:rPr>
          <w:rFonts w:ascii="Calibri" w:hAnsi="Calibri"/>
          <w:b/>
          <w:color w:val="0B2545"/>
          <w:sz w:val="19"/>
        </w:rPr>
        <w:t xml:space="preserve">M7  Reynolds ERA-IGNITE. </w:t>
      </w:r>
      <w:hyperlink r:id="rId17">
        <w:r>
          <w:rPr>
            <w:color w:val="2E74B5"/>
            <w:u w:val="single"/>
            <w:rFonts w:ascii="Calibri" w:hAnsi="Calibri"/>
          </w:rPr>
          <w:t>https://www.reyrey.com/solutions/retail-management-system/era-ignite</w:t>
        </w:r>
      </w:hyperlink>
      <w:r>
        <w:rPr>
          <w:rFonts w:ascii="Calibri" w:hAnsi="Calibri"/>
          <w:color w:val="5B6573"/>
          <w:sz w:val="19"/>
        </w:rPr>
        <w:t xml:space="preserve"> — Connected customer, vehicle, and transaction record positioning.</w:t>
      </w:r>
    </w:p>
    <w:p>
      <w:pPr>
        <w:spacing w:after="80"/>
      </w:pPr>
      <w:r>
        <w:rPr>
          <w:rFonts w:ascii="Calibri" w:hAnsi="Calibri"/>
          <w:b/>
          <w:color w:val="0B2545"/>
          <w:sz w:val="19"/>
        </w:rPr>
        <w:t xml:space="preserve">M8  Auto/Mate DMS. </w:t>
      </w:r>
      <w:hyperlink r:id="rId18">
        <w:r>
          <w:rPr>
            <w:color w:val="2E74B5"/>
            <w:u w:val="single"/>
            <w:rFonts w:ascii="Calibri" w:hAnsi="Calibri"/>
          </w:rPr>
          <w:t>https://automate.com/dms/</w:t>
        </w:r>
      </w:hyperlink>
      <w:r>
        <w:rPr>
          <w:rFonts w:ascii="Calibri" w:hAnsi="Calibri"/>
          <w:color w:val="5B6573"/>
          <w:sz w:val="19"/>
        </w:rPr>
        <w:t xml:space="preserve"> — Integrated accounting, sales, F&amp;I, parts, and service scope.</w:t>
      </w:r>
    </w:p>
    <w:p>
      <w:pPr>
        <w:spacing w:after="80"/>
      </w:pPr>
      <w:r>
        <w:rPr>
          <w:rFonts w:ascii="Calibri" w:hAnsi="Calibri"/>
          <w:b/>
          <w:color w:val="0B2545"/>
          <w:sz w:val="19"/>
        </w:rPr>
        <w:t xml:space="preserve">M9  Fortellis. </w:t>
      </w:r>
      <w:hyperlink r:id="rId19">
        <w:r>
          <w:rPr>
            <w:color w:val="2E74B5"/>
            <w:u w:val="single"/>
            <w:rFonts w:ascii="Calibri" w:hAnsi="Calibri"/>
          </w:rPr>
          <w:t>https://fortellis.io/</w:t>
        </w:r>
      </w:hyperlink>
      <w:r>
        <w:rPr>
          <w:rFonts w:ascii="Calibri" w:hAnsi="Calibri"/>
          <w:color w:val="5B6573"/>
          <w:sz w:val="19"/>
        </w:rPr>
        <w:t xml:space="preserve"> — Dealership API marketplace and ecosystem scale.</w:t>
      </w:r>
    </w:p>
    <w:p>
      <w:pPr>
        <w:spacing w:after="80"/>
      </w:pPr>
      <w:r>
        <w:rPr>
          <w:rFonts w:ascii="Calibri" w:hAnsi="Calibri"/>
          <w:b/>
          <w:color w:val="0B2545"/>
          <w:sz w:val="19"/>
        </w:rPr>
        <w:t xml:space="preserve">M10  VinSolutions. </w:t>
      </w:r>
      <w:hyperlink r:id="rId20">
        <w:r>
          <w:rPr>
            <w:color w:val="2E74B5"/>
            <w:u w:val="single"/>
            <w:rFonts w:ascii="Calibri" w:hAnsi="Calibri"/>
          </w:rPr>
          <w:t>https://www.vinsolutions.com/</w:t>
        </w:r>
      </w:hyperlink>
      <w:r>
        <w:rPr>
          <w:rFonts w:ascii="Calibri" w:hAnsi="Calibri"/>
          <w:color w:val="5B6573"/>
          <w:sz w:val="19"/>
        </w:rPr>
        <w:t xml:space="preserve"> — CRM, marketing, desking, and AI-assisted retail scope.</w:t>
      </w:r>
    </w:p>
    <w:p>
      <w:pPr>
        <w:spacing w:after="80"/>
      </w:pPr>
      <w:r>
        <w:rPr>
          <w:rFonts w:ascii="Calibri" w:hAnsi="Calibri"/>
          <w:b/>
          <w:color w:val="0B2545"/>
          <w:sz w:val="19"/>
        </w:rPr>
        <w:t xml:space="preserve">M11  RouteOne Credit Application System. </w:t>
      </w:r>
      <w:hyperlink r:id="rId21">
        <w:r>
          <w:rPr>
            <w:color w:val="2E74B5"/>
            <w:u w:val="single"/>
            <w:rFonts w:ascii="Calibri" w:hAnsi="Calibri"/>
          </w:rPr>
          <w:t>https://www.routeone.com/dealers/credit/credit-application-system</w:t>
        </w:r>
      </w:hyperlink>
      <w:r>
        <w:rPr>
          <w:rFonts w:ascii="Calibri" w:hAnsi="Calibri"/>
          <w:color w:val="5B6573"/>
          <w:sz w:val="19"/>
        </w:rPr>
        <w:t xml:space="preserve"> — Dealer credit, contracting, and compliance workflow.</w:t>
      </w:r>
    </w:p>
    <w:p>
      <w:pPr>
        <w:spacing w:after="80"/>
      </w:pPr>
      <w:r>
        <w:rPr>
          <w:rFonts w:ascii="Calibri" w:hAnsi="Calibri"/>
          <w:b/>
          <w:color w:val="0B2545"/>
          <w:sz w:val="19"/>
        </w:rPr>
        <w:t xml:space="preserve">C1  FTC: Automobile Dealers and the Safeguards Rule FAQ. </w:t>
      </w:r>
      <w:hyperlink r:id="rId22">
        <w:r>
          <w:rPr>
            <w:color w:val="2E74B5"/>
            <w:u w:val="single"/>
            <w:rFonts w:ascii="Calibri" w:hAnsi="Calibri"/>
          </w:rPr>
          <w:t>https://www.ftc.gov/business-guidance/resources/automobile-dealers-ftcs-safeguards-rule-frequently-asked-questions</w:t>
        </w:r>
      </w:hyperlink>
      <w:r>
        <w:rPr>
          <w:rFonts w:ascii="Calibri" w:hAnsi="Calibri"/>
          <w:color w:val="5B6573"/>
          <w:sz w:val="19"/>
        </w:rPr>
        <w:t xml:space="preserve"> — Dealer-specific Safeguards Rule and breach-notification guidance.</w:t>
      </w:r>
    </w:p>
    <w:p>
      <w:pPr>
        <w:spacing w:after="80"/>
      </w:pPr>
      <w:r>
        <w:rPr>
          <w:rFonts w:ascii="Calibri" w:hAnsi="Calibri"/>
          <w:b/>
          <w:color w:val="0B2545"/>
          <w:sz w:val="19"/>
        </w:rPr>
        <w:t xml:space="preserve">C2  FTC: Safeguards Rule — What Your Business Needs to Know. </w:t>
      </w:r>
      <w:hyperlink r:id="rId23">
        <w:r>
          <w:rPr>
            <w:color w:val="2E74B5"/>
            <w:u w:val="single"/>
            <w:rFonts w:ascii="Calibri" w:hAnsi="Calibri"/>
          </w:rPr>
          <w:t>https://www.ftc.gov/business-guidance/resources/ftc-safeguards-rule-what-your-business-needs-know</w:t>
        </w:r>
      </w:hyperlink>
      <w:r>
        <w:rPr>
          <w:rFonts w:ascii="Calibri" w:hAnsi="Calibri"/>
          <w:color w:val="5B6573"/>
          <w:sz w:val="19"/>
        </w:rPr>
        <w:t xml:space="preserve"> — Security program and control guidance, including MFA.</w:t>
      </w:r>
    </w:p>
    <w:p>
      <w:pPr>
        <w:spacing w:after="80"/>
      </w:pPr>
      <w:r>
        <w:rPr>
          <w:rFonts w:ascii="Calibri" w:hAnsi="Calibri"/>
          <w:b/>
          <w:color w:val="0B2545"/>
          <w:sz w:val="19"/>
        </w:rPr>
        <w:t xml:space="preserve">C3  FTC: Red Flags Rule. </w:t>
      </w:r>
      <w:hyperlink r:id="rId24">
        <w:r>
          <w:rPr>
            <w:color w:val="2E74B5"/>
            <w:u w:val="single"/>
            <w:rFonts w:ascii="Calibri" w:hAnsi="Calibri"/>
          </w:rPr>
          <w:t>https://www.ftc.gov/business-guidance/privacy-security/red-flags-rule</w:t>
        </w:r>
      </w:hyperlink>
      <w:r>
        <w:rPr>
          <w:rFonts w:ascii="Calibri" w:hAnsi="Calibri"/>
          <w:color w:val="5B6573"/>
          <w:sz w:val="19"/>
        </w:rPr>
        <w:t xml:space="preserve"> — Identity theft prevention program guidance.</w:t>
      </w:r>
    </w:p>
    <w:p>
      <w:pPr>
        <w:spacing w:after="80"/>
      </w:pPr>
      <w:r>
        <w:rPr>
          <w:rFonts w:ascii="Calibri" w:hAnsi="Calibri"/>
          <w:b/>
          <w:color w:val="0B2545"/>
          <w:sz w:val="19"/>
        </w:rPr>
        <w:t xml:space="preserve">C4  PCI Security Standards Council: PCI DSS. </w:t>
      </w:r>
      <w:hyperlink r:id="rId25">
        <w:r>
          <w:rPr>
            <w:color w:val="2E74B5"/>
            <w:u w:val="single"/>
            <w:rFonts w:ascii="Calibri" w:hAnsi="Calibri"/>
          </w:rPr>
          <w:t>https://www.pcisecuritystandards.org/standards/pci-dss/</w:t>
        </w:r>
      </w:hyperlink>
      <w:r>
        <w:rPr>
          <w:rFonts w:ascii="Calibri" w:hAnsi="Calibri"/>
          <w:color w:val="5B6573"/>
          <w:sz w:val="19"/>
        </w:rPr>
        <w:t xml:space="preserve"> — Payment account data security standard entry point.</w:t>
      </w:r>
    </w:p>
    <w:p>
      <w:pPr>
        <w:spacing w:after="80"/>
      </w:pPr>
      <w:r>
        <w:rPr>
          <w:rFonts w:ascii="Calibri" w:hAnsi="Calibri"/>
          <w:b/>
          <w:color w:val="0B2545"/>
          <w:sz w:val="19"/>
        </w:rPr>
        <w:t xml:space="preserve">C5  CFPB: Regulation B §1002.9. </w:t>
      </w:r>
      <w:hyperlink r:id="rId26">
        <w:r>
          <w:rPr>
            <w:color w:val="2E74B5"/>
            <w:u w:val="single"/>
            <w:rFonts w:ascii="Calibri" w:hAnsi="Calibri"/>
          </w:rPr>
          <w:t>https://www.consumerfinance.gov/rules-policy/regulations/1002/9</w:t>
        </w:r>
      </w:hyperlink>
      <w:r>
        <w:rPr>
          <w:rFonts w:ascii="Calibri" w:hAnsi="Calibri"/>
          <w:color w:val="5B6573"/>
          <w:sz w:val="19"/>
        </w:rPr>
        <w:t xml:space="preserve"> — Action-taken and adverse-action notification requirements.</w:t>
      </w:r>
    </w:p>
    <w:p>
      <w:pPr>
        <w:spacing w:after="80"/>
      </w:pPr>
      <w:r>
        <w:rPr>
          <w:rFonts w:ascii="Calibri" w:hAnsi="Calibri"/>
          <w:b/>
          <w:color w:val="0B2545"/>
          <w:sz w:val="19"/>
        </w:rPr>
        <w:t xml:space="preserve">C6  FTC: Using Consumer Reports for Credit Decisions. </w:t>
      </w:r>
      <w:hyperlink r:id="rId27">
        <w:r>
          <w:rPr>
            <w:color w:val="2E74B5"/>
            <w:u w:val="single"/>
            <w:rFonts w:ascii="Calibri" w:hAnsi="Calibri"/>
          </w:rPr>
          <w:t>https://www.ftc.gov/business-guidance/resources/using-consumer-reports-credit-decisions-what-know-about-adverse-action-risk-based-pricing-notices</w:t>
        </w:r>
      </w:hyperlink>
      <w:r>
        <w:rPr>
          <w:rFonts w:ascii="Calibri" w:hAnsi="Calibri"/>
          <w:color w:val="5B6573"/>
          <w:sz w:val="19"/>
        </w:rPr>
        <w:t xml:space="preserve"> — Adverse action and risk-based pricing notice guidance.</w:t>
      </w:r>
    </w:p>
    <w:p>
      <w:pPr>
        <w:spacing w:after="80"/>
      </w:pPr>
      <w:r>
        <w:rPr>
          <w:rFonts w:ascii="Calibri" w:hAnsi="Calibri"/>
          <w:b/>
          <w:color w:val="0B2545"/>
          <w:sz w:val="19"/>
        </w:rPr>
        <w:t xml:space="preserve">C7  IRS: Form 8300 Motor Vehicle Dealership Q&amp;A. </w:t>
      </w:r>
      <w:hyperlink r:id="rId28">
        <w:r>
          <w:rPr>
            <w:color w:val="2E74B5"/>
            <w:u w:val="single"/>
            <w:rFonts w:ascii="Calibri" w:hAnsi="Calibri"/>
          </w:rPr>
          <w:t>https://www.irs.gov/businesses/small-businesses-self-employed/report-of-cash-payments-over-10000-received-in-a-trade-or-business-motor-vehicle-dealership-qas</w:t>
        </w:r>
      </w:hyperlink>
      <w:r>
        <w:rPr>
          <w:rFonts w:ascii="Calibri" w:hAnsi="Calibri"/>
          <w:color w:val="5B6573"/>
          <w:sz w:val="19"/>
        </w:rPr>
        <w:t xml:space="preserve"> — Dealer-specific cash reporting guidance.</w:t>
      </w:r>
    </w:p>
    <w:p>
      <w:pPr>
        <w:spacing w:after="80"/>
      </w:pPr>
      <w:r>
        <w:rPr>
          <w:rFonts w:ascii="Calibri" w:hAnsi="Calibri"/>
          <w:b/>
          <w:color w:val="0B2545"/>
          <w:sz w:val="19"/>
        </w:rPr>
        <w:t xml:space="preserve">C8  OFAC Sanctions List Search. </w:t>
      </w:r>
      <w:hyperlink r:id="rId29">
        <w:r>
          <w:rPr>
            <w:color w:val="2E74B5"/>
            <w:u w:val="single"/>
            <w:rFonts w:ascii="Calibri" w:hAnsi="Calibri"/>
          </w:rPr>
          <w:t>https://ofac.treasury.gov/sanctions-list-search-tool</w:t>
        </w:r>
      </w:hyperlink>
      <w:r>
        <w:rPr>
          <w:rFonts w:ascii="Calibri" w:hAnsi="Calibri"/>
          <w:color w:val="5B6573"/>
          <w:sz w:val="19"/>
        </w:rPr>
        <w:t xml:space="preserve"> — Official sanctions search entry point; production use needs a risk-based compliance process.</w:t>
      </w:r>
    </w:p>
    <w:p>
      <w:pPr>
        <w:pStyle w:val="Heading1"/>
      </w:pPr>
      <w:r>
        <w:t>Appendix D — Glossary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Term</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Meaning</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ABAC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Attribute-based access control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ADR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Decision Record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BDC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development center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Change data capture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DMS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management system</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DVI / 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Digital or multipoint vehicle inspection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F&amp;I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 and insurance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GL</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General ledger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OIDC / SAML / SCIM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federation and provisioning standards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PITR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Point-in-time database recovery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RLS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Row-Level Security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 order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RPO / RTO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Recovery point / recovery time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SLO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Service-level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WIP</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Work in progress</w:t>
            </w:r>
          </w:p>
        </w:tc>
      </w:tr>
    </w:tbl>
    <w:p>
      <w:pPr>
        <w:spacing w:after="0"/>
      </w:pPr>
    </w:p>
    <w:p>
      <w:pPr>
        <w:spacing w:before="480" w:after="0" w:line="264" w:lineRule="auto"/>
        <w:jc w:val="center"/>
      </w:pPr>
      <w:r>
        <w:rPr>
          <w:rFonts w:ascii="Calibri" w:hAnsi="Calibri"/>
          <w:b w:val="0"/>
          <w:i/>
          <w:color w:val="5B6573"/>
          <w:sz w:val="18"/>
        </w:rPr>
        <w:t>End of blueprint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4" w:color="CBD3DC"/>
      </w:pBdr>
    </w:pPr>
    <w:r>
      <w:rPr>
        <w:rFonts w:ascii="Calibri" w:hAnsi="Calibri"/>
        <w:b/>
        <w:color w:val="5B6573"/>
        <w:sz w:val="17"/>
      </w:rPr>
      <w:t>DEALERSHIP MANAGEMENT &amp; SALES CLOUD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multiLevelType w:val="singleLevel"/>
    <w:lvl w:ilvl="0">
      <w:start w:val="1"/>
      <w:numFmt w:val="bullet"/>
      <w:lvlText w:val="•"/>
      <w:lvlJc w:val="left"/>
      <w:pPr>
        <w:tabs>
          <w:tab w:val="num" w:pos="720"/>
        </w:tabs>
        <w:ind w:left="720" w:hanging="360"/>
        <w:spacing w:before="0" w:after="160" w:line="280" w:lineRule="auto"/>
      </w:pPr>
    </w:lvl>
  </w:abstractNum>
  <w:num w:numId="900">
    <w:abstractNumId w:val="900"/>
  </w:num>
  <w:abstractNum w:abstractNumId="901">
    <w:multiLevelType w:val="singleLevel"/>
    <w:lvl w:ilvl="0">
      <w:start w:val="1"/>
      <w:numFmt w:val="decimal"/>
      <w:lvlText w:val="%1."/>
      <w:lvlJc w:val="left"/>
      <w:pPr>
        <w:tabs>
          <w:tab w:val="num" w:pos="720"/>
        </w:tabs>
        <w:ind w:left="720" w:hanging="360"/>
        <w:spacing w:before="0" w:after="160" w:line="280" w:lineRule="auto"/>
      </w:pPr>
    </w:lvl>
  </w:abstractNum>
  <w:num w:numId="901">
    <w:abstractNumId w:val="901"/>
  </w:num>
  <w:num w:numId="902">
    <w:abstractNumId w:val="901"/>
    <w:lvlOverride w:ilvl="0">
      <w:startOverride w:val="1"/>
    </w:lvlOverride>
  </w:num>
  <w:num w:numId="903">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ilvl w:val="0"/>
        <w:numId w:val="900"/>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ilvl w:val="0"/>
        <w:numId w:val="901"/>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kion.com/products/arc" TargetMode="External"/><Relationship Id="rId12" Type="http://schemas.openxmlformats.org/officeDocument/2006/relationships/hyperlink" Target="https://tekion.com/" TargetMode="External"/><Relationship Id="rId13" Type="http://schemas.openxmlformats.org/officeDocument/2006/relationships/hyperlink" Target="https://www.cdkglobal.com/" TargetMode="External"/><Relationship Id="rId14" Type="http://schemas.openxmlformats.org/officeDocument/2006/relationships/hyperlink" Target="https://www.cdkglobal.com/dms" TargetMode="External"/><Relationship Id="rId15" Type="http://schemas.openxmlformats.org/officeDocument/2006/relationships/hyperlink" Target="https://us.dealertrack.com/content/dealertrack/en/dealer-management-solutions.html" TargetMode="External"/><Relationship Id="rId16" Type="http://schemas.openxmlformats.org/officeDocument/2006/relationships/hyperlink" Target="https://us.dealertrack.com/" TargetMode="External"/><Relationship Id="rId17" Type="http://schemas.openxmlformats.org/officeDocument/2006/relationships/hyperlink" Target="https://www.reyrey.com/solutions/retail-management-system/era-ignite" TargetMode="External"/><Relationship Id="rId18" Type="http://schemas.openxmlformats.org/officeDocument/2006/relationships/hyperlink" Target="https://automate.com/dms/" TargetMode="External"/><Relationship Id="rId19" Type="http://schemas.openxmlformats.org/officeDocument/2006/relationships/hyperlink" Target="https://fortellis.io/" TargetMode="External"/><Relationship Id="rId20" Type="http://schemas.openxmlformats.org/officeDocument/2006/relationships/hyperlink" Target="https://www.vinsolutions.com/" TargetMode="External"/><Relationship Id="rId21" Type="http://schemas.openxmlformats.org/officeDocument/2006/relationships/hyperlink" Target="https://www.routeone.com/dealers/credit/credit-application-system" TargetMode="External"/><Relationship Id="rId22" Type="http://schemas.openxmlformats.org/officeDocument/2006/relationships/hyperlink" Target="https://www.ftc.gov/business-guidance/resources/automobile-dealers-ftcs-safeguards-rule-frequently-asked-questions" TargetMode="External"/><Relationship Id="rId23" Type="http://schemas.openxmlformats.org/officeDocument/2006/relationships/hyperlink" Target="https://www.ftc.gov/business-guidance/resources/ftc-safeguards-rule-what-your-business-needs-know" TargetMode="External"/><Relationship Id="rId24" Type="http://schemas.openxmlformats.org/officeDocument/2006/relationships/hyperlink" Target="https://www.ftc.gov/business-guidance/privacy-security/red-flags-rule" TargetMode="External"/><Relationship Id="rId25" Type="http://schemas.openxmlformats.org/officeDocument/2006/relationships/hyperlink" Target="https://www.pcisecuritystandards.org/standards/pci-dss/" TargetMode="External"/><Relationship Id="rId26" Type="http://schemas.openxmlformats.org/officeDocument/2006/relationships/hyperlink" Target="https://www.consumerfinance.gov/rules-policy/regulations/1002/9" TargetMode="External"/><Relationship Id="rId27" Type="http://schemas.openxmlformats.org/officeDocument/2006/relationships/hyperlink" Target="https://www.ftc.gov/business-guidance/resources/using-consumer-reports-credit-decisions-what-know-about-adverse-action-risk-based-pricing-notices" TargetMode="External"/><Relationship Id="rId28" Type="http://schemas.openxmlformats.org/officeDocument/2006/relationships/hyperlink" Target="https://www.irs.gov/businesses/small-businesses-self-employed/report-of-cash-payments-over-10000-received-in-a-trade-or-business-motor-vehicle-dealership-qas" TargetMode="External"/><Relationship Id="rId29" Type="http://schemas.openxmlformats.org/officeDocument/2006/relationships/hyperlink" Target="https://ofac.treasury.gov/sanctions-list-search-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Dealership Management &amp; Sales Cloud Master Blueprint</dc:title>
  <dc:subject>Governing architecture, management-first product scope, and forward-only Fable implementation roadmap</dc:subject>
  <dc:creator>Senior Software Architecture Review</dc:creator>
  <cp:keywords>dealership management, vehicle inventory, CRM, BDC, marketing, sales, F&amp;I, architecture, forward-only roadmap</cp:keywords>
  <dc:description>Prepared from repository SHA-256 1b8dff3bf159c4bdc45671ee97b839907590df26ea43e7fd14c289f09cd5543d</dc:description>
  <cp:lastModifiedBy/>
  <cp:revision>1</cp:revision>
  <dcterms:created xsi:type="dcterms:W3CDTF">2013-12-23T23:15:00Z</dcterms:created>
  <dcterms:modified xsi:type="dcterms:W3CDTF">2013-12-23T23:15:00Z</dcterms:modified>
  <cp:category/>
</cp:coreProperties>
</file>