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360" w:line="264" w:lineRule="auto"/>
        <w:jc w:val="center"/>
      </w:pPr>
      <w:r>
        <w:rPr>
          <w:rFonts w:ascii="Calibri" w:hAnsi="Calibri"/>
          <w:b/>
          <w:i w:val="0"/>
          <w:color w:val="7A5A00"/>
          <w:sz w:val="20"/>
        </w:rPr>
        <w:t>ARCHITECTURE &amp; PRODUCT STRATEGY</w:t>
      </w:r>
    </w:p>
    <w:p>
      <w:pPr>
        <w:spacing w:before="0" w:after="100" w:line="264" w:lineRule="auto"/>
        <w:jc w:val="center"/>
      </w:pPr>
      <w:r>
        <w:rPr>
          <w:rFonts w:ascii="Calibri" w:hAnsi="Calibri"/>
          <w:b/>
          <w:i w:val="0"/>
          <w:color w:val="0B2545"/>
          <w:sz w:val="60"/>
        </w:rPr>
        <w:t>Dealership Management &amp; Sales Cloud</w:t>
      </w:r>
    </w:p>
    <w:p>
      <w:pPr>
        <w:spacing w:before="0" w:after="560" w:line="264" w:lineRule="auto"/>
        <w:jc w:val="center"/>
      </w:pPr>
      <w:r>
        <w:rPr>
          <w:rFonts w:ascii="Calibri" w:hAnsi="Calibri"/>
          <w:b w:val="0"/>
          <w:i w:val="0"/>
          <w:color w:val="1F4D78"/>
          <w:sz w:val="32"/>
        </w:rPr>
        <w:t>Master Architecture Blueprint, Standing Architect Order, and Forward-Only Roadmap</w:t>
      </w:r>
    </w:p>
    <w:p>
      <w:pPr>
        <w:spacing w:before="0" w:after="1520" w:line="264" w:lineRule="auto"/>
        <w:jc w:val="center"/>
      </w:pPr>
      <w:r>
        <w:rPr>
          <w:rFonts w:ascii="Calibri" w:hAnsi="Calibri"/>
          <w:b w:val="0"/>
          <w:i/>
          <w:color w:val="5B6573"/>
          <w:sz w:val="22"/>
        </w:rPr>
        <w:t>A management-first plan for vehicle inventory, CRM, marketing, sales, deal operations, F&amp;I coordination, delivery, reporting, and multi-rooftop administration</w:t>
      </w:r>
    </w:p>
    <w:p>
      <w:pPr>
        <w:spacing w:before="0" w:after="100" w:line="264" w:lineRule="auto"/>
        <w:jc w:val="center"/>
      </w:pPr>
      <w:r>
        <w:rPr>
          <w:rFonts w:ascii="Calibri" w:hAnsi="Calibri"/>
          <w:b/>
          <w:i w:val="0"/>
          <w:color w:val="0B2545"/>
          <w:sz w:val="23"/>
        </w:rPr>
        <w:t>Prepared for product ownership and Fable implementation</w:t>
      </w:r>
    </w:p>
    <w:p>
      <w:pPr>
        <w:spacing w:before="0" w:after="100" w:line="264" w:lineRule="auto"/>
        <w:jc w:val="center"/>
      </w:pPr>
      <w:r>
        <w:rPr>
          <w:rFonts w:ascii="Calibri" w:hAnsi="Calibri"/>
          <w:b w:val="0"/>
          <w:i w:val="0"/>
          <w:color w:val="5B6573"/>
          <w:sz w:val="20"/>
        </w:rPr>
        <w:t>Version 3.1  |  August 31, 2026  |  SO-001 governing; RT3 closed; RT4 C1 active; FBL-120 pre-authorized</w:t>
      </w:r>
    </w:p>
    <w:p>
      <w:pPr>
        <w:spacing w:before="0" w:after="0" w:line="264" w:lineRule="auto"/>
        <w:jc w:val="center"/>
      </w:pPr>
      <w:r>
        <w:rPr>
          <w:rFonts w:ascii="Calibri" w:hAnsi="Calibri"/>
          <w:b w:val="0"/>
          <w:i w:val="0"/>
          <w:color w:val="5B6573"/>
          <w:sz w:val="15"/>
        </w:rPr>
        <w:t>Original assessment source archive SHA-256: 1b8dff3bf159c4bdc45671ee97b839907590df26ea43e7fd14c289f09cd5543d</w:t>
      </w:r>
    </w:p>
    <w:p>
      <w:r>
        <w:br w:type="page"/>
      </w:r>
    </w:p>
    <w:p>
      <w:pPr>
        <w:pStyle w:val="Heading1"/>
      </w:pPr>
      <w:r>
        <w:t>Document Control</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800"/>
        <w:gridCol w:w="7560"/>
      </w:tblGrid>
      <w:tr>
        <w:trPr>
          <w:cantSplit/>
          <w:tblHeader w:val="true"/>
        </w:trPr>
        <w:tc>
          <w:tcPr>
            <w:tcW w:type="dxa" w:w="1800"/>
            <w:tcMar>
              <w:top w:w="80" w:type="dxa"/>
              <w:start w:w="120" w:type="dxa"/>
              <w:bottom w:w="80" w:type="dxa"/>
              <w:end w:w="120" w:type="dxa"/>
            </w:tcMar>
            <w:shd w:fill="F2F4F7"/>
            <w:vAlign w:val="center"/>
          </w:tcPr>
          <w:p>
            <w:pPr>
              <w:keepNext/>
              <w:spacing w:after="0"/>
            </w:pPr>
            <w:r>
              <w:rPr>
                <w:rFonts w:ascii="Calibri" w:hAnsi="Calibri"/>
                <w:b/>
                <w:color w:val="0B2545"/>
                <w:sz w:val="18"/>
              </w:rPr>
              <w:t>Field</w:t>
            </w:r>
          </w:p>
        </w:tc>
        <w:tc>
          <w:tcPr>
            <w:tcW w:type="dxa" w:w="7560"/>
            <w:tcMar>
              <w:top w:w="80" w:type="dxa"/>
              <w:start w:w="120" w:type="dxa"/>
              <w:bottom w:w="80" w:type="dxa"/>
              <w:end w:w="120" w:type="dxa"/>
            </w:tcMar>
            <w:shd w:fill="F2F4F7"/>
            <w:vAlign w:val="center"/>
          </w:tcPr>
          <w:p>
            <w:pPr>
              <w:keepNext/>
              <w:spacing w:after="0"/>
            </w:pPr>
            <w:r>
              <w:rPr>
                <w:rFonts w:ascii="Calibri" w:hAnsi="Calibri"/>
                <w:b/>
                <w:color w:val="0B2545"/>
                <w:sz w:val="18"/>
              </w:rPr>
              <w:t>Value</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Purpose</w:t>
            </w:r>
          </w:p>
        </w:tc>
        <w:tc>
          <w:tcPr>
            <w:tcW w:type="dxa" w:w="7560"/>
            <w:vAlign w:val="top"/>
            <w:tcMar>
              <w:top w:w="80" w:type="dxa"/>
              <w:start w:w="120" w:type="dxa"/>
              <w:bottom w:w="80" w:type="dxa"/>
              <w:end w:w="120" w:type="dxa"/>
            </w:tcMar>
          </w:tcPr>
          <w:p>
            <w:pPr>
              <w:spacing w:before="0" w:after="40" w:line="240" w:lineRule="auto"/>
              <w:jc w:val="left"/>
            </w:pPr>
            <w:r>
              <w:rPr>
                <w:rFonts w:ascii="Calibri" w:hAnsi="Calibri"/>
                <w:b w:val="0"/>
                <w:color w:val="1F2328"/>
                <w:sz w:val="18"/>
              </w:rPr>
              <w:t>Architecture decision, product scope, permanent cross-chat governance, implementation sequence, and acceptance contract</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Primary implementation reader</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Fable, acting as implementation engineer</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Repository reviewed</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Car-dealership-software-main (1).zip</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Assessment basis</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Static source review; build/typecheck; dependency audit; non-DB tests; current official market and regulatory sources</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Decision status</w:t>
            </w:r>
          </w:p>
        </w:tc>
        <w:tc>
          <w:tcPr>
            <w:tcW w:type="dxa" w:w="7560"/>
            <w:vAlign w:val="top"/>
            <w:tcMar>
              <w:top w:w="80" w:type="dxa"/>
              <w:start w:w="120" w:type="dxa"/>
              <w:bottom w:w="80" w:type="dxa"/>
              <w:end w:w="120" w:type="dxa"/>
            </w:tcMar>
          </w:tcPr>
          <w:p>
            <w:pPr>
              <w:spacing w:before="0" w:after="40" w:line="240" w:lineRule="auto"/>
              <w:jc w:val="left"/>
            </w:pPr>
            <w:r>
              <w:rPr>
                <w:rFonts w:ascii="Calibri" w:hAnsi="Calibri"/>
                <w:b w:val="0"/>
                <w:color w:val="1F2328"/>
                <w:sz w:val="18"/>
              </w:rPr>
              <w:t>APPROVED AND GOVERNING - Version 3.1 with SO-001; RT3 is closed, RT4 has one bounded closure wave, and FBL-120 activates automatically after its objective gate</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Supersedes</w:t>
            </w:r>
          </w:p>
        </w:tc>
        <w:tc>
          <w:tcPr>
            <w:tcW w:type="dxa" w:w="7560"/>
            <w:vAlign w:val="top"/>
            <w:tcMar>
              <w:top w:w="80" w:type="dxa"/>
              <w:start w:w="120" w:type="dxa"/>
              <w:bottom w:w="80" w:type="dxa"/>
              <w:end w:w="120" w:type="dxa"/>
            </w:tcMar>
          </w:tcPr>
          <w:p>
            <w:pPr>
              <w:spacing w:before="0" w:after="40" w:line="240" w:lineRule="auto"/>
              <w:jc w:val="left"/>
            </w:pPr>
            <w:r>
              <w:rPr>
                <w:rFonts w:ascii="Calibri" w:hAnsi="Calibri"/>
                <w:b w:val="0"/>
                <w:color w:val="1F2328"/>
                <w:sz w:val="18"/>
              </w:rPr>
              <w:t>Version 3.0 current-state and active-order text, plus every conflicting chat-local roadmap, review, or backlog instruction</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Change rule</w:t>
            </w:r>
          </w:p>
        </w:tc>
        <w:tc>
          <w:tcPr>
            <w:tcW w:type="dxa" w:w="7560"/>
            <w:vAlign w:val="top"/>
            <w:tcMar>
              <w:top w:w="80" w:type="dxa"/>
              <w:start w:w="120" w:type="dxa"/>
              <w:bottom w:w="80" w:type="dxa"/>
              <w:end w:w="120" w:type="dxa"/>
            </w:tcMar>
          </w:tcPr>
          <w:p>
            <w:pPr>
              <w:spacing w:before="0" w:after="40" w:line="240" w:lineRule="auto"/>
              <w:jc w:val="left"/>
            </w:pPr>
            <w:r>
              <w:rPr>
                <w:rFonts w:ascii="Calibri" w:hAnsi="Calibri"/>
                <w:b w:val="0"/>
                <w:color w:val="1F2328"/>
                <w:sz w:val="18"/>
              </w:rPr>
              <w:t>Only an explicit written product-owner decision may amend SO-001. Every amendment must state its version, date, reason, and exact superseded clause.</w:t>
            </w:r>
          </w:p>
        </w:tc>
      </w:tr>
      <w:tr>
        <w:tc>
          <w:tcPr>
            <w:tcW w:type="dxa" w:w="1800"/>
            <w:shd w:fill="EAF2F8"/>
            <w:tcBorders>
              <w:top w:val="single" w:sz="6" w:color="AFC0D0"/>
              <w:left w:val="single" w:sz="6" w:color="AFC0D0"/>
              <w:bottom w:val="single" w:sz="6" w:color="AFC0D0"/>
              <w:right w:val="single" w:sz="6" w:color="AFC0D0"/>
              <w:insideH w:val="single" w:sz="6" w:color="AFC0D0"/>
              <w:insideV w:val="single" w:sz="6" w:color="AFC0D0"/>
            </w:tcBorders>
          </w:tcPr>
          <w:p>
            <w:pPr>
              <w:jc w:val="left"/>
            </w:pPr>
            <w:r>
              <w:rPr>
                <w:b/>
              </w:rPr>
              <w:t>Standing order</w:t>
            </w:r>
          </w:p>
        </w:tc>
        <w:tc>
          <w:tcPr>
            <w:tcW w:type="dxa" w:w="7560"/>
            <w:tcBorders>
              <w:top w:val="single" w:sz="6" w:color="AFC0D0"/>
              <w:left w:val="single" w:sz="6" w:color="AFC0D0"/>
              <w:bottom w:val="single" w:sz="6" w:color="AFC0D0"/>
              <w:right w:val="single" w:sz="6" w:color="AFC0D0"/>
              <w:insideH w:val="single" w:sz="6" w:color="AFC0D0"/>
              <w:insideV w:val="single" w:sz="6" w:color="AFC0D0"/>
            </w:tcBorders>
          </w:tcPr>
          <w:p>
            <w:pPr>
              <w:jc w:val="left"/>
            </w:pPr>
            <w:r>
              <w:rPr>
                <w:b w:val="0"/>
              </w:rPr>
              <w:t>SO-001 applies to the architect, implementers, reviewers, sub-agents, every future chat, and every project handoff.</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1F4D78"/>
          <w:left w:val="single" w:sz="6" w:space="0" w:color="1F4D78"/>
          <w:bottom w:val="single" w:sz="6" w:space="0" w:color="1F4D78"/>
          <w:right w:val="single" w:sz="6" w:space="0" w:color="1F4D78"/>
          <w:insideH w:val="single" w:sz="6" w:space="0" w:color="1F4D78"/>
          <w:insideV w:val="single" w:sz="6" w:space="0" w:color="1F4D78"/>
        </w:tblBorders>
      </w:tblPr>
      <w:tblGrid>
        <w:gridCol w:w="9360"/>
      </w:tblGrid>
      <w:tr>
        <w:trPr>
          <w:cantSplit/>
        </w:trPr>
        <w:tc>
          <w:tcPr>
            <w:tcW w:type="dxa" w:w="9360"/>
            <w:tcMar>
              <w:top w:w="80" w:type="dxa"/>
              <w:start w:w="120" w:type="dxa"/>
              <w:bottom w:w="80" w:type="dxa"/>
              <w:end w:w="120" w:type="dxa"/>
            </w:tcMar>
            <w:shd w:fill="E8EEF5"/>
            <w:vAlign w:val="center"/>
          </w:tcPr>
          <w:p>
            <w:pPr>
              <w:spacing w:after="60"/>
            </w:pPr>
            <w:r>
              <w:rPr>
                <w:rFonts w:ascii="Calibri" w:hAnsi="Calibri"/>
                <w:b/>
                <w:color w:val="1F4D78"/>
                <w:sz w:val="21"/>
              </w:rPr>
              <w:t>Core decision</w:t>
            </w:r>
          </w:p>
          <w:p>
            <w:pPr>
              <w:spacing w:after="0" w:line="264" w:lineRule="auto"/>
            </w:pPr>
            <w:r>
              <w:rPr>
                <w:rFonts w:ascii="Calibri" w:hAnsi="Calibri"/>
                <w:color w:val="1F2328"/>
                <w:sz w:val="21"/>
              </w:rPr>
              <w:t>Preserve the inherited Fixed Ops code behind its existing module boundary. It is not the commercial wedge and may receive only security, compatibility, migration, and regression fixes unless a future FBL-300+ order explicitly authorizes repair-product development.</w:t>
            </w:r>
          </w:p>
        </w:tc>
      </w:tr>
    </w:tbl>
    <w:p>
      <w:pPr>
        <w:spacing w:after="0"/>
      </w:pPr>
    </w:p>
    <w:p>
      <w:pPr>
        <w:pStyle w:val="Heading2"/>
      </w:pPr>
      <w:r>
        <w:t>How to Use This Blueprint</w:t>
      </w:r>
    </w:p>
    <w:p>
      <w:pPr>
        <w:pStyle w:val="ListBullet"/>
      </w:pPr>
      <w:r>
        <w:t>Every chat, architect, reviewer, and implementer reads SO-001 and the Current Execution State before issuing or executing work.</w:t>
      </w:r>
    </w:p>
    <w:p>
      <w:pPr>
        <w:pStyle w:val="ListBullet"/>
        <w:keepLines/>
      </w:pPr>
      <w:r>
        <w:t>The product owner uses Sections 1–5 as the approved direction, scope, and market position.</w:t>
      </w:r>
    </w:p>
    <w:p>
      <w:pPr>
        <w:pStyle w:val="ListBullet"/>
        <w:keepLines/>
      </w:pPr>
      <w:r>
        <w:t>The architect uses Sections 6–13 as the binding target architecture and quality bar.</w:t>
      </w:r>
    </w:p>
    <w:p>
      <w:pPr>
        <w:pStyle w:val="ListBullet"/>
        <w:keepLines/>
      </w:pPr>
      <w:r>
        <w:t>Fable executes Section 14 one order at a time. Only the explicitly ACTIVE order may carry code, and every order stops at its binary acceptance gate.</w:t>
      </w:r>
    </w:p>
    <w:p>
      <w:pPr>
        <w:pStyle w:val="ListBullet"/>
        <w:keepLines/>
      </w:pPr>
      <w:r>
        <w:t>Closed phases never reopen. Later defects use a forward-numbered correction and a new forward migration while preserving accepted evidence and shipped migrations.</w:t>
      </w:r>
    </w:p>
    <w:p>
      <w:pPr>
        <w:pStyle w:val="ListBullet"/>
        <w:keepLines/>
      </w:pPr>
      <w:r>
        <w:t>No phase may claim completion with skipped integration tests, unverified tenant isolation, or undocumented schema/API changes.</w:t>
      </w:r>
    </w:p>
    <w:p>
      <w:pPr>
        <w:pStyle w:val="ListBullet"/>
        <w:keepLines/>
      </w:pPr>
      <w:r>
        <w:t>Regulatory content is an engineering control map, not legal advice; counsel and qualified compliance specialists must validate production obligations.</w:t>
      </w:r>
    </w:p>
    <w:p>
      <w:r>
        <w:br w:type="page"/>
      </w:r>
    </w:p>
    <w:p>
      <w:pPr>
        <w:pStyle w:val="Heading2"/>
      </w:pPr>
      <w:r>
        <w:t>Contents</w:t>
      </w:r>
    </w:p>
    <w:p>
      <w:pPr>
        <w:pStyle w:val="ListBullet"/>
        <w:keepNext w:val="0"/>
      </w:pPr>
      <w:r>
        <w:t>Standing Architect Order - SO-001</w:t>
      </w:r>
    </w:p>
    <w:p>
      <w:pPr>
        <w:pStyle w:val="ListBullet"/>
        <w:keepLines/>
      </w:pPr>
      <w:r>
        <w:t>1. Executive Decision</w:t>
      </w:r>
    </w:p>
    <w:p>
      <w:pPr>
        <w:pStyle w:val="ListBullet"/>
        <w:keepLines/>
      </w:pPr>
      <w:r>
        <w:t>2. Assessment Scope and Evidence</w:t>
      </w:r>
    </w:p>
    <w:p>
      <w:pPr>
        <w:pStyle w:val="ListBullet"/>
        <w:keepLines/>
      </w:pPr>
      <w:r>
        <w:t>3. Current-State Repository</w:t>
      </w:r>
    </w:p>
    <w:p>
      <w:pPr>
        <w:pStyle w:val="ListBullet"/>
        <w:keepLines/>
      </w:pPr>
      <w:r>
        <w:t>4. Findings and Immediate Risks</w:t>
      </w:r>
    </w:p>
    <w:p>
      <w:pPr>
        <w:pStyle w:val="ListBullet"/>
        <w:keepLines/>
      </w:pPr>
      <w:r>
        <w:t>5. Product Strategy and Market Bar</w:t>
      </w:r>
    </w:p>
    <w:p>
      <w:pPr>
        <w:pStyle w:val="ListBullet"/>
        <w:keepLines/>
      </w:pPr>
      <w:r>
        <w:t>6. Target Architecture</w:t>
      </w:r>
    </w:p>
    <w:p>
      <w:pPr>
        <w:pStyle w:val="ListBullet"/>
        <w:keepLines/>
      </w:pPr>
      <w:r>
        <w:t>7. Platform Kernel</w:t>
      </w:r>
    </w:p>
    <w:p>
      <w:pPr>
        <w:pStyle w:val="ListBullet"/>
        <w:keepLines/>
      </w:pPr>
      <w:r>
        <w:t>8. Dealership Bounded Contexts</w:t>
      </w:r>
    </w:p>
    <w:p>
      <w:pPr>
        <w:pStyle w:val="ListBullet"/>
        <w:keepLines/>
      </w:pPr>
      <w:r>
        <w:t>9. Data, API, and Event Contracts</w:t>
      </w:r>
    </w:p>
    <w:p>
      <w:pPr>
        <w:pStyle w:val="ListBullet"/>
        <w:keepLines/>
      </w:pPr>
      <w:r>
        <w:t>10. Security, Privacy, and Compliance</w:t>
      </w:r>
    </w:p>
    <w:p>
      <w:pPr>
        <w:pStyle w:val="ListBullet"/>
        <w:keepLines/>
      </w:pPr>
      <w:r>
        <w:t>11. Reliability, Operations, and Quality</w:t>
      </w:r>
    </w:p>
    <w:p>
      <w:pPr>
        <w:pStyle w:val="ListBullet"/>
        <w:keepLines/>
      </w:pPr>
      <w:r>
        <w:t>12. Experience, Analytics, and Governed AI</w:t>
      </w:r>
    </w:p>
    <w:p>
      <w:pPr>
        <w:pStyle w:val="ListBullet"/>
        <w:keepLines/>
      </w:pPr>
      <w:r>
        <w:t>13. Governing Forward-Only Product Roadmap</w:t>
      </w:r>
    </w:p>
    <w:p>
      <w:pPr>
        <w:pStyle w:val="ListBullet"/>
        <w:keepLines/>
      </w:pPr>
      <w:r>
        <w:t>14. Fable Implementation Orders</w:t>
      </w:r>
    </w:p>
    <w:p>
      <w:pPr>
        <w:pStyle w:val="ListBullet"/>
        <w:keepLines/>
      </w:pPr>
      <w:r>
        <w:t>15. Program Model, Economics, and Risks</w:t>
      </w:r>
    </w:p>
    <w:p>
      <w:pPr>
        <w:pStyle w:val="ListBullet"/>
        <w:keepLines/>
      </w:pPr>
      <w:r>
        <w:t>16. Acceptance Scorecard and Next Decisions</w:t>
      </w:r>
    </w:p>
    <w:p>
      <w:pPr>
        <w:pStyle w:val="ListBullet"/>
        <w:keepLines/>
      </w:pPr>
      <w:r>
        <w:t>Appendices: Evidence, Contracts, and Sources</w:t>
      </w:r>
    </w:p>
    <w:p>
      <w:r>
        <w:br w:type="page"/>
      </w:r>
    </w:p>
    <w:p>
      <w:pPr>
        <w:pStyle w:val="Heading1"/>
        <w:pageBreakBefore/>
      </w:pPr>
      <w:r>
        <w:t>Standing Architect Order - SO-001</w:t>
      </w:r>
    </w:p>
    <w:tbl>
      <w:tblPr>
        <w:tblW w:type="dxa" w:w="9360"/>
        <w:jc w:val="left"/>
        <w:tblLayout w:type="fixed"/>
        <w:tblLook w:firstColumn="1" w:firstRow="1" w:lastColumn="0" w:lastRow="0" w:noHBand="0" w:noVBand="1" w:val="04A0"/>
        <w:tblInd w:type="dxa" w:w="120"/>
      </w:tblPr>
      <w:tblGrid>
        <w:gridCol w:w="9360"/>
      </w:tblGrid>
      <w:tr>
        <w:trPr/>
        <w:tc>
          <w:tcPr>
            <w:tcW w:type="dxa" w:w="9360"/>
            <w:shd w:fill="EAF2F8"/>
            <w:tcBorders>
              <w:top w:val="single" w:sz="10" w:color="1F4E78"/>
              <w:left w:val="single" w:sz="10" w:color="1F4E78"/>
              <w:bottom w:val="single" w:sz="10" w:color="1F4E78"/>
              <w:right w:val="single" w:sz="10" w:color="1F4E78"/>
              <w:insideH w:val="single" w:sz="10" w:color="1F4E78"/>
              <w:insideV w:val="single" w:sz="10" w:color="1F4E78"/>
            </w:tcBorders>
            <w:tcMar>
              <w:top w:w="80" w:type="dxa"/>
              <w:bottom w:w="80" w:type="dxa"/>
              <w:start w:w="120" w:type="dxa"/>
              <w:end w:w="120" w:type="dxa"/>
            </w:tcMar>
          </w:tcPr>
          <w:p>
            <w:r/>
            <w:r>
              <w:rPr>
                <w:b/>
              </w:rPr>
              <w:t>Permanent governing order</w:t>
            </w:r>
          </w:p>
          <w:p>
            <w:pPr/>
            <w:r>
              <w:t>This order controls the architect, implementers, reviewers, sub-agents, every future chat, and every handoff for the Dealership Management &amp; Sales Cloud. It supersedes conflicting older roadmaps, repair-first blueprints, open-ended review practices, and chat-local directions. A current explicit product-owner instruction remains the highest authority.</w:t>
            </w:r>
          </w:p>
        </w:tc>
      </w:tr>
    </w:tbl>
    <w:p>
      <w:pPr>
        <w:pStyle w:val="Heading2"/>
        <w:pageBreakBefore w:val="0"/>
      </w:pPr>
      <w:r>
        <w:t>SO-001.1 Authority and precedence</w:t>
      </w:r>
    </w:p>
    <w:tbl>
      <w:tblPr>
        <w:tblW w:type="dxa" w:w="9360"/>
        <w:jc w:val="left"/>
        <w:tblLayout w:type="fixed"/>
        <w:tblLook w:firstColumn="1" w:firstRow="1" w:lastColumn="0" w:lastRow="0" w:noHBand="0" w:noVBand="1" w:val="04A0"/>
        <w:tblInd w:type="dxa" w:w="120"/>
      </w:tblPr>
      <w:tblGrid>
        <w:gridCol w:w="1200"/>
        <w:gridCol w:w="8160"/>
      </w:tblGrid>
      <w:tr>
        <w:trPr>
          <w:cantSplit/>
          <w:tblHeader w:val="true"/>
        </w:trPr>
        <w:tc>
          <w:tcPr>
            <w:tcW w:type="dxa" w:w="1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9EFF5"/>
          </w:tcPr>
          <w:p>
            <w:pPr>
              <w:spacing w:after="0"/>
              <w:jc w:val="left"/>
            </w:pPr>
            <w:r>
              <w:rPr>
                <w:b/>
              </w:rPr>
              <w:t>Priority</w:t>
            </w:r>
          </w:p>
        </w:tc>
        <w:tc>
          <w:tcPr>
            <w:tcW w:type="dxa" w:w="8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9EFF5"/>
          </w:tcPr>
          <w:p>
            <w:pPr>
              <w:spacing w:after="0"/>
              <w:jc w:val="left"/>
            </w:pPr>
            <w:r>
              <w:rPr>
                <w:b/>
              </w:rPr>
              <w:t>Governing source</w:t>
            </w:r>
          </w:p>
        </w:tc>
      </w:tr>
      <w:tr>
        <w:trPr>
          <w:cantSplit/>
        </w:trPr>
        <w:tc>
          <w:tcPr>
            <w:tcW w:type="dxa" w:w="1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1</w:t>
            </w:r>
          </w:p>
        </w:tc>
        <w:tc>
          <w:tcPr>
            <w:tcW w:type="dxa" w:w="8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Current explicit product-owner instruction</w:t>
            </w:r>
          </w:p>
        </w:tc>
      </w:tr>
      <w:tr>
        <w:trPr>
          <w:cantSplit/>
        </w:trPr>
        <w:tc>
          <w:tcPr>
            <w:tcW w:type="dxa" w:w="1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2</w:t>
            </w:r>
          </w:p>
        </w:tc>
        <w:tc>
          <w:tcPr>
            <w:tcW w:type="dxa" w:w="8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Standing Architect Order SO-001</w:t>
            </w:r>
          </w:p>
        </w:tc>
      </w:tr>
      <w:tr>
        <w:trPr>
          <w:cantSplit/>
        </w:trPr>
        <w:tc>
          <w:tcPr>
            <w:tcW w:type="dxa" w:w="1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3</w:t>
            </w:r>
          </w:p>
        </w:tc>
        <w:tc>
          <w:tcPr>
            <w:tcW w:type="dxa" w:w="8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Locked acceptance contract for the active release</w:t>
            </w:r>
          </w:p>
        </w:tc>
      </w:tr>
      <w:tr>
        <w:trPr>
          <w:cantSplit/>
        </w:trPr>
        <w:tc>
          <w:tcPr>
            <w:tcW w:type="dxa" w:w="1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4</w:t>
            </w:r>
          </w:p>
        </w:tc>
        <w:tc>
          <w:tcPr>
            <w:tcW w:type="dxa" w:w="8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Accepted ADRs, contracts, migrations, and completed evidence</w:t>
            </w:r>
          </w:p>
        </w:tc>
      </w:tr>
      <w:tr>
        <w:trPr>
          <w:cantSplit/>
        </w:trPr>
        <w:tc>
          <w:tcPr>
            <w:tcW w:type="dxa" w:w="1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5</w:t>
            </w:r>
          </w:p>
        </w:tc>
        <w:tc>
          <w:tcPr>
            <w:tcW w:type="dxa" w:w="8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Latest execution-state block and accepted handoff</w:t>
            </w:r>
          </w:p>
        </w:tc>
      </w:tr>
      <w:tr>
        <w:trPr>
          <w:cantSplit/>
        </w:trPr>
        <w:tc>
          <w:tcPr>
            <w:tcW w:type="dxa" w:w="1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6</w:t>
            </w:r>
          </w:p>
        </w:tc>
        <w:tc>
          <w:tcPr>
            <w:tcW w:type="dxa" w:w="8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Historical plans and superseded material, for reference only</w:t>
            </w:r>
          </w:p>
        </w:tc>
      </w:tr>
    </w:tbl>
    <w:p>
      <w:pPr>
        <w:pageBreakBefore w:val="0"/>
      </w:pPr>
      <w:r>
        <w:t>No chat, reviewer, or implementer may silently change this order, revive superseded scope, or use historical prose to override a later governing source.</w:t>
      </w:r>
    </w:p>
    <w:p>
      <w:pPr>
        <w:pStyle w:val="Heading2"/>
        <w:pageBreakBefore w:val="0"/>
      </w:pPr>
      <w:r>
        <w:t>SO-001.2 Governing mission and finish line</w:t>
      </w:r>
    </w:p>
    <w:p>
      <w:pPr>
        <w:pageBreakBefore w:val="0"/>
      </w:pPr>
      <w:r>
        <w:t>The primary finish line is a production-ready one-account dealership pilot. Authorized staff must be able to:</w:t>
      </w:r>
    </w:p>
    <w:p>
      <w:pPr>
        <w:pStyle w:val="ListBullet"/>
        <w:pageBreakBefore w:val="0"/>
      </w:pPr>
      <w:r>
        <w:t>Configure the dealership, rooftops, users, roles, branding, hours, and core operating settings.</w:t>
      </w:r>
    </w:p>
    <w:p>
      <w:pPr>
        <w:pStyle w:val="ListBullet"/>
        <w:pageBreakBefore w:val="0"/>
      </w:pPr>
      <w:r>
        <w:t>Manage customers, leads, vehicles, acquisition, inventory, pricing, media, merchandising, and listing status.</w:t>
      </w:r>
    </w:p>
    <w:p>
      <w:pPr>
        <w:pStyle w:val="ListBullet"/>
        <w:pageBreakBefore w:val="0"/>
      </w:pPr>
      <w:r>
        <w:t>Run CRM, follow-up, campaigns, consent, and marketing attribution.</w:t>
      </w:r>
    </w:p>
    <w:p>
      <w:pPr>
        <w:pStyle w:val="ListBullet"/>
        <w:pageBreakBefore w:val="0"/>
      </w:pPr>
      <w:r>
        <w:t>Move a customer through appraisal, desking, deal records, sale, funding handoff, and delivery.</w:t>
      </w:r>
    </w:p>
    <w:p>
      <w:pPr>
        <w:pStyle w:val="ListBullet"/>
        <w:pageBreakBefore w:val="0"/>
      </w:pPr>
      <w:r>
        <w:t>Use management, inventory, marketing, sales, and exception reporting based on persisted source facts.</w:t>
      </w:r>
    </w:p>
    <w:p>
      <w:pPr>
        <w:pStyle w:val="ListBullet"/>
        <w:pageBreakBefore w:val="0"/>
      </w:pPr>
      <w:r>
        <w:t>Operate on tenant-isolated, authorized, auditable, recoverable, and safely upgradeable data.</w:t>
      </w:r>
    </w:p>
    <w:p>
      <w:pPr>
        <w:pageBreakBefore w:val="0"/>
      </w:pPr>
      <w:r>
        <w:t>Repairs, service-shop management, advanced digital retail, deep F&amp;I certification, native enterprise accounting, and other enterprise extensions are deferred unless the owner explicitly activates them. They cannot delay the first pilot.</w:t>
      </w:r>
    </w:p>
    <w:p>
      <w:pPr>
        <w:pageBreakBefore w:val="0"/>
      </w:pPr>
      <w:r>
        <w:t>Every architectural decision follows this hierarchy:</w:t>
      </w:r>
    </w:p>
    <w:p>
      <w:pPr>
        <w:pageBreakBefore w:val="0"/>
        <w:ind w:left="504" w:hanging="360"/>
      </w:pPr>
      <w:r>
        <w:t>1. Owner-approved pilot outcome.</w:t>
      </w:r>
    </w:p>
    <w:p>
      <w:pPr>
        <w:pageBreakBefore w:val="0"/>
        <w:ind w:left="504" w:hanging="360"/>
      </w:pPr>
      <w:r>
        <w:t>2. Complete end-to-end dealership workflow through a working UI.</w:t>
      </w:r>
    </w:p>
    <w:p>
      <w:pPr>
        <w:pageBreakBefore w:val="0"/>
        <w:ind w:left="504" w:hanging="360"/>
      </w:pPr>
      <w:r>
        <w:t>3. Data integrity, tenant isolation, authorization, audit, and safe upgrades required by that workflow.</w:t>
      </w:r>
    </w:p>
    <w:p>
      <w:pPr>
        <w:pageBreakBefore w:val="0"/>
        <w:ind w:left="504" w:hanging="360"/>
      </w:pPr>
      <w:r>
        <w:t>4. Deployment, monitoring, recovery, and operational reliability.</w:t>
      </w:r>
    </w:p>
    <w:p>
      <w:pPr>
        <w:pageBreakBefore w:val="0"/>
        <w:ind w:left="504" w:hanging="360"/>
      </w:pPr>
      <w:r>
        <w:t>5. Architecture refinement, optimization, documentation, metrics, and additional proof.</w:t>
      </w:r>
    </w:p>
    <w:p>
      <w:pPr>
        <w:pageBreakBefore w:val="0"/>
      </w:pPr>
      <w:r>
        <w:t>A lower-priority concern may delay a higher-priority outcome only when it proves an S0 or S1 blocker under SO-001.6.</w:t>
      </w:r>
    </w:p>
    <w:p>
      <w:pPr>
        <w:pStyle w:val="Heading2"/>
        <w:pageBreakBefore w:val="0"/>
      </w:pPr>
      <w:r>
        <w:t>SO-001.3 Cross-chat startup and continuity</w:t>
      </w:r>
    </w:p>
    <w:p>
      <w:pPr>
        <w:pageBreakBefore w:val="0"/>
      </w:pPr>
      <w:r>
        <w:t>At the start of every chat or work session, the architect must read:</w:t>
      </w:r>
    </w:p>
    <w:p>
      <w:pPr>
        <w:pageBreakBefore w:val="0"/>
        <w:ind w:left="504" w:hanging="360"/>
      </w:pPr>
      <w:r>
        <w:t>1. SO-001 in this blueprint.</w:t>
      </w:r>
    </w:p>
    <w:p>
      <w:pPr>
        <w:pageBreakBefore w:val="0"/>
        <w:ind w:left="504" w:hanging="360"/>
      </w:pPr>
      <w:r>
        <w:t>2. The Current Execution State block below.</w:t>
      </w:r>
    </w:p>
    <w:p>
      <w:pPr>
        <w:pageBreakBefore w:val="0"/>
        <w:ind w:left="504" w:hanging="360"/>
      </w:pPr>
      <w:r>
        <w:t>3. The active release's locked acceptance contract.</w:t>
      </w:r>
    </w:p>
    <w:p>
      <w:pPr>
        <w:pageBreakBefore w:val="0"/>
        <w:ind w:left="504" w:hanging="360"/>
      </w:pPr>
      <w:r>
        <w:t>4. The latest accepted commit, CI state, usable capability, and unresolved blocker list.</w:t>
      </w:r>
    </w:p>
    <w:p>
      <w:pPr>
        <w:pageBreakBefore w:val="0"/>
      </w:pPr>
      <w:r>
        <w:t>Work resumes from that state. A new chat must not restart the project, reconstruct the whole history, reopen accepted work, or launch a new audit merely because context changed. If one current artifact is missing, request only that artifact and continue from the remaining accepted state.</w:t>
      </w:r>
    </w:p>
    <w:p>
      <w:pPr>
        <w:pStyle w:val="Heading2"/>
        <w:pageBreakBefore w:val="0"/>
      </w:pPr>
      <w:r>
        <w:t>SO-001.4 Forward-only execution model</w:t>
      </w:r>
    </w:p>
    <w:p>
      <w:pPr>
        <w:pStyle w:val="ListBullet"/>
        <w:pageBreakBefore w:val="0"/>
      </w:pPr>
      <w:r>
        <w:t>One release train and one consolidated acceptance gate may be active at a time.</w:t>
      </w:r>
    </w:p>
    <w:p>
      <w:pPr>
        <w:pStyle w:val="ListBullet"/>
        <w:pageBreakBefore w:val="0"/>
      </w:pPr>
      <w:r>
        <w:t>Before coding, lock the owner-visible workflow, no more than ten outcome-level acceptance checks, explicit exclusions, required data/security invariants, demonstration path, and proportional verification.</w:t>
      </w:r>
    </w:p>
    <w:p>
      <w:pPr>
        <w:pStyle w:val="ListBullet"/>
        <w:pageBreakBefore w:val="0"/>
      </w:pPr>
      <w:r>
        <w:t>Once coding starts, criteria do not expand unless the owner changes the outcome or a reproducible S0/S1 defect is found.</w:t>
      </w:r>
    </w:p>
    <w:p>
      <w:pPr>
        <w:pStyle w:val="ListBullet"/>
        <w:pageBreakBefore w:val="0"/>
      </w:pPr>
      <w:r>
        <w:t>Implement the smallest complete vertical slice. Research, refactoring, documentation, testing, and evidence support the slice; they are not independent progress milestones.</w:t>
      </w:r>
    </w:p>
    <w:p>
      <w:pPr>
        <w:pStyle w:val="ListBullet"/>
        <w:pageBreakBefore w:val="0"/>
      </w:pPr>
      <w:r>
        <w:t>Every business release ends in a working UI demonstration using persisted data. Backend-only completion is not a product release.</w:t>
      </w:r>
    </w:p>
    <w:p>
      <w:pPr>
        <w:pStyle w:val="ListBullet"/>
        <w:pageBreakBefore w:val="0"/>
      </w:pPr>
      <w:r>
        <w:t>Closed work remains closed. A later defect receives a forward-numbered patch, migration, or hotfix and does not reopen the historical phase.</w:t>
      </w:r>
    </w:p>
    <w:p>
      <w:pPr>
        <w:pStyle w:val="Heading2"/>
        <w:pageBreakBefore w:val="0"/>
      </w:pPr>
      <w:r>
        <w:t>SO-001.5 Fixed acceptance gates</w:t>
      </w:r>
    </w:p>
    <w:tbl>
      <w:tblPr>
        <w:tblW w:type="dxa" w:w="9360"/>
        <w:jc w:val="left"/>
        <w:tblLayout w:type="fixed"/>
        <w:tblLook w:firstColumn="1" w:firstRow="1" w:lastColumn="0" w:lastRow="0" w:noHBand="0" w:noVBand="1" w:val="04A0"/>
        <w:tblInd w:type="dxa" w:w="120"/>
      </w:tblPr>
      <w:tblGrid>
        <w:gridCol w:w="2200"/>
        <w:gridCol w:w="7160"/>
      </w:tblGrid>
      <w:tr>
        <w:trPr>
          <w:cantSplit/>
          <w:tblHeader w:val="true"/>
        </w:trPr>
        <w:tc>
          <w:tcPr>
            <w:tcW w:type="dxa" w:w="2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9EFF5"/>
          </w:tcPr>
          <w:p>
            <w:pPr>
              <w:spacing w:after="0"/>
              <w:jc w:val="left"/>
            </w:pPr>
            <w:r>
              <w:rPr>
                <w:b/>
              </w:rPr>
              <w:t>Gate</w:t>
            </w:r>
          </w:p>
        </w:tc>
        <w:tc>
          <w:tcPr>
            <w:tcW w:type="dxa" w:w="7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9EFF5"/>
          </w:tcPr>
          <w:p>
            <w:pPr>
              <w:spacing w:after="0"/>
              <w:jc w:val="left"/>
            </w:pPr>
            <w:r>
              <w:rPr>
                <w:b/>
              </w:rPr>
              <w:t>Required result</w:t>
            </w:r>
          </w:p>
        </w:tc>
      </w:tr>
      <w:tr>
        <w:trPr>
          <w:cantSplit/>
        </w:trPr>
        <w:tc>
          <w:tcPr>
            <w:tcW w:type="dxa" w:w="2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A - Scope lock</w:t>
            </w:r>
          </w:p>
        </w:tc>
        <w:tc>
          <w:tcPr>
            <w:tcW w:type="dxa" w:w="7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Approve the workflow, acceptance rows, exclusions, risk invariants, and demonstration once.</w:t>
            </w:r>
          </w:p>
        </w:tc>
      </w:tr>
      <w:tr>
        <w:trPr>
          <w:cantSplit/>
        </w:trPr>
        <w:tc>
          <w:tcPr>
            <w:tcW w:type="dxa" w:w="2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B - Working implementation</w:t>
            </w:r>
          </w:p>
        </w:tc>
        <w:tc>
          <w:tcPr>
            <w:tcW w:type="dxa" w:w="7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Complete the workflow through the real application surface using persisted data; run focused tests while building.</w:t>
            </w:r>
          </w:p>
        </w:tc>
      </w:tr>
      <w:tr>
        <w:trPr>
          <w:cantSplit/>
        </w:trPr>
        <w:tc>
          <w:tcPr>
            <w:tcW w:type="dxa" w:w="2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C - Integrated verification</w:t>
            </w:r>
          </w:p>
        </w:tc>
        <w:tc>
          <w:tcPr>
            <w:tcW w:type="dxa" w:w="7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Demonstrate the workflow; run relevant regression and risk-based negative tests; verify fresh/upgrade convergence when schema changes; obtain one green exact-commit CI run.</w:t>
            </w:r>
          </w:p>
        </w:tc>
      </w:tr>
      <w:tr>
        <w:trPr>
          <w:cantSplit/>
        </w:trPr>
        <w:tc>
          <w:tcPr>
            <w:tcW w:type="dxa" w:w="2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D - Acceptance and closure</w:t>
            </w:r>
          </w:p>
        </w:tc>
        <w:tc>
          <w:tcPr>
            <w:tcW w:type="dxa" w:w="7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Return one consolidated verdict mapped to the locked rows. Re-review only failed rows and their direct regressions. When they pass, merge/release as authorized, close once, and advance.</w:t>
            </w:r>
          </w:p>
        </w:tc>
      </w:tr>
    </w:tbl>
    <w:p>
      <w:pPr>
        <w:pageBreakBefore w:val="0"/>
      </w:pPr>
      <w:r>
        <w:t>Every review must end with ACCEPTED, BOUNDED CORRECTION, or OWNER DECISION REQUIRED. 'More review needed' is not a valid final status.</w:t>
      </w:r>
    </w:p>
    <w:p>
      <w:pPr>
        <w:pStyle w:val="Heading2"/>
        <w:pageBreakBefore w:val="0"/>
      </w:pPr>
      <w:r>
        <w:t>SO-001.6 Defect severity and blocking authority</w:t>
      </w:r>
    </w:p>
    <w:tbl>
      <w:tblPr>
        <w:tblW w:type="dxa" w:w="9360"/>
        <w:jc w:val="left"/>
        <w:tblLayout w:type="fixed"/>
        <w:tblLook w:firstColumn="1" w:firstRow="1" w:lastColumn="0" w:lastRow="0" w:noHBand="0" w:noVBand="1" w:val="04A0"/>
        <w:tblInd w:type="dxa" w:w="120"/>
      </w:tblPr>
      <w:tblGrid>
        <w:gridCol w:w="1800"/>
        <w:gridCol w:w="4200"/>
        <w:gridCol w:w="3360"/>
      </w:tblGrid>
      <w:tr>
        <w:trPr>
          <w:cantSplit/>
          <w:tblHeader w:val="true"/>
        </w:trPr>
        <w:tc>
          <w:tcPr>
            <w:tcW w:type="dxa" w:w="18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9EFF5"/>
          </w:tcPr>
          <w:p>
            <w:pPr>
              <w:spacing w:after="0"/>
              <w:jc w:val="left"/>
            </w:pPr>
            <w:r>
              <w:rPr>
                <w:b/>
              </w:rPr>
              <w:t>Severity</w:t>
            </w:r>
          </w:p>
        </w:tc>
        <w:tc>
          <w:tcPr>
            <w:tcW w:type="dxa" w:w="4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9EFF5"/>
          </w:tcPr>
          <w:p>
            <w:pPr>
              <w:spacing w:after="0"/>
              <w:jc w:val="left"/>
            </w:pPr>
            <w:r>
              <w:rPr>
                <w:b/>
              </w:rPr>
              <w:t>Meaning</w:t>
            </w:r>
          </w:p>
        </w:tc>
        <w:tc>
          <w:tcPr>
            <w:tcW w:type="dxa" w:w="33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9EFF5"/>
          </w:tcPr>
          <w:p>
            <w:pPr>
              <w:spacing w:after="0"/>
              <w:jc w:val="left"/>
            </w:pPr>
            <w:r>
              <w:rPr>
                <w:b/>
              </w:rPr>
              <w:t>Treatment</w:t>
            </w:r>
          </w:p>
        </w:tc>
      </w:tr>
      <w:tr>
        <w:trPr>
          <w:cantSplit/>
        </w:trPr>
        <w:tc>
          <w:tcPr>
            <w:tcW w:type="dxa" w:w="18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S0 - Emergency</w:t>
            </w:r>
          </w:p>
        </w:tc>
        <w:tc>
          <w:tcPr>
            <w:tcW w:type="dxa" w:w="4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Cross-tenant access, privilege escalation, authentication bypass, evidence or financial forgery, irreversible corruption, destructive unsafe migration, or credible loss of production control.</w:t>
            </w:r>
          </w:p>
        </w:tc>
        <w:tc>
          <w:tcPr>
            <w:tcW w:type="dxa" w:w="33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May interrupt any work. Correct through the smallest forward hotfix.</w:t>
            </w:r>
          </w:p>
        </w:tc>
      </w:tr>
      <w:tr>
        <w:trPr>
          <w:cantSplit/>
        </w:trPr>
        <w:tc>
          <w:tcPr>
            <w:tcW w:type="dxa" w:w="18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S1 - Release blocker</w:t>
            </w:r>
          </w:p>
        </w:tc>
        <w:tc>
          <w:tcPr>
            <w:tcW w:type="dxa" w:w="4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A locked core workflow cannot complete; required data is materially wrong or lost; or a specified authorization, state, or upgrade invariant fails.</w:t>
            </w:r>
          </w:p>
        </w:tc>
        <w:tc>
          <w:tcPr>
            <w:tcW w:type="dxa" w:w="33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Blocks the active release only. Fix within the existing gate.</w:t>
            </w:r>
          </w:p>
        </w:tc>
      </w:tr>
      <w:tr>
        <w:trPr>
          <w:cantSplit/>
        </w:trPr>
        <w:tc>
          <w:tcPr>
            <w:tcW w:type="dxa" w:w="18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S2 - Nonblocking defect</w:t>
            </w:r>
          </w:p>
        </w:tc>
        <w:tc>
          <w:tcPr>
            <w:tcW w:type="dxa" w:w="4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Secondary edge case, tolerable workaround, noncritical performance or UX issue, or deferred integration gap.</w:t>
            </w:r>
          </w:p>
        </w:tc>
        <w:tc>
          <w:tcPr>
            <w:tcW w:type="dxa" w:w="33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Record in the prioritized backlog; do not delay acceptance.</w:t>
            </w:r>
          </w:p>
        </w:tc>
      </w:tr>
      <w:tr>
        <w:trPr>
          <w:cantSplit/>
        </w:trPr>
        <w:tc>
          <w:tcPr>
            <w:tcW w:type="dxa" w:w="18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S3 - Improvement</w:t>
            </w:r>
          </w:p>
        </w:tc>
        <w:tc>
          <w:tcPr>
            <w:tcW w:type="dxa" w:w="42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Refactor, elegance, speculative hardening, extra proof, wording, document polish, or future capability.</w:t>
            </w:r>
          </w:p>
        </w:tc>
        <w:tc>
          <w:tcPr>
            <w:tcW w:type="dxa" w:w="33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Defer unless it fits without affecting the release.</w:t>
            </w:r>
          </w:p>
        </w:tc>
      </w:tr>
    </w:tbl>
    <w:p>
      <w:pPr>
        <w:pageBreakBefore w:val="0"/>
      </w:pPr>
      <w:r>
        <w:t>A concern is not a blocker because a stronger design is imaginable. A blocker must identify the failing locked row, provide reproducible evidence or a credible direct exploit path, and state the smallest acceptable correction.</w:t>
      </w:r>
    </w:p>
    <w:p>
      <w:pPr>
        <w:pStyle w:val="Heading2"/>
        <w:pageBreakBefore w:val="0"/>
      </w:pPr>
      <w:r>
        <w:t>SO-001.7 Proportional verification and evidence</w:t>
      </w:r>
    </w:p>
    <w:p>
      <w:pPr>
        <w:pStyle w:val="ListBullet"/>
        <w:pageBreakBefore w:val="0"/>
      </w:pPr>
      <w:r>
        <w:t>Require focused outcome tests, relevant regression, material security positives/negatives, safe fresh/upgrade behavior when applicable, and one exact-head green CI run.</w:t>
      </w:r>
    </w:p>
    <w:p>
      <w:pPr>
        <w:pStyle w:val="ListBullet"/>
        <w:pageBreakBefore w:val="0"/>
      </w:pPr>
      <w:r>
        <w:t>Do not require arbitrary historical counts for tests, suites, mutations, documents, hashes, commits, or evidence files.</w:t>
      </w:r>
    </w:p>
    <w:p>
      <w:pPr>
        <w:pStyle w:val="ListBullet"/>
        <w:pageBreakBefore w:val="0"/>
      </w:pPr>
      <w:r>
        <w:t>Do not change implementation or error wording merely to preserve a metric. Mutation testing is selective proof, not a scorekeeping campaign.</w:t>
      </w:r>
    </w:p>
    <w:p>
      <w:pPr>
        <w:pStyle w:val="ListBullet"/>
        <w:pageBreakBefore w:val="0"/>
      </w:pPr>
      <w:r>
        <w:t>Exact commit identity, the green CI link, the locked pass/fail checklist, and the working demonstration are normally sufficient provenance.</w:t>
      </w:r>
    </w:p>
    <w:p>
      <w:pPr>
        <w:pStyle w:val="ListBullet"/>
        <w:pageBreakBefore w:val="0"/>
      </w:pPr>
      <w:r>
        <w:t>Create a separate evidence archive only when an external customer, regulator, contract, or transfer requirement actually needs it.</w:t>
      </w:r>
    </w:p>
    <w:p>
      <w:pPr>
        <w:pStyle w:val="ListBullet"/>
        <w:pageBreakBefore w:val="0"/>
      </w:pPr>
      <w:r>
        <w:t>Update factual documentation once after implementation stabilizes. Nonmaterial editorial discrepancies do not block code or acceptance.</w:t>
      </w:r>
    </w:p>
    <w:p>
      <w:pPr>
        <w:pStyle w:val="ListBullet"/>
        <w:pageBreakBefore w:val="0"/>
      </w:pPr>
      <w:r>
        <w:t>Research is limited to the smallest question preventing a decision and is time-boxed to one working day unless the owner approves more.</w:t>
      </w:r>
    </w:p>
    <w:p>
      <w:pPr>
        <w:pStyle w:val="Heading2"/>
        <w:pageBreakBefore w:val="0"/>
      </w:pPr>
      <w:r>
        <w:t>SO-001.8 Architect self-governance and review stop rule</w:t>
      </w:r>
    </w:p>
    <w:p>
      <w:pPr>
        <w:pageBreakBefore w:val="0"/>
      </w:pPr>
      <w:r>
        <w:t>Before issuing any order or correction, the architect must answer:</w:t>
      </w:r>
    </w:p>
    <w:p>
      <w:pPr>
        <w:pageBreakBefore w:val="0"/>
        <w:ind w:left="504" w:hanging="360"/>
      </w:pPr>
      <w:r>
        <w:t>1. Which pilot workflow or release gate does this unlock?</w:t>
      </w:r>
    </w:p>
    <w:p>
      <w:pPr>
        <w:pageBreakBefore w:val="0"/>
        <w:ind w:left="504" w:hanging="360"/>
      </w:pPr>
      <w:r>
        <w:t>2. Does it satisfy a locked criterion or correct an S0/S1 defect?</w:t>
      </w:r>
    </w:p>
    <w:p>
      <w:pPr>
        <w:pageBreakBefore w:val="0"/>
        <w:ind w:left="504" w:hanging="360"/>
      </w:pPr>
      <w:r>
        <w:t>3. Is this the smallest sufficient action?</w:t>
      </w:r>
    </w:p>
    <w:p>
      <w:pPr>
        <w:pageBreakBefore w:val="0"/>
        <w:ind w:left="504" w:hanging="360"/>
      </w:pPr>
      <w:r>
        <w:t>4. Am I reopening something already proved, passed, or accepted?</w:t>
      </w:r>
    </w:p>
    <w:p>
      <w:pPr>
        <w:pageBreakBefore w:val="0"/>
        <w:ind w:left="504" w:hanging="360"/>
      </w:pPr>
      <w:r>
        <w:t>5. Is the requested evidence proportional to the real risk?</w:t>
      </w:r>
    </w:p>
    <w:p>
      <w:pPr>
        <w:pStyle w:val="ListBullet"/>
        <w:pageBreakBefore w:val="0"/>
      </w:pPr>
      <w:r>
        <w:t>The architect consolidates findings rather than issuing serial discoveries.</w:t>
      </w:r>
    </w:p>
    <w:p>
      <w:pPr>
        <w:pStyle w:val="ListBullet"/>
        <w:pageBreakBefore w:val="0"/>
      </w:pPr>
      <w:r>
        <w:t>One implementation cycle and one bounded correction cycle are allowed. If the same row still fails, simplify or replace the design, or obtain an owner decision; do not start another audit loop.</w:t>
      </w:r>
    </w:p>
    <w:p>
      <w:pPr>
        <w:pStyle w:val="ListBullet"/>
        <w:pageBreakBefore w:val="0"/>
      </w:pPr>
      <w:r>
        <w:t>A correction review verifies only failed rows and direct regressions. Previously passed areas are not broadly re-audited.</w:t>
      </w:r>
    </w:p>
    <w:p>
      <w:pPr>
        <w:pStyle w:val="ListBullet"/>
        <w:pageBreakBefore w:val="0"/>
      </w:pPr>
      <w:r>
        <w:t>When locked rows, required tests, exact-head CI, and applicable upgrade checks pass, the architect must accept and close. Preferences and future improvements go to backlog.</w:t>
      </w:r>
    </w:p>
    <w:p>
      <w:pPr>
        <w:pStyle w:val="ListBullet"/>
        <w:pageBreakBefore w:val="0"/>
      </w:pPr>
      <w:r>
        <w:t>If a prior architect order caused churn, the architect explicitly supersedes it, preserves sound work, issues one narrower replacement, and moves forward.</w:t>
      </w:r>
    </w:p>
    <w:p>
      <w:pPr>
        <w:pStyle w:val="ListBullet"/>
        <w:pageBreakBefore w:val="0"/>
      </w:pPr>
      <w:r>
        <w:t>External readiness items may block production activation but do not block unrelated implementation, testing, demonstrations, or later release trains unless they are a hard dependency.</w:t>
      </w:r>
    </w:p>
    <w:p>
      <w:pPr>
        <w:pStyle w:val="Heading2"/>
        <w:pageBreakBefore w:val="0"/>
      </w:pPr>
      <w:r>
        <w:t>SO-001.9 Current Execution State</w:t>
      </w:r>
    </w:p>
    <w:tbl>
      <w:tblPr>
        <w:tblW w:type="dxa" w:w="9360"/>
        <w:jc w:val="left"/>
        <w:tblLayout w:type="fixed"/>
        <w:tblLook w:firstColumn="1" w:firstRow="1" w:lastColumn="0" w:lastRow="0" w:noHBand="0" w:noVBand="1" w:val="04A0"/>
        <w:tblInd w:type="dxa" w:w="120"/>
      </w:tblPr>
      <w:tblGrid>
        <w:gridCol w:w="2100"/>
        <w:gridCol w:w="7260"/>
      </w:tblGrid>
      <w:tr>
        <w:trPr>
          <w:cantSplit/>
          <w:tblHeader w:val="true"/>
        </w:trPr>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9EFF5"/>
          </w:tcPr>
          <w:p>
            <w:pPr>
              <w:spacing w:after="0"/>
              <w:jc w:val="left"/>
            </w:pPr>
            <w:r>
              <w:rPr>
                <w:b/>
              </w:rPr>
              <w:t>Field</w:t>
            </w:r>
          </w:p>
        </w:tc>
        <w:tc>
          <w:tcPr>
            <w:tcW w:type="dxa" w:w="72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9EFF5"/>
          </w:tcPr>
          <w:p>
            <w:pPr>
              <w:spacing w:after="0"/>
              <w:jc w:val="left"/>
            </w:pPr>
            <w:r>
              <w:rPr>
                <w:b w:val="0"/>
              </w:rPr>
              <w:t>State as of August 31, 2026</w:t>
            </w:r>
          </w:p>
        </w:tc>
      </w:tr>
      <w:tr>
        <w:trPr>
          <w:cantSplit/>
        </w:trPr>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Closed</w:t>
            </w:r>
          </w:p>
        </w:tc>
        <w:tc>
          <w:tcPr>
            <w:tcW w:type="dxa" w:w="72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FBL-000, FBL-010, FBL-020, Release Trains 1 and 2, and RT3 (FBL-090/FBL-110) are accepted, merged, permanently closed, and frozen. RT3 merged at f2a4f60; migrations 000-063 and their accepted behavior may not be reopened.</w:t>
            </w:r>
          </w:p>
        </w:tc>
      </w:tr>
      <w:tr>
        <w:trPr>
          <w:cantSplit/>
        </w:trPr>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Active</w:t>
            </w:r>
          </w:p>
        </w:tc>
        <w:tc>
          <w:tcPr>
            <w:tcW w:type="dxa" w:w="72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RT4 C1 - Sales and Showroom Finish-Line Closure is the only active outcome. Preserve the sound FBL-100 implementation and correct only the seven bounded outcomes in Section 14.3 Part A.</w:t>
            </w:r>
          </w:p>
        </w:tc>
      </w:tr>
      <w:tr>
        <w:trPr>
          <w:cantSplit/>
        </w:trPr>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Reference head</w:t>
            </w:r>
          </w:p>
        </w:tc>
        <w:tc>
          <w:tcPr>
            <w:tcW w:type="dxa" w:w="72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PR #16 is Draft at 6a8c1498bac62dbb7f4f39b907a1901d0f00bb22. Exact-head CI run 33409799429 is green 4/4 with 829 tests / 83 suites, 74/74 runtime mutations, 72/72 database controls, and clean convergence. That evidence is genuine, but each locked RT4 row has a direct finish-line gap named in Section 14.3.</w:t>
            </w:r>
          </w:p>
        </w:tc>
      </w:tr>
      <w:tr>
        <w:trPr>
          <w:cantSplit/>
        </w:trPr>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External readiness</w:t>
            </w:r>
          </w:p>
        </w:tc>
        <w:tc>
          <w:tcPr>
            <w:tcW w:type="dxa" w:w="72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Live WorkOS certification and production VIN/build-data, listing-feed, and communication-provider certification remain separate readiness work. Deterministic simulators are sufficient for the active trains and external certification must not stall them.</w:t>
            </w:r>
          </w:p>
        </w:tc>
      </w:tr>
      <w:tr>
        <w:trPr>
          <w:cantSplit/>
        </w:trPr>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Blocked</w:t>
            </w:r>
          </w:p>
        </w:tc>
        <w:tc>
          <w:tcPr>
            <w:tcW w:type="dxa" w:w="72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FBL-120 code is held only until the RT4 C1 binary proof passes and PR #16 is merged. The objective pass pre-authorizes merge and immediate FBL-120 activation; no additional RT4 review or new finding search is permitted.</w:t>
            </w:r>
          </w:p>
        </w:tc>
      </w:tr>
      <w:tr>
        <w:trPr>
          <w:cantSplit/>
        </w:trPr>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Next action</w:t>
            </w:r>
          </w:p>
        </w:tc>
        <w:tc>
          <w:tcPr>
            <w:tcW w:type="dxa" w:w="72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Execute Section 14.3 Part A once, merge the exact tested PR #16 head when every named proof passes, record RT4 CLOSED, and continue directly into Part B's FBL-120 Appraisal and Desking phase. Return once at the FBL-120 finish line unless a named external blocker prevents progress.</w:t>
            </w:r>
          </w:p>
        </w:tc>
      </w:tr>
    </w:tbl>
    <w:p>
      <w:pPr>
        <w:pageBreakBefore w:val="0"/>
      </w:pPr>
      <w:r>
        <w:t>This state block is operational and must be updated once at each accepted release close. Updating it does not amend SO-001.</w:t>
      </w:r>
    </w:p>
    <w:p>
      <w:pPr>
        <w:pStyle w:val="Heading2"/>
        <w:pageBreakBefore w:val="0"/>
      </w:pPr>
      <w:r>
        <w:t>SO-001.10 Immediate Release Train 2 - Vehicle Acquisition and Inventory</w:t>
      </w:r>
    </w:p>
    <w:p>
      <w:pPr>
        <w:pageBreakBefore w:val="0"/>
      </w:pPr>
      <w:r>
        <w:t>Release Train 1 is accepted, merged, and permanently closed at the reference head recorded in SO-001.9. Preserve migrations 000-061 byte-for-byte. Activate one consolidated release covering FBL-060, FBL-070, and FBL-080; internal sequencing is flexible, but there is one owner-visible acquisition-to-published-listing gate.</w:t>
      </w:r>
    </w:p>
    <w:p>
      <w:pPr>
        <w:pStyle w:val="Heading3"/>
        <w:pageBreakBefore w:val="0"/>
      </w:pPr>
      <w:r>
        <w:t>Row 1 - Customer and acquisition-party identity</w:t>
      </w:r>
    </w:p>
    <w:p>
      <w:pPr>
        <w:pageBreakBefore w:val="0"/>
      </w:pPr>
      <w:r>
        <w:t>Authorized staff can create, search, and import the customer or seller needed for acquisition, record contact preferences and consent, detect duplicates, and perform a controlled merge that preserves identifiers, relationships, and history. This is the minimum Customer 360 foundation; it does not introduce leads, campaigns, or sales workflows.</w:t>
      </w:r>
    </w:p>
    <w:p>
      <w:pPr>
        <w:pStyle w:val="Heading3"/>
        <w:pageBreakBefore w:val="0"/>
      </w:pPr>
      <w:r>
        <w:t>Row 2 - Vehicle acquisition and canonical stock identity</w:t>
      </w:r>
    </w:p>
    <w:p>
      <w:pPr>
        <w:pageBreakBefore w:val="0"/>
      </w:pPr>
      <w:r>
        <w:t>Staff can normalize and validate a VIN, prevent duplicate active stock identity, record acquisition source and customer or seller linkage, assign rooftop and location, capture documents and costs, and advance one vehicle through explicit lifecycle states to retail-ready without rekeying its canonical identity.</w:t>
      </w:r>
    </w:p>
    <w:p>
      <w:pPr>
        <w:pStyle w:val="Heading3"/>
        <w:pageBreakBefore w:val="0"/>
      </w:pPr>
      <w:r>
        <w:t>Row 3 - Inventory operations and merchandising</w:t>
      </w:r>
    </w:p>
    <w:p>
      <w:pPr>
        <w:pageBreakBefore w:val="0"/>
      </w:pPr>
      <w:r>
        <w:t>Staff can manage versioned pricing, photos, features, readiness, aging, holds, transfers, and listing status. A bounded listing adapter publishes and withdraws stock deterministically and reconciles acceptance, rejection, retry, and replay without lost or duplicated business effects.</w:t>
      </w:r>
    </w:p>
    <w:p>
      <w:pPr>
        <w:pStyle w:val="Heading3"/>
        <w:pageBreakBefore w:val="0"/>
      </w:pPr>
      <w:r>
        <w:t>Row 4 - Tenant and rooftop integrity</w:t>
      </w:r>
    </w:p>
    <w:p>
      <w:pPr>
        <w:pageBreakBefore w:val="0"/>
      </w:pPr>
      <w:r>
        <w:t>Authorized same-scope work succeeds. Unauthenticated, disabled, insufficient-role, wrong-rooftop, and wrong-tenant access fails without existence leakage. Database RLS and tenant-qualified relationships protect customer, vehicle, stock, document, cost, media, price, hold, transfer, and listing records even when application predicates are absent or defective.</w:t>
      </w:r>
    </w:p>
    <w:p>
      <w:pPr>
        <w:pStyle w:val="Heading3"/>
        <w:pageBreakBefore w:val="0"/>
      </w:pPr>
      <w:r>
        <w:t>Row 5 - Reliable commands and attributable evidence</w:t>
      </w:r>
    </w:p>
    <w:p>
      <w:pPr>
        <w:pageBreakBefore w:val="0"/>
      </w:pPr>
      <w:r>
        <w:t>Commands are version-aware, concurrency-safe, and retry-safe. Accepted changes, idempotency outcomes, audit evidence, and outbox records commit together. Conflicting updates cannot silently overwrite inventory, and replay cannot duplicate an accepted acquisition, transfer, price change, or listing effect.</w:t>
      </w:r>
    </w:p>
    <w:p>
      <w:pPr>
        <w:pStyle w:val="Heading3"/>
        <w:pageBreakBefore w:val="0"/>
      </w:pPr>
      <w:r>
        <w:t>Row 6 - Upgrade, owner view, and delivery proof</w:t>
      </w:r>
    </w:p>
    <w:p>
      <w:pPr>
        <w:pageBreakBefore w:val="0"/>
      </w:pPr>
      <w:r>
        <w:t>Fresh installation and forward upgrade from the accepted Release Train 1 schema converge. Through the real staff UI and APIs, demonstrate one complete acquisition-party-to-published-listing journey plus the owner inventory view across permitted rooftops, then obtain one green exact-head CI run.</w:t>
      </w:r>
    </w:p>
    <w:p>
      <w:pPr>
        <w:pStyle w:val="Heading3"/>
        <w:pageBreakBefore w:val="0"/>
      </w:pPr>
      <w:r>
        <w:t>Boundaries</w:t>
      </w:r>
    </w:p>
    <w:p>
      <w:pPr>
        <w:pStyle w:val="ListBullet"/>
        <w:pageBreakBefore w:val="0"/>
      </w:pPr>
      <w:r>
        <w:t>Build only the customer/acquisition-party, vehicle, stock, inventory, merchandising, and listing behavior required by the acquisition-to-published-listing journey.</w:t>
      </w:r>
    </w:p>
    <w:p>
      <w:pPr>
        <w:pStyle w:val="ListBullet"/>
        <w:pageBreakBefore w:val="0"/>
      </w:pPr>
      <w:r>
        <w:t>Do not begin lead management, BDC queues, follow-up, appointments, campaigns, suppression execution, attribution, marketing ROI, showroom, negotiation, appraisal, desking, digital retail, deal jacket, F&amp;I, payment, funding, title, registration, or delivery work.</w:t>
      </w:r>
    </w:p>
    <w:p>
      <w:pPr>
        <w:pStyle w:val="ListBullet"/>
        <w:pageBreakBefore w:val="0"/>
      </w:pPr>
      <w:r>
        <w:t>Do not add repair orders, service appointments, diagnosis, technicians, labor operations, parts, or shop scheduling. Inventory readiness may record a vendor, status, estimated or actual cost, and target date, but it must not become repair management.</w:t>
      </w:r>
    </w:p>
    <w:p>
      <w:pPr>
        <w:pStyle w:val="ListBullet"/>
        <w:pageBreakBefore w:val="0"/>
      </w:pPr>
      <w:r>
        <w:t>Use bounded provider adapters and deterministic simulators unless certified production access already exists. Provider certification is not a train blocker.</w:t>
      </w:r>
    </w:p>
    <w:p>
      <w:pPr>
        <w:pStyle w:val="ListBullet"/>
        <w:pageBreakBefore w:val="0"/>
      </w:pPr>
      <w:r>
        <w:t>Do not reopen accepted releases, redesign the platform, launch a general audit, chase arbitrary test or mutation counts, perform a narrative sweep, create an evidence ZIP, or add autonomous AI or native accounting.</w:t>
      </w:r>
    </w:p>
    <w:p>
      <w:pPr>
        <w:pStyle w:val="Heading3"/>
        <w:pageBreakBefore w:val="0"/>
      </w:pPr>
      <w:r>
        <w:t>Finite closure</w:t>
      </w:r>
    </w:p>
    <w:p>
      <w:pPr>
        <w:pageBreakBefore w:val="0"/>
      </w:pPr>
      <w:r>
        <w:t>Lock these six rows before coding. Run focused tests while building, then one complete applicable local verification and one green exact-head CI run. Final review covers only these rows and direct regressions. When they pass, accept, merge, and close Release Train 2 once, then advance to Release Train 3. Only a reproducible S0 defect may enlarge this gate.</w:t>
      </w:r>
    </w:p>
    <w:p>
      <w:pPr>
        <w:pStyle w:val="Heading2"/>
        <w:pageBreakBefore w:val="0"/>
      </w:pPr>
      <w:r>
        <w:t>SO-001.11 Forward release trains</w:t>
      </w:r>
    </w:p>
    <w:tbl>
      <w:tblPr>
        <w:tblW w:type="dxa" w:w="9360"/>
        <w:jc w:val="left"/>
        <w:tblLayout w:type="fixed"/>
        <w:tblLook w:firstColumn="1" w:firstRow="1" w:lastColumn="0" w:lastRow="0" w:noHBand="0" w:noVBand="1" w:val="04A0"/>
        <w:tblInd w:type="dxa" w:w="120"/>
      </w:tblPr>
      <w:tblGrid>
        <w:gridCol w:w="2100"/>
        <w:gridCol w:w="2100"/>
        <w:gridCol w:w="5160"/>
      </w:tblGrid>
      <w:tr>
        <w:trPr>
          <w:cantSplit/>
          <w:tblHeader w:val="true"/>
        </w:trPr>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9EFF5"/>
          </w:tcPr>
          <w:p>
            <w:pPr>
              <w:spacing w:after="0"/>
              <w:jc w:val="left"/>
            </w:pPr>
            <w:r>
              <w:rPr>
                <w:b/>
              </w:rPr>
              <w:t>Train</w:t>
            </w:r>
          </w:p>
        </w:tc>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9EFF5"/>
          </w:tcPr>
          <w:p>
            <w:pPr>
              <w:spacing w:after="0"/>
              <w:jc w:val="left"/>
            </w:pPr>
            <w:r>
              <w:rPr>
                <w:b/>
              </w:rPr>
              <w:t>Existing phase grouping</w:t>
            </w:r>
          </w:p>
        </w:tc>
        <w:tc>
          <w:tcPr>
            <w:tcW w:type="dxa" w:w="5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9EFF5"/>
          </w:tcPr>
          <w:p>
            <w:pPr>
              <w:spacing w:after="0"/>
              <w:jc w:val="left"/>
            </w:pPr>
            <w:r>
              <w:rPr>
                <w:b/>
              </w:rPr>
              <w:t>Owner-visible completion</w:t>
            </w:r>
          </w:p>
        </w:tc>
      </w:tr>
      <w:tr>
        <w:trPr>
          <w:cantSplit/>
        </w:trPr>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0. Trusted foundation closure</w:t>
            </w:r>
          </w:p>
        </w:tc>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FBL-020</w:t>
            </w:r>
          </w:p>
        </w:tc>
        <w:tc>
          <w:tcPr>
            <w:tcW w:type="dxa" w:w="5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Runtime, authority, evidence, approval, and upgrade boundary accepted and merged.</w:t>
            </w:r>
          </w:p>
        </w:tc>
      </w:tr>
      <w:tr>
        <w:trPr>
          <w:cantSplit/>
        </w:trPr>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1. Dealership administration</w:t>
            </w:r>
          </w:p>
        </w:tc>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FBL-030 / 040 / 050</w:t>
            </w:r>
          </w:p>
        </w:tc>
        <w:tc>
          <w:tcPr>
            <w:tcW w:type="dxa" w:w="5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Owner configures dealership, rooftops, users, roles, and core settings through a working UI.</w:t>
            </w:r>
          </w:p>
        </w:tc>
      </w:tr>
      <w:tr>
        <w:trPr>
          <w:cantSplit/>
        </w:trPr>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2. Customer, vehicle, and inventory</w:t>
            </w:r>
          </w:p>
        </w:tc>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FBL-060 / 070 / 080</w:t>
            </w:r>
          </w:p>
        </w:tc>
        <w:tc>
          <w:tcPr>
            <w:tcW w:type="dxa" w:w="5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Staff acquires, identifies, stocks, prices, manages, and merchandises vehicles with customer linkage.</w:t>
            </w:r>
          </w:p>
        </w:tc>
      </w:tr>
      <w:tr>
        <w:trPr>
          <w:cantSplit/>
        </w:trPr>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3. CRM and marketing</w:t>
            </w:r>
          </w:p>
        </w:tc>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FBL-090 / 110</w:t>
            </w:r>
          </w:p>
        </w:tc>
        <w:tc>
          <w:tcPr>
            <w:tcW w:type="dxa" w:w="5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Leads enter, assign, progress, receive follow-up, and retain campaign/source attribution.</w:t>
            </w:r>
          </w:p>
        </w:tc>
      </w:tr>
      <w:tr>
        <w:trPr>
          <w:cantSplit/>
        </w:trPr>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4. Sales and delivery</w:t>
            </w:r>
          </w:p>
        </w:tc>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FBL-100 / 120 / 140 / 160</w:t>
            </w:r>
          </w:p>
        </w:tc>
        <w:tc>
          <w:tcPr>
            <w:tcW w:type="dxa" w:w="5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Staff appraises, desks, assembles the deal record, completes the sale, and delivers the vehicle.</w:t>
            </w:r>
          </w:p>
        </w:tc>
      </w:tr>
      <w:tr>
        <w:trPr>
          <w:cantSplit/>
        </w:trPr>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shd w:fill="EAF2F8"/>
          </w:tcPr>
          <w:p>
            <w:pPr>
              <w:spacing w:after="0"/>
              <w:jc w:val="left"/>
            </w:pPr>
            <w:r>
              <w:rPr>
                <w:b/>
              </w:rPr>
              <w:t>5. Management and pilot</w:t>
            </w:r>
          </w:p>
        </w:tc>
        <w:tc>
          <w:tcPr>
            <w:tcW w:type="dxa" w:w="210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FBL-170 / 180 / 190</w:t>
            </w:r>
          </w:p>
        </w:tc>
        <w:tc>
          <w:tcPr>
            <w:tcW w:type="dxa" w:w="5160"/>
            <w:tcMar>
              <w:top w:w="80" w:type="dxa"/>
              <w:bottom w:w="80" w:type="dxa"/>
              <w:start w:w="120" w:type="dxa"/>
              <w:end w:w="120" w:type="dxa"/>
            </w:tcMar>
            <w:vAlign w:val="center"/>
            <w:tcBorders>
              <w:top w:val="single" w:sz="6" w:color="AFC0D0"/>
              <w:left w:val="single" w:sz="6" w:color="AFC0D0"/>
              <w:bottom w:val="single" w:sz="6" w:color="AFC0D0"/>
              <w:right w:val="single" w:sz="6" w:color="AFC0D0"/>
              <w:insideH w:val="single" w:sz="6" w:color="AFC0D0"/>
              <w:insideV w:val="single" w:sz="6" w:color="AFC0D0"/>
            </w:tcBorders>
          </w:tcPr>
          <w:p>
            <w:pPr>
              <w:spacing w:after="0"/>
              <w:jc w:val="left"/>
            </w:pPr>
            <w:r>
              <w:rPr>
                <w:b w:val="0"/>
              </w:rPr>
              <w:t>Dashboards, imports, operational hardening, deployment, recovery, and one-account pilot acceptance work.</w:t>
            </w:r>
          </w:p>
        </w:tc>
      </w:tr>
    </w:tbl>
    <w:p>
      <w:pPr>
        <w:pageBreakBefore w:val="0"/>
      </w:pPr>
      <w:r>
        <w:t>Internal phase numbers may organize implementation, but they do not create additional acceptance loops. Advanced digital retail, deep certified F&amp;I/title integrations, native enterprise accounting, and repairs remain post-pilot unless the owner expressly activates them.</w:t>
      </w:r>
    </w:p>
    <w:p>
      <w:pPr>
        <w:pStyle w:val="Heading2"/>
        <w:pageBreakBefore w:val="0"/>
      </w:pPr>
      <w:r>
        <w:t>SO-001.12 Reporting and change control</w:t>
      </w:r>
    </w:p>
    <w:p>
      <w:pPr>
        <w:pageBreakBefore w:val="0"/>
      </w:pPr>
      <w:r>
        <w:t>Every status report answers only:</w:t>
      </w:r>
    </w:p>
    <w:p>
      <w:pPr>
        <w:pStyle w:val="ListBullet"/>
        <w:pageBreakBefore w:val="0"/>
      </w:pPr>
      <w:r>
        <w:t>What became usable?</w:t>
      </w:r>
    </w:p>
    <w:p>
      <w:pPr>
        <w:pStyle w:val="ListBullet"/>
        <w:pageBreakBefore w:val="0"/>
      </w:pPr>
      <w:r>
        <w:t>Which locked acceptance rows remain?</w:t>
      </w:r>
    </w:p>
    <w:p>
      <w:pPr>
        <w:pStyle w:val="ListBullet"/>
        <w:pageBreakBefore w:val="0"/>
      </w:pPr>
      <w:r>
        <w:t>Is there a genuine S0/S1 blocker or owner decision?</w:t>
      </w:r>
    </w:p>
    <w:p>
      <w:pPr>
        <w:pStyle w:val="ListBullet"/>
        <w:pageBreakBefore w:val="0"/>
      </w:pPr>
      <w:r>
        <w:t>What is the next working demonstration?</w:t>
      </w:r>
    </w:p>
    <w:p>
      <w:pPr>
        <w:pStyle w:val="ListBullet"/>
        <w:pageBreakBefore w:val="0"/>
      </w:pPr>
      <w:r>
        <w:t>How much remains before the one-account pilot?</w:t>
      </w:r>
    </w:p>
    <w:p>
      <w:pPr>
        <w:pageBreakBefore w:val="0"/>
      </w:pPr>
      <w:r>
        <w:t>The governing measure of progress is usable dealership capability moving toward the pilot - not phases, prose, audits, hashes, or test volume.</w:t>
      </w:r>
    </w:p>
    <w:p>
      <w:pPr>
        <w:pageBreakBefore w:val="0"/>
      </w:pPr>
      <w:r>
        <w:t>Only the product owner may amend SO-001. An amendment must state the new version, effective date, reason, exact changed clauses, and what it supersedes. An implementation or review chat cannot reinterpret, weaken, or expand this order on its own.</w:t>
      </w:r>
    </w:p>
    <w:p>
      <w:pPr>
        <w:pStyle w:val="Heading1"/>
        <w:pageBreakBefore/>
      </w:pPr>
      <w:r>
        <w:t>1. Executive Decision</w:t>
      </w:r>
    </w:p>
    <w:tbl>
      <w:tblPr>
        <w:tblW w:type="dxa" w:w="9360"/>
        <w:jc w:val="left"/>
        <w:tblLayout w:type="fixed"/>
        <w:tblLook w:firstColumn="1" w:firstRow="1" w:lastColumn="0" w:lastRow="0" w:noHBand="0" w:noVBand="1" w:val="04A0"/>
        <w:tblInd w:w="120" w:type="dxa"/>
        <w:tblBorders>
          <w:top w:val="single" w:sz="6" w:space="0" w:color="1F4D78"/>
          <w:left w:val="single" w:sz="6" w:space="0" w:color="1F4D78"/>
          <w:bottom w:val="single" w:sz="6" w:space="0" w:color="1F4D78"/>
          <w:right w:val="single" w:sz="6" w:space="0" w:color="1F4D78"/>
          <w:insideH w:val="single" w:sz="6" w:space="0" w:color="1F4D78"/>
          <w:insideV w:val="single" w:sz="6" w:space="0" w:color="1F4D78"/>
        </w:tblBorders>
      </w:tblPr>
      <w:tblGrid>
        <w:gridCol w:w="9360"/>
      </w:tblGrid>
      <w:tr>
        <w:trPr>
          <w:cantSplit/>
        </w:trPr>
        <w:tc>
          <w:tcPr>
            <w:tcW w:type="dxa" w:w="9360"/>
            <w:tcMar>
              <w:top w:w="80" w:type="dxa"/>
              <w:start w:w="120" w:type="dxa"/>
              <w:bottom w:w="80" w:type="dxa"/>
              <w:end w:w="120" w:type="dxa"/>
            </w:tcMar>
            <w:shd w:fill="E8EEF5"/>
            <w:vAlign w:val="center"/>
          </w:tcPr>
          <w:p>
            <w:pPr>
              <w:spacing w:after="60"/>
            </w:pPr>
            <w:r>
              <w:rPr>
                <w:rFonts w:ascii="Calibri" w:hAnsi="Calibri"/>
                <w:b/>
                <w:color w:val="1F4D78"/>
                <w:sz w:val="21"/>
              </w:rPr>
              <w:t>Verdict</w:t>
            </w:r>
          </w:p>
          <w:p>
            <w:pPr>
              <w:spacing w:after="0" w:line="264" w:lineRule="auto"/>
            </w:pPr>
            <w:r>
              <w:rPr>
                <w:rFonts w:ascii="Calibri" w:hAnsi="Calibri"/>
                <w:color w:val="1F2328"/>
                <w:sz w:val="21"/>
              </w:rPr>
              <w:t>The repository is a credible fixed-operations engineering spike with several production-minded controls. It is not a complete dealership SaaS, not a DMS replacement, and not ready for multi-tenant production. The approved strategy is to retain that code as a bounded legacy module while building a management-first platform centered on vehicle inventory, CRM/BDC, marketing, sales, deal operations, F&amp;I coordination, delivery, and executive administration.</w:t>
            </w:r>
          </w:p>
        </w:tc>
      </w:tr>
    </w:tbl>
    <w:p>
      <w:pPr>
        <w:spacing w:after="0"/>
      </w:pPr>
    </w:p>
    <w:p>
      <w:pPr>
        <w:pStyle w:val="Heading2"/>
      </w:pPr>
      <w:r>
        <w:t>1.1 What exists today</w:t>
      </w:r>
    </w:p>
    <w:p>
      <w:pPr>
        <w:spacing w:before="0" w:after="120" w:line="264" w:lineRule="auto"/>
      </w:pPr>
      <w:r>
        <w:rPr>
          <w:rFonts w:ascii="Calibri" w:hAnsi="Calibri"/>
          <w:b w:val="0"/>
          <w:i w:val="0"/>
          <w:color w:val="1F2328"/>
        </w:rPr>
        <w:t>The codebase contains one Express/PostgreSQL service-cockpit module. It covers appointments, repair orders, multipoint inspections, estimates and authorizations, technician dispatch and time, parts-line status, sublet, warranty, comebacks, queues, portal-task records, first-service retention, metrics, and audit events. The repair-order lifecycle is the most developed business model.</w:t>
      </w:r>
    </w:p>
    <w:p>
      <w:pPr>
        <w:spacing w:before="0" w:after="120" w:line="264" w:lineRule="auto"/>
      </w:pPr>
      <w:r>
        <w:rPr>
          <w:rFonts w:ascii="Calibri" w:hAnsi="Calibri"/>
          <w:b w:val="0"/>
          <w:i w:val="0"/>
          <w:color w:val="1F2328"/>
        </w:rPr>
        <w:t>The repository documents a broader generated system, but that larger platform is absent. The checked-in code must therefore be judged on its own. Claims about hundreds of endpoints or dozens of modules are historical context, not delivered capability.</w:t>
      </w:r>
    </w:p>
    <w:p>
      <w:pPr>
        <w:pStyle w:val="Heading2"/>
      </w:pPr>
      <w:r>
        <w:t>1.2 The architectural choice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00"/>
        <w:gridCol w:w="2360"/>
        <w:gridCol w:w="5300"/>
      </w:tblGrid>
      <w:tr>
        <w:trPr>
          <w:cantSplit/>
          <w:tblHeader w:val="true"/>
        </w:trPr>
        <w:tc>
          <w:tcPr>
            <w:tcW w:type="dxa" w:w="1700"/>
            <w:tcMar>
              <w:top w:w="80" w:type="dxa"/>
              <w:start w:w="120" w:type="dxa"/>
              <w:bottom w:w="80" w:type="dxa"/>
              <w:end w:w="120" w:type="dxa"/>
            </w:tcMar>
            <w:shd w:fill="F2F4F7"/>
            <w:vAlign w:val="center"/>
          </w:tcPr>
          <w:p>
            <w:pPr>
              <w:keepNext/>
              <w:spacing w:after="0"/>
            </w:pPr>
            <w:r>
              <w:rPr>
                <w:rFonts w:ascii="Calibri" w:hAnsi="Calibri"/>
                <w:b/>
                <w:color w:val="0B2545"/>
                <w:sz w:val="17"/>
              </w:rPr>
              <w:t>Decision</w:t>
            </w:r>
          </w:p>
        </w:tc>
        <w:tc>
          <w:tcPr>
            <w:tcW w:type="dxa" w:w="2360"/>
            <w:tcMar>
              <w:top w:w="80" w:type="dxa"/>
              <w:start w:w="120" w:type="dxa"/>
              <w:bottom w:w="80" w:type="dxa"/>
              <w:end w:w="120" w:type="dxa"/>
            </w:tcMar>
            <w:shd w:fill="F2F4F7"/>
            <w:vAlign w:val="center"/>
          </w:tcPr>
          <w:p>
            <w:pPr>
              <w:keepNext/>
              <w:spacing w:after="0"/>
            </w:pPr>
            <w:r>
              <w:rPr>
                <w:rFonts w:ascii="Calibri" w:hAnsi="Calibri"/>
                <w:b/>
                <w:color w:val="0B2545"/>
                <w:sz w:val="17"/>
              </w:rPr>
              <w:t>Choice</w:t>
            </w:r>
          </w:p>
        </w:tc>
        <w:tc>
          <w:tcPr>
            <w:tcW w:type="dxa" w:w="5300"/>
            <w:tcMar>
              <w:top w:w="80" w:type="dxa"/>
              <w:start w:w="120" w:type="dxa"/>
              <w:bottom w:w="80" w:type="dxa"/>
              <w:end w:w="120" w:type="dxa"/>
            </w:tcMar>
            <w:shd w:fill="F2F4F7"/>
            <w:vAlign w:val="center"/>
          </w:tcPr>
          <w:p>
            <w:pPr>
              <w:keepNext/>
              <w:spacing w:after="0"/>
            </w:pPr>
            <w:r>
              <w:rPr>
                <w:rFonts w:ascii="Calibri" w:hAnsi="Calibri"/>
                <w:b/>
                <w:color w:val="0B2545"/>
                <w:sz w:val="17"/>
              </w:rPr>
              <w:t>Reason</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Disposition</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Evolutionary replacement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Preserve proven rules/tests; rebuild the platform around explicit modules and contracts.</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Initial deployment</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Modular monolith plus workers</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Fastest path to coherent transactions and operability; extract services only when load, ownership, or isolation proves the need.</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Commercial wedge</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Dealership Management &amp; Sales Cloud</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The first paid journey runs vehicle acquisition through merchandising, lead conversion, approved deal, delivery, and management reporting.</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System of record</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PostgreSQL with strict tenant boundaries</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RLS, composite tenant keys, typed ledgers, immutable evidence, and point-in-time recovery.</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Managed OIDC/SAML/SCIM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No homegrown enterprise identity or locally minted step-up trust.</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Regulated rails</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Integrate first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Credit, lender networks, eContracting, DMV, OEM, payments, tax, valuation, and messaging need certified partners.</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Differentiation</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Unified operational graph and workflows</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One customer, vehicle, deal, repair, inventory, and financial truth across rooftops.</w:t>
            </w:r>
          </w:p>
        </w:tc>
      </w:tr>
    </w:tbl>
    <w:p>
      <w:pPr>
        <w:spacing w:after="0"/>
      </w:pPr>
    </w:p>
    <w:p>
      <w:r>
        <w:br w:type="page"/>
      </w:r>
    </w:p>
    <w:p>
      <w:pPr>
        <w:pStyle w:val="Heading2"/>
      </w:pPr>
      <w:r>
        <w:t>1.3 Reality check</w:t>
      </w:r>
    </w:p>
    <w:p>
      <w:pPr>
        <w:spacing w:before="0" w:after="120" w:line="264" w:lineRule="auto"/>
      </w:pPr>
      <w:r>
        <w:rPr>
          <w:rFonts w:ascii="Calibri" w:hAnsi="Calibri"/>
          <w:b w:val="0"/>
          <w:i w:val="0"/>
          <w:color w:val="1F2328"/>
        </w:rPr>
        <w:t>“Best of the best” is not a feature list. It requires trustworthy migrations, dealership conversions, OEM and lender certifications, 24/7 support, security operations, billing, training, documentation, and years of domain feedback. A single implementation engineer can build an excellent wedge; a market-complete DMS requires a multidisciplinary product organization.</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550"/>
        <w:gridCol w:w="4420"/>
        <w:gridCol w:w="2390"/>
      </w:tblGrid>
      <w:tr>
        <w:trPr>
          <w:cantSplit/>
          <w:tblHeader w:val="true"/>
        </w:trPr>
        <w:tc>
          <w:tcPr>
            <w:tcW w:type="dxa" w:w="2550"/>
            <w:tcMar>
              <w:top w:w="80" w:type="dxa"/>
              <w:start w:w="120" w:type="dxa"/>
              <w:bottom w:w="80" w:type="dxa"/>
              <w:end w:w="120" w:type="dxa"/>
            </w:tcMar>
            <w:shd w:fill="F2F4F7"/>
            <w:vAlign w:val="center"/>
          </w:tcPr>
          <w:p>
            <w:pPr>
              <w:keepNext/>
              <w:spacing w:after="0"/>
            </w:pPr>
            <w:r>
              <w:rPr>
                <w:rFonts w:ascii="Calibri" w:hAnsi="Calibri"/>
                <w:b/>
                <w:color w:val="0B2545"/>
                <w:sz w:val="17"/>
              </w:rPr>
              <w:t>Delivery shape</w:t>
            </w:r>
          </w:p>
        </w:tc>
        <w:tc>
          <w:tcPr>
            <w:tcW w:type="dxa" w:w="4420"/>
            <w:tcMar>
              <w:top w:w="80" w:type="dxa"/>
              <w:start w:w="120" w:type="dxa"/>
              <w:bottom w:w="80" w:type="dxa"/>
              <w:end w:w="120" w:type="dxa"/>
            </w:tcMar>
            <w:shd w:fill="F2F4F7"/>
            <w:vAlign w:val="center"/>
          </w:tcPr>
          <w:p>
            <w:pPr>
              <w:keepNext/>
              <w:spacing w:after="0"/>
            </w:pPr>
            <w:r>
              <w:rPr>
                <w:rFonts w:ascii="Calibri" w:hAnsi="Calibri"/>
                <w:b/>
                <w:color w:val="0B2545"/>
                <w:sz w:val="17"/>
              </w:rPr>
              <w:t>Credible outcome</w:t>
            </w:r>
          </w:p>
        </w:tc>
        <w:tc>
          <w:tcPr>
            <w:tcW w:type="dxa" w:w="2390"/>
            <w:tcMar>
              <w:top w:w="80" w:type="dxa"/>
              <w:start w:w="120" w:type="dxa"/>
              <w:bottom w:w="80" w:type="dxa"/>
              <w:end w:w="120" w:type="dxa"/>
            </w:tcMar>
            <w:shd w:fill="F2F4F7"/>
            <w:vAlign w:val="center"/>
          </w:tcPr>
          <w:p>
            <w:pPr>
              <w:keepNext/>
              <w:spacing w:after="0"/>
            </w:pPr>
            <w:r>
              <w:rPr>
                <w:rFonts w:ascii="Calibri" w:hAnsi="Calibri"/>
                <w:b/>
                <w:color w:val="0B2545"/>
                <w:sz w:val="17"/>
              </w:rPr>
              <w:t>Planning range</w:t>
            </w:r>
          </w:p>
        </w:tc>
      </w:tr>
      <w:tr>
        <w:trPr>
          <w:trHeight w:hRule="atLeast"/>
          <w:cantSplit/>
          <w:cantSplit/>
          <w:cantSplit/>
        </w:trPr>
        <w:tc>
          <w:tcPr>
            <w:tcW w:type="dxa" w:w="2550"/>
            <w:vAlign w:val="top"/>
            <w:tcMar>
              <w:top w:w="80" w:type="dxa"/>
              <w:start w:w="120" w:type="dxa"/>
              <w:bottom w:w="80" w:type="dxa"/>
              <w:end w:w="120" w:type="dxa"/>
            </w:tcMar>
          </w:tcPr>
          <w:p>
            <w:pPr>
              <w:spacing w:before="0" w:after="40" w:line="240" w:lineRule="auto"/>
            </w:pPr>
            <w:r>
              <w:rPr>
                <w:rFonts w:ascii="Calibri" w:hAnsi="Calibri"/>
                <w:b w:val="0"/>
                <w:color w:val="1F2328"/>
                <w:sz w:val="17"/>
              </w:rPr>
              <w:t>One implementation engineer + architect/product owner</w:t>
            </w:r>
          </w:p>
        </w:tc>
        <w:tc>
          <w:tcPr>
            <w:tcW w:type="dxa" w:w="4420"/>
            <w:vAlign w:val="top"/>
            <w:tcMar>
              <w:top w:w="80" w:type="dxa"/>
              <w:start w:w="120" w:type="dxa"/>
              <w:bottom w:w="80" w:type="dxa"/>
              <w:end w:w="120" w:type="dxa"/>
            </w:tcMar>
          </w:tcPr>
          <w:p>
            <w:pPr>
              <w:spacing w:before="0" w:after="40" w:line="240" w:lineRule="auto"/>
            </w:pPr>
            <w:r>
              <w:rPr>
                <w:rFonts w:ascii="Calibri" w:hAnsi="Calibri"/>
                <w:b w:val="0"/>
                <w:color w:val="1F2328"/>
                <w:sz w:val="17"/>
              </w:rPr>
              <w:t>Serial management-and-sales pilot with tightly controlled providers</w:t>
            </w:r>
          </w:p>
        </w:tc>
        <w:tc>
          <w:tcPr>
            <w:tcW w:type="dxa" w:w="2390"/>
            <w:vAlign w:val="top"/>
            <w:tcMar>
              <w:top w:w="80" w:type="dxa"/>
              <w:start w:w="120" w:type="dxa"/>
              <w:bottom w:w="80" w:type="dxa"/>
              <w:end w:w="120" w:type="dxa"/>
            </w:tcMar>
          </w:tcPr>
          <w:p>
            <w:pPr>
              <w:spacing w:before="0" w:after="40" w:line="240" w:lineRule="auto"/>
            </w:pPr>
            <w:r>
              <w:rPr>
                <w:rFonts w:ascii="Calibri" w:hAnsi="Calibri"/>
                <w:b w:val="0"/>
                <w:color w:val="1F2328"/>
                <w:sz w:val="17"/>
              </w:rPr>
              <w:t>Multi-year unless scope or staffing changes; every phase remains independently gated</w:t>
            </w:r>
          </w:p>
        </w:tc>
      </w:tr>
      <w:tr>
        <w:trPr>
          <w:trHeight w:hRule="atLeast"/>
          <w:cantSplit/>
          <w:cantSplit/>
          <w:cantSplit/>
        </w:trPr>
        <w:tc>
          <w:tcPr>
            <w:tcW w:type="dxa" w:w="2550"/>
            <w:vAlign w:val="top"/>
            <w:tcMar>
              <w:top w:w="80" w:type="dxa"/>
              <w:start w:w="120" w:type="dxa"/>
              <w:bottom w:w="80" w:type="dxa"/>
              <w:end w:w="120" w:type="dxa"/>
            </w:tcMar>
          </w:tcPr>
          <w:p>
            <w:pPr>
              <w:spacing w:before="0" w:after="40" w:line="240" w:lineRule="auto"/>
            </w:pPr>
            <w:r>
              <w:rPr>
                <w:rFonts w:ascii="Calibri" w:hAnsi="Calibri"/>
                <w:b w:val="0"/>
                <w:color w:val="1F2328"/>
                <w:sz w:val="17"/>
              </w:rPr>
              <w:t>6–10 person cross-functional product team</w:t>
            </w:r>
          </w:p>
        </w:tc>
        <w:tc>
          <w:tcPr>
            <w:tcW w:type="dxa" w:w="4420"/>
            <w:vAlign w:val="top"/>
            <w:tcMar>
              <w:top w:w="80" w:type="dxa"/>
              <w:start w:w="120" w:type="dxa"/>
              <w:bottom w:w="80" w:type="dxa"/>
              <w:end w:w="120" w:type="dxa"/>
            </w:tcMar>
          </w:tcPr>
          <w:p>
            <w:pPr>
              <w:spacing w:before="0" w:after="40" w:line="240" w:lineRule="auto"/>
            </w:pPr>
            <w:r>
              <w:rPr>
                <w:rFonts w:ascii="Calibri" w:hAnsi="Calibri"/>
                <w:b w:val="0"/>
                <w:color w:val="1F2328"/>
                <w:sz w:val="17"/>
              </w:rPr>
              <w:t>Multi-rooftop dealership management core spanning inventory, CRM, marketing, sales, deals, F&amp;I coordination, and delivery</w:t>
            </w:r>
          </w:p>
        </w:tc>
        <w:tc>
          <w:tcPr>
            <w:tcW w:type="dxa" w:w="2390"/>
            <w:vAlign w:val="top"/>
            <w:tcMar>
              <w:top w:w="80" w:type="dxa"/>
              <w:start w:w="120" w:type="dxa"/>
              <w:bottom w:w="80" w:type="dxa"/>
              <w:end w:w="120" w:type="dxa"/>
            </w:tcMar>
          </w:tcPr>
          <w:p>
            <w:pPr>
              <w:spacing w:before="0" w:after="40" w:line="240" w:lineRule="auto"/>
            </w:pPr>
            <w:r>
              <w:rPr>
                <w:rFonts w:ascii="Calibri" w:hAnsi="Calibri"/>
                <w:b w:val="0"/>
                <w:color w:val="1F2328"/>
                <w:sz w:val="17"/>
              </w:rPr>
              <w:t>Approximately 18–30 months, subject to provider certification</w:t>
            </w:r>
          </w:p>
        </w:tc>
      </w:tr>
      <w:tr>
        <w:trPr>
          <w:trHeight w:hRule="atLeast"/>
          <w:cantSplit/>
          <w:cantSplit/>
          <w:cantSplit/>
        </w:trPr>
        <w:tc>
          <w:tcPr>
            <w:tcW w:type="dxa" w:w="2550"/>
            <w:vAlign w:val="top"/>
            <w:tcMar>
              <w:top w:w="80" w:type="dxa"/>
              <w:start w:w="120" w:type="dxa"/>
              <w:bottom w:w="80" w:type="dxa"/>
              <w:end w:w="120" w:type="dxa"/>
            </w:tcMar>
          </w:tcPr>
          <w:p>
            <w:pPr>
              <w:spacing w:before="0" w:after="40" w:line="240" w:lineRule="auto"/>
            </w:pPr>
            <w:r>
              <w:rPr>
                <w:rFonts w:ascii="Calibri" w:hAnsi="Calibri"/>
                <w:b w:val="0"/>
                <w:color w:val="1F2328"/>
                <w:sz w:val="17"/>
              </w:rPr>
              <w:t>Enterprise DMS parity program</w:t>
            </w:r>
          </w:p>
        </w:tc>
        <w:tc>
          <w:tcPr>
            <w:tcW w:type="dxa" w:w="4420"/>
            <w:vAlign w:val="top"/>
            <w:tcMar>
              <w:top w:w="80" w:type="dxa"/>
              <w:start w:w="120" w:type="dxa"/>
              <w:bottom w:w="80" w:type="dxa"/>
              <w:end w:w="120" w:type="dxa"/>
            </w:tcMar>
          </w:tcPr>
          <w:p>
            <w:pPr>
              <w:spacing w:before="0" w:after="40" w:line="240" w:lineRule="auto"/>
            </w:pPr>
            <w:r>
              <w:rPr>
                <w:rFonts w:ascii="Calibri" w:hAnsi="Calibri"/>
                <w:b w:val="0"/>
                <w:color w:val="1F2328"/>
                <w:sz w:val="17"/>
              </w:rPr>
              <w:t>Native accounting, F&amp;I, OEM/lender/title ecosystems, migration factory, mature operations</w:t>
            </w:r>
          </w:p>
        </w:tc>
        <w:tc>
          <w:tcPr>
            <w:tcW w:type="dxa" w:w="2390"/>
            <w:vAlign w:val="top"/>
            <w:tcMar>
              <w:top w:w="80" w:type="dxa"/>
              <w:start w:w="120" w:type="dxa"/>
              <w:bottom w:w="80" w:type="dxa"/>
              <w:end w:w="120" w:type="dxa"/>
            </w:tcMar>
          </w:tcPr>
          <w:p>
            <w:pPr>
              <w:spacing w:before="0" w:after="40" w:line="240" w:lineRule="auto"/>
            </w:pPr>
            <w:r>
              <w:rPr>
                <w:rFonts w:ascii="Calibri" w:hAnsi="Calibri"/>
                <w:b w:val="0"/>
                <w:color w:val="1F2328"/>
                <w:sz w:val="17"/>
              </w:rPr>
              <w:t>Multi-year; certifications and partner dependencies dominate</w:t>
            </w:r>
          </w:p>
        </w:tc>
      </w:tr>
    </w:tbl>
    <w:p>
      <w:pPr>
        <w:spacing w:after="0"/>
      </w:pPr>
    </w:p>
    <w:p>
      <w:r>
        <w:br w:type="page"/>
      </w:r>
    </w:p>
    <w:p>
      <w:pPr>
        <w:pStyle w:val="Heading1"/>
      </w:pPr>
      <w:r>
        <w:t>2. Assessment Scope and Evidence</w:t>
      </w:r>
    </w:p>
    <w:p>
      <w:pPr>
        <w:pStyle w:val="Heading2"/>
      </w:pPr>
      <w:r>
        <w:t>2.1 Method</w:t>
      </w:r>
    </w:p>
    <w:p>
      <w:pPr>
        <w:pStyle w:val="ListBullet"/>
        <w:keepLines/>
      </w:pPr>
      <w:r>
        <w:t>Safely inspected the archive structure and extracted source without following links or executing repository scripts.</w:t>
      </w:r>
    </w:p>
    <w:p>
      <w:pPr>
        <w:pStyle w:val="ListBullet"/>
        <w:keepLines/>
      </w:pPr>
      <w:r>
        <w:t>Read application entry points, routes, service-layer logic, domain transitions, metrics, migration runner, all SQL migrations, tests, Docker files, and architecture notes.</w:t>
      </w:r>
    </w:p>
    <w:p>
      <w:pPr>
        <w:pStyle w:val="ListBullet"/>
        <w:keepLines/>
      </w:pPr>
      <w:r>
        <w:t>Counted HTTP surface and reconstructed data and transaction flows.</w:t>
      </w:r>
    </w:p>
    <w:p>
      <w:pPr>
        <w:pStyle w:val="ListBullet"/>
        <w:keepLines/>
      </w:pPr>
      <w:r>
        <w:t>Installed locked dependencies with an isolated cache; ran TypeScript typecheck and production build.</w:t>
      </w:r>
    </w:p>
    <w:p>
      <w:pPr>
        <w:pStyle w:val="ListBullet"/>
        <w:keepLines/>
      </w:pPr>
      <w:r>
        <w:t>Ran the portable non-database test suite; reviewed database-backed suites statically because PostgreSQL was unavailable in the workspace.</w:t>
      </w:r>
    </w:p>
    <w:p>
      <w:pPr>
        <w:pStyle w:val="ListBullet"/>
        <w:keepLines/>
      </w:pPr>
      <w:r>
        <w:t>Benchmarked current official product surfaces from Tekion, CDK, Dealertrack, Reynolds, Auto/Mate, VinSolutions, RouteOne, and Fortellis.</w:t>
      </w:r>
    </w:p>
    <w:p>
      <w:pPr>
        <w:pStyle w:val="ListBullet"/>
        <w:keepLines/>
      </w:pPr>
      <w:r>
        <w:t>Mapped engineering controls to primary FTC, CFPB, PCI SSC, IRS, and OFAC sources.</w:t>
      </w:r>
    </w:p>
    <w:p>
      <w:pPr>
        <w:pStyle w:val="Heading2"/>
      </w:pPr>
      <w:r>
        <w:t>2.2 Verification results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140"/>
        <w:gridCol w:w="1740"/>
        <w:gridCol w:w="5480"/>
      </w:tblGrid>
      <w:tr>
        <w:trPr>
          <w:cantSplit/>
          <w:tblHeader w:val="true"/>
        </w:trPr>
        <w:tc>
          <w:tcPr>
            <w:tcW w:type="dxa" w:w="2140"/>
            <w:tcMar>
              <w:top w:w="80" w:type="dxa"/>
              <w:start w:w="120" w:type="dxa"/>
              <w:bottom w:w="80" w:type="dxa"/>
              <w:end w:w="120" w:type="dxa"/>
            </w:tcMar>
            <w:shd w:fill="F2F4F7"/>
            <w:vAlign w:val="center"/>
          </w:tcPr>
          <w:p>
            <w:pPr>
              <w:keepNext/>
              <w:spacing w:after="0"/>
            </w:pPr>
            <w:r>
              <w:rPr>
                <w:rFonts w:ascii="Calibri" w:hAnsi="Calibri"/>
                <w:b/>
                <w:color w:val="0B2545"/>
                <w:sz w:val="17"/>
              </w:rPr>
              <w:t>Check</w:t>
            </w:r>
          </w:p>
        </w:tc>
        <w:tc>
          <w:tcPr>
            <w:tcW w:type="dxa" w:w="1740"/>
            <w:tcMar>
              <w:top w:w="80" w:type="dxa"/>
              <w:start w:w="120" w:type="dxa"/>
              <w:bottom w:w="80" w:type="dxa"/>
              <w:end w:w="120" w:type="dxa"/>
            </w:tcMar>
            <w:shd w:fill="F2F4F7"/>
            <w:vAlign w:val="center"/>
          </w:tcPr>
          <w:p>
            <w:pPr>
              <w:keepNext/>
              <w:spacing w:after="0"/>
            </w:pPr>
            <w:r>
              <w:rPr>
                <w:rFonts w:ascii="Calibri" w:hAnsi="Calibri"/>
                <w:b/>
                <w:color w:val="0B2545"/>
                <w:sz w:val="17"/>
              </w:rPr>
              <w:t>Result</w:t>
            </w:r>
          </w:p>
        </w:tc>
        <w:tc>
          <w:tcPr>
            <w:tcW w:type="dxa" w:w="5480"/>
            <w:tcMar>
              <w:top w:w="80" w:type="dxa"/>
              <w:start w:w="120" w:type="dxa"/>
              <w:bottom w:w="80" w:type="dxa"/>
              <w:end w:w="120" w:type="dxa"/>
            </w:tcMar>
            <w:shd w:fill="F2F4F7"/>
            <w:vAlign w:val="center"/>
          </w:tcPr>
          <w:p>
            <w:pPr>
              <w:keepNext/>
              <w:spacing w:after="0"/>
            </w:pPr>
            <w:r>
              <w:rPr>
                <w:rFonts w:ascii="Calibri" w:hAnsi="Calibri"/>
                <w:b/>
                <w:color w:val="0B2545"/>
                <w:sz w:val="17"/>
              </w:rPr>
              <w:t>Interpretation</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TypeScript typecheck</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1F5D42"/>
                <w:sz w:val="17"/>
              </w:rPr>
              <w:t>PASS</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Compiler accepted the current configuration.</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Production build</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1F5D42"/>
                <w:sz w:val="17"/>
              </w:rPr>
              <w:t>PASS</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The service transpiles successfully.</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Dependency audit</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1F5D42"/>
                <w:sz w:val="17"/>
              </w:rPr>
              <w:t>0 known findings</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At assessment time; this is not a supply-chain security certification.</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Portable unit/doc tests</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1F5D42"/>
                <w:sz w:val="17"/>
              </w:rPr>
              <w:t>43 passed, 0 failed</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Executed with Node test runner and tsx import.</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Default npm test</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7A5A00"/>
                <w:sz w:val="17"/>
              </w:rPr>
              <w:t>Environment-blocked</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tsx IPC socket creation was denied; alternate invocation passed.</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DB integration and route suites</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9B1C1C"/>
                <w:sz w:val="17"/>
              </w:rPr>
              <w:t>Not executed</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No PostgreSQL runtime/TEST_DATABASE_URL was available; cannot be treated as green.</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UI/E2E/accessibility/load/DR tests</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9B1C1C"/>
                <w:sz w:val="17"/>
              </w:rPr>
              <w:t>Absent</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No client application or production-operability suite exists.</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7A5A00"/>
          <w:left w:val="single" w:sz="6" w:space="0" w:color="7A5A00"/>
          <w:bottom w:val="single" w:sz="6" w:space="0" w:color="7A5A00"/>
          <w:right w:val="single" w:sz="6" w:space="0" w:color="7A5A00"/>
          <w:insideH w:val="single" w:sz="6" w:space="0" w:color="7A5A00"/>
          <w:insideV w:val="single" w:sz="6" w:space="0" w:color="7A5A00"/>
        </w:tblBorders>
      </w:tblPr>
      <w:tblGrid>
        <w:gridCol w:w="9360"/>
      </w:tblGrid>
      <w:tr>
        <w:trPr>
          <w:cantSplit/>
        </w:trPr>
        <w:tc>
          <w:tcPr>
            <w:tcW w:type="dxa" w:w="9360"/>
            <w:tcMar>
              <w:top w:w="80" w:type="dxa"/>
              <w:start w:w="120" w:type="dxa"/>
              <w:bottom w:w="80" w:type="dxa"/>
              <w:end w:w="120" w:type="dxa"/>
            </w:tcMar>
            <w:shd w:fill="FFF4CE"/>
            <w:vAlign w:val="center"/>
          </w:tcPr>
          <w:p>
            <w:pPr>
              <w:spacing w:after="60"/>
            </w:pPr>
            <w:r>
              <w:rPr>
                <w:rFonts w:ascii="Calibri" w:hAnsi="Calibri"/>
                <w:b/>
                <w:color w:val="7A5A00"/>
                <w:sz w:val="21"/>
              </w:rPr>
              <w:t>Evidence limit</w:t>
            </w:r>
          </w:p>
          <w:p>
            <w:pPr>
              <w:spacing w:after="0" w:line="264" w:lineRule="auto"/>
            </w:pPr>
            <w:r>
              <w:rPr>
                <w:rFonts w:ascii="Calibri" w:hAnsi="Calibri"/>
                <w:color w:val="1F2328"/>
                <w:sz w:val="21"/>
              </w:rPr>
              <w:t>A successful build and 43 portable tests establish basic integrity only. They do not validate migrations, SQL behavior, concurrency under PostgreSQL, tenant escape resistance, customer journeys, availability, or production security.</w:t>
            </w:r>
          </w:p>
        </w:tc>
      </w:tr>
    </w:tbl>
    <w:p>
      <w:pPr>
        <w:spacing w:after="0"/>
      </w:pPr>
    </w:p>
    <w:p>
      <w:r>
        <w:br w:type="page"/>
      </w:r>
    </w:p>
    <w:p>
      <w:pPr>
        <w:pStyle w:val="Heading1"/>
      </w:pPr>
      <w:r>
        <w:t>3. Current-State Repository</w:t>
      </w:r>
    </w:p>
    <w:p>
      <w:pPr>
        <w:pStyle w:val="Heading2"/>
      </w:pPr>
      <w:r>
        <w:t>3.1 Structural inventory</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200"/>
        <w:gridCol w:w="7160"/>
      </w:tblGrid>
      <w:tr>
        <w:trPr>
          <w:cantSplit/>
          <w:tblHeader w:val="true"/>
        </w:trPr>
        <w:tc>
          <w:tcPr>
            <w:tcW w:type="dxa" w:w="2200"/>
            <w:tcMar>
              <w:top w:w="80" w:type="dxa"/>
              <w:start w:w="120" w:type="dxa"/>
              <w:bottom w:w="80" w:type="dxa"/>
              <w:end w:w="120" w:type="dxa"/>
            </w:tcMar>
            <w:shd w:fill="F2F4F7"/>
            <w:vAlign w:val="center"/>
          </w:tcPr>
          <w:p>
            <w:pPr>
              <w:keepNext/>
              <w:spacing w:after="0"/>
            </w:pPr>
            <w:r>
              <w:rPr>
                <w:rFonts w:ascii="Calibri" w:hAnsi="Calibri"/>
                <w:b/>
                <w:color w:val="0B2545"/>
                <w:sz w:val="17"/>
              </w:rPr>
              <w:t>Area</w:t>
            </w:r>
          </w:p>
        </w:tc>
        <w:tc>
          <w:tcPr>
            <w:tcW w:type="dxa" w:w="7160"/>
            <w:tcMar>
              <w:top w:w="80" w:type="dxa"/>
              <w:start w:w="120" w:type="dxa"/>
              <w:bottom w:w="80" w:type="dxa"/>
              <w:end w:w="120" w:type="dxa"/>
            </w:tcMar>
            <w:shd w:fill="F2F4F7"/>
            <w:vAlign w:val="center"/>
          </w:tcPr>
          <w:p>
            <w:pPr>
              <w:keepNext/>
              <w:spacing w:after="0"/>
            </w:pPr>
            <w:r>
              <w:rPr>
                <w:rFonts w:ascii="Calibri" w:hAnsi="Calibri"/>
                <w:b/>
                <w:color w:val="0B2545"/>
                <w:sz w:val="17"/>
              </w:rPr>
              <w:t>Observed implementation</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Runtime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Node.js 20, TypeScript, Express, PostgreSQL, prom-client</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Deployment</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One API container plus PostgreSQL in Docker Compose</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HTTP surface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44 route handlers under one service-cockpit mount</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Persistence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Seven SQL migration files; approximately 24 domain tables plus migration/audit infrastructure</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Core implementation</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A 3,279-line service-layer file coordinates most use cases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Domain model</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Repair-order state machine with 14 states; pure transition logic</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Security model</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Custom HS256 bearer JWT; tenant_id and roles carried in claims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Observability</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Structured logger, Prometheus metrics, health/readiness endpoints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User interface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None in the repository</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Delivery automation</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No checked-in CI workflow, IaC, production orchestration, or release controls</w:t>
            </w:r>
          </w:p>
        </w:tc>
      </w:tr>
    </w:tbl>
    <w:p>
      <w:pPr>
        <w:spacing w:after="0"/>
      </w:pPr>
    </w:p>
    <w:p>
      <w:pPr>
        <w:pStyle w:val="Heading2"/>
      </w:pPr>
      <w:r>
        <w:t>3.2 Implemented capability map</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560"/>
        <w:gridCol w:w="1500"/>
        <w:gridCol w:w="5300"/>
      </w:tblGrid>
      <w:tr>
        <w:trPr>
          <w:cantSplit/>
          <w:tblHeader w:val="true"/>
        </w:trPr>
        <w:tc>
          <w:tcPr>
            <w:tcW w:type="dxa" w:w="2560"/>
            <w:tcMar>
              <w:top w:w="80" w:type="dxa"/>
              <w:start w:w="120" w:type="dxa"/>
              <w:bottom w:w="80" w:type="dxa"/>
              <w:end w:w="120" w:type="dxa"/>
            </w:tcMar>
            <w:shd w:fill="F2F4F7"/>
            <w:vAlign w:val="center"/>
          </w:tcPr>
          <w:p>
            <w:pPr>
              <w:keepNext/>
              <w:spacing w:after="0"/>
            </w:pPr>
            <w:r>
              <w:rPr>
                <w:rFonts w:ascii="Calibri" w:hAnsi="Calibri"/>
                <w:b/>
                <w:color w:val="0B2545"/>
                <w:sz w:val="16"/>
              </w:rPr>
              <w:t>Capability</w:t>
            </w:r>
          </w:p>
        </w:tc>
        <w:tc>
          <w:tcPr>
            <w:tcW w:type="dxa" w:w="1500"/>
            <w:tcMar>
              <w:top w:w="80" w:type="dxa"/>
              <w:start w:w="120" w:type="dxa"/>
              <w:bottom w:w="80" w:type="dxa"/>
              <w:end w:w="120" w:type="dxa"/>
            </w:tcMar>
            <w:shd w:fill="F2F4F7"/>
            <w:vAlign w:val="center"/>
          </w:tcPr>
          <w:p>
            <w:pPr>
              <w:keepNext/>
              <w:spacing w:after="0"/>
            </w:pPr>
            <w:r>
              <w:rPr>
                <w:rFonts w:ascii="Calibri" w:hAnsi="Calibri"/>
                <w:b/>
                <w:color w:val="0B2545"/>
                <w:sz w:val="16"/>
              </w:rPr>
              <w:t>Depth</w:t>
            </w:r>
          </w:p>
        </w:tc>
        <w:tc>
          <w:tcPr>
            <w:tcW w:type="dxa" w:w="5300"/>
            <w:tcMar>
              <w:top w:w="80" w:type="dxa"/>
              <w:start w:w="120" w:type="dxa"/>
              <w:bottom w:w="80" w:type="dxa"/>
              <w:end w:w="120" w:type="dxa"/>
            </w:tcMar>
            <w:shd w:fill="F2F4F7"/>
            <w:vAlign w:val="center"/>
          </w:tcPr>
          <w:p>
            <w:pPr>
              <w:keepNext/>
              <w:spacing w:after="0"/>
            </w:pPr>
            <w:r>
              <w:rPr>
                <w:rFonts w:ascii="Calibri" w:hAnsi="Calibri"/>
                <w:b/>
                <w:color w:val="0B2545"/>
                <w:sz w:val="16"/>
              </w:rPr>
              <w:t>Notes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Appointments, intake, waitlist</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CRUD and waitlist lifecycle; no capacity or conflict engine.</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Repair orders</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High for slice</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Central lifecycle, locks, transitions, related records.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MPI / recommendations</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Session/results/recommendations; template completeness and rules are weak.</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Estimate / authorization</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Medium–high</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Current-estimate gate, step-up token concept, price snapshot/freeze.</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Dispatch / technician time</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Tickets, clocking, proficiency; identity and state synchronization gaps.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Parts / sublet / warranty</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Low–medium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Workflow statuses, not enterprise inventory/procurement/claims.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Queues / SLA / comeback</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Operational queue synchronization and metrics.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 portal</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Record-only</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Staff creates tasks; no customer identity or completion journey.</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Sales, inventory, CRM, F&amp;I</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Absent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No delivered product surface.</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Accounting / cashiering</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Absent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RO can close without invoice, payment, or financial posting.</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SaaS control plane</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Absent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No provisioning, plans, metering, billing, support administration, or data migration.</w:t>
            </w:r>
          </w:p>
        </w:tc>
      </w:tr>
    </w:tbl>
    <w:p>
      <w:pPr>
        <w:spacing w:after="0"/>
      </w:pPr>
    </w:p>
    <w:p>
      <w:pPr>
        <w:pStyle w:val="Heading2"/>
      </w:pPr>
      <w:r>
        <w:t>3.3 What is worth preserving</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60"/>
        <w:gridCol w:w="1900"/>
        <w:gridCol w:w="5100"/>
      </w:tblGrid>
      <w:tr>
        <w:trPr>
          <w:cantSplit/>
          <w:tblHeader w:val="true"/>
        </w:trPr>
        <w:tc>
          <w:tcPr>
            <w:tcW w:type="dxa" w:w="2360"/>
            <w:tcMar>
              <w:top w:w="80" w:type="dxa"/>
              <w:start w:w="120" w:type="dxa"/>
              <w:bottom w:w="80" w:type="dxa"/>
              <w:end w:w="120" w:type="dxa"/>
            </w:tcMar>
            <w:shd w:fill="F2F4F7"/>
            <w:vAlign w:val="center"/>
          </w:tcPr>
          <w:p>
            <w:pPr>
              <w:keepNext/>
              <w:spacing w:after="0"/>
            </w:pPr>
            <w:r>
              <w:rPr>
                <w:rFonts w:ascii="Calibri" w:hAnsi="Calibri"/>
                <w:b/>
                <w:color w:val="0B2545"/>
                <w:sz w:val="16"/>
              </w:rPr>
              <w:t>Asset</w:t>
            </w:r>
          </w:p>
        </w:tc>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6"/>
              </w:rPr>
              <w:t>Disposition</w:t>
            </w:r>
          </w:p>
        </w:tc>
        <w:tc>
          <w:tcPr>
            <w:tcW w:type="dxa" w:w="5100"/>
            <w:tcMar>
              <w:top w:w="80" w:type="dxa"/>
              <w:start w:w="120" w:type="dxa"/>
              <w:bottom w:w="80" w:type="dxa"/>
              <w:end w:w="120" w:type="dxa"/>
            </w:tcMar>
            <w:shd w:fill="F2F4F7"/>
            <w:vAlign w:val="center"/>
          </w:tcPr>
          <w:p>
            <w:pPr>
              <w:keepNext/>
              <w:spacing w:after="0"/>
            </w:pPr>
            <w:r>
              <w:rPr>
                <w:rFonts w:ascii="Calibri" w:hAnsi="Calibri"/>
                <w:b/>
                <w:color w:val="0B2545"/>
                <w:sz w:val="16"/>
              </w:rPr>
              <w:t>Instruction</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Repair-order state machine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 and formalize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Promote to versioned domain policy; add financial/QC/cancellation invariants.</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Authorization evidence and price snapshots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Turn into typed, immutable evidence linked to signed artifacts and identity assurance.</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Transaction and row-lock patterns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Move into explicit command handlers and concurrency tests.</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Tenant-scoped query discipline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 plus enforce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Backstop with RLS and tenant-aware referential integrity.</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Check-in uniqueness/idempotency concepts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 and generalize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Adopt a platform-wide idempotency protocol.</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Queue synchronization</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Derive durable projections from domain events.</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Bilingual MPI seed content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 as seed</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Externalize configurable templates and full localization.</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Tests around boundary conditions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Migrate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Make them executable against ephemeral PostgreSQL in CI.</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3,279-line service coordinator</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Replace incrementally</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Split by bounded context/use case; delete only after behavioral parity.</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Custom JWT/step-up trust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Replace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Use an enterprise identity provider and verified assurance context.</w:t>
            </w:r>
          </w:p>
        </w:tc>
      </w:tr>
    </w:tbl>
    <w:p>
      <w:pPr>
        <w:spacing w:after="0"/>
      </w:pPr>
    </w:p>
    <w:p>
      <w:pPr>
        <w:pStyle w:val="Heading2"/>
      </w:pPr>
      <w:r>
        <w:t>3.4 Maturity score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20"/>
        <w:gridCol w:w="1300"/>
        <w:gridCol w:w="4840"/>
      </w:tblGrid>
      <w:tr>
        <w:trPr>
          <w:cantSplit/>
          <w:tblHeader w:val="true"/>
        </w:trPr>
        <w:tc>
          <w:tcPr>
            <w:tcW w:type="dxa" w:w="3220"/>
            <w:tcMar>
              <w:top w:w="80" w:type="dxa"/>
              <w:start w:w="120" w:type="dxa"/>
              <w:bottom w:w="80" w:type="dxa"/>
              <w:end w:w="120" w:type="dxa"/>
            </w:tcMar>
            <w:shd w:fill="F2F4F7"/>
            <w:vAlign w:val="center"/>
          </w:tcPr>
          <w:p>
            <w:pPr>
              <w:keepNext/>
              <w:spacing w:after="0"/>
            </w:pPr>
            <w:r>
              <w:rPr>
                <w:rFonts w:ascii="Calibri" w:hAnsi="Calibri"/>
                <w:b/>
                <w:color w:val="0B2545"/>
                <w:sz w:val="17"/>
              </w:rPr>
              <w:t>Dimension</w:t>
            </w:r>
          </w:p>
        </w:tc>
        <w:tc>
          <w:tcPr>
            <w:tcW w:type="dxa" w:w="1300"/>
            <w:tcMar>
              <w:top w:w="80" w:type="dxa"/>
              <w:start w:w="120" w:type="dxa"/>
              <w:bottom w:w="80" w:type="dxa"/>
              <w:end w:w="120" w:type="dxa"/>
            </w:tcMar>
            <w:shd w:fill="F2F4F7"/>
            <w:vAlign w:val="center"/>
          </w:tcPr>
          <w:p>
            <w:pPr>
              <w:keepNext/>
              <w:spacing w:after="0"/>
            </w:pPr>
            <w:r>
              <w:rPr>
                <w:rFonts w:ascii="Calibri" w:hAnsi="Calibri"/>
                <w:b/>
                <w:color w:val="0B2545"/>
                <w:sz w:val="17"/>
              </w:rPr>
              <w:t>Score / 5</w:t>
            </w:r>
          </w:p>
        </w:tc>
        <w:tc>
          <w:tcPr>
            <w:tcW w:type="dxa" w:w="4840"/>
            <w:tcMar>
              <w:top w:w="80" w:type="dxa"/>
              <w:start w:w="120" w:type="dxa"/>
              <w:bottom w:w="80" w:type="dxa"/>
              <w:end w:w="120" w:type="dxa"/>
            </w:tcMar>
            <w:shd w:fill="F2F4F7"/>
            <w:vAlign w:val="center"/>
          </w:tcPr>
          <w:p>
            <w:pPr>
              <w:keepNext/>
              <w:spacing w:after="0"/>
            </w:pPr>
            <w:r>
              <w:rPr>
                <w:rFonts w:ascii="Calibri" w:hAnsi="Calibri"/>
                <w:b/>
                <w:color w:val="0B2545"/>
                <w:sz w:val="17"/>
              </w:rPr>
              <w:t>Reason</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Fixed-ops domain thoughtfulness</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3.5</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Several nontrivial invariants and workflows are modeled.</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Overall dealership product completeness</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0.5</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Only one vertical slice; no client application.</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Architecture evolvability</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2.0</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Clear routes/service/domain shape, but extreme service concentration and weak contracts.</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and security posture</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2.0</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Good query intent; app-only isolation and custom identity are insufficient.</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Data integrity</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2.0</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Transactional work exists; cross-tenant FKs, JSONB placeholders, and migration drift remain.</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Operability and reliability</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1.0</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Single-host compose, no HA/DR/SLO/release system.</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Automated verification</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2.5</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Useful tests exist; database and product-level gates are not continuously proven.</w:t>
            </w:r>
          </w:p>
        </w:tc>
      </w:tr>
    </w:tbl>
    <w:p>
      <w:pPr>
        <w:spacing w:after="0"/>
      </w:pPr>
    </w:p>
    <w:p>
      <w:r>
        <w:br w:type="page"/>
      </w:r>
    </w:p>
    <w:p>
      <w:pPr>
        <w:pStyle w:val="Heading1"/>
      </w:pPr>
      <w:r>
        <w:t>4. Findings and Immediate Risks</w:t>
      </w:r>
    </w:p>
    <w:p>
      <w:pPr>
        <w:pStyle w:val="Heading2"/>
      </w:pPr>
      <w:r>
        <w:t>4.1 Critical functional gaps in the existing slice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650"/>
        <w:gridCol w:w="900"/>
        <w:gridCol w:w="2210"/>
        <w:gridCol w:w="5600"/>
      </w:tblGrid>
      <w:tr>
        <w:trPr>
          <w:cantSplit/>
          <w:tblHeader w:val="true"/>
        </w:trPr>
        <w:tc>
          <w:tcPr>
            <w:tcW w:type="dxa" w:w="650"/>
            <w:tcMar>
              <w:top w:w="80" w:type="dxa"/>
              <w:start w:w="120" w:type="dxa"/>
              <w:bottom w:w="80" w:type="dxa"/>
              <w:end w:w="120" w:type="dxa"/>
            </w:tcMar>
            <w:shd w:fill="FCE8E6"/>
            <w:vAlign w:val="center"/>
          </w:tcPr>
          <w:p>
            <w:pPr>
              <w:keepNext/>
              <w:spacing w:after="0"/>
            </w:pPr>
            <w:r>
              <w:rPr>
                <w:rFonts w:ascii="Calibri" w:hAnsi="Calibri"/>
                <w:b/>
                <w:color w:val="0B2545"/>
                <w:sz w:val="15"/>
              </w:rPr>
              <w:t>ID</w:t>
            </w:r>
          </w:p>
        </w:tc>
        <w:tc>
          <w:tcPr>
            <w:tcW w:type="dxa" w:w="900"/>
            <w:tcMar>
              <w:top w:w="80" w:type="dxa"/>
              <w:start w:w="120" w:type="dxa"/>
              <w:bottom w:w="80" w:type="dxa"/>
              <w:end w:w="120" w:type="dxa"/>
            </w:tcMar>
            <w:shd w:fill="FCE8E6"/>
            <w:vAlign w:val="center"/>
          </w:tcPr>
          <w:p>
            <w:pPr>
              <w:keepNext/>
              <w:spacing w:after="0"/>
            </w:pPr>
            <w:r>
              <w:rPr>
                <w:rFonts w:ascii="Calibri" w:hAnsi="Calibri"/>
                <w:b/>
                <w:color w:val="0B2545"/>
                <w:sz w:val="15"/>
              </w:rPr>
              <w:t>Severity</w:t>
            </w:r>
          </w:p>
        </w:tc>
        <w:tc>
          <w:tcPr>
            <w:tcW w:type="dxa" w:w="2210"/>
            <w:tcMar>
              <w:top w:w="80" w:type="dxa"/>
              <w:start w:w="120" w:type="dxa"/>
              <w:bottom w:w="80" w:type="dxa"/>
              <w:end w:w="120" w:type="dxa"/>
            </w:tcMar>
            <w:shd w:fill="FCE8E6"/>
            <w:vAlign w:val="center"/>
          </w:tcPr>
          <w:p>
            <w:pPr>
              <w:keepNext/>
              <w:spacing w:after="0"/>
            </w:pPr>
            <w:r>
              <w:rPr>
                <w:rFonts w:ascii="Calibri" w:hAnsi="Calibri"/>
                <w:b/>
                <w:color w:val="0B2545"/>
                <w:sz w:val="15"/>
              </w:rPr>
              <w:t>Finding</w:t>
            </w:r>
          </w:p>
        </w:tc>
        <w:tc>
          <w:tcPr>
            <w:tcW w:type="dxa" w:w="5600"/>
            <w:tcMar>
              <w:top w:w="80" w:type="dxa"/>
              <w:start w:w="120" w:type="dxa"/>
              <w:bottom w:w="80" w:type="dxa"/>
              <w:end w:w="120" w:type="dxa"/>
            </w:tcMar>
            <w:shd w:fill="FCE8E6"/>
            <w:vAlign w:val="center"/>
          </w:tcPr>
          <w:p>
            <w:pPr>
              <w:keepNext/>
              <w:spacing w:after="0"/>
            </w:pPr>
            <w:r>
              <w:rPr>
                <w:rFonts w:ascii="Calibri" w:hAnsi="Calibri"/>
                <w:b/>
                <w:color w:val="0B2545"/>
                <w:sz w:val="15"/>
              </w:rPr>
              <w:t>Why it matters</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F-01</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RO/appointment mismatch</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RO creation verifies appointment existence but not compatible status, tenant-business identity, location, customer, or vehicle alignment; it does not atomically convert the appointment.</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F-02</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Technician attribution</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MPI start can accept another technician user ID. Enforce self-service unless a supervisor acts with an audited override.</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F-03</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Incomplete MPI</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Submission does not enforce template item keys, required photos, completeness, rubric, or duplicate prevention.</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F-04</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No financial close gate</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An RO can close without invoice, tax calculation, payment/reconciliation, or accounting posting.</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F-05</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Portal is not a portal</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Portal-task records exist, but there is no customer authentication, signing, payment, secure artifact access, or completion flow.</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F-06</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Advisor-supplied price blobs</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No typed labor rates, parts markups, discounts, taxes, fees, supplies, split-pay, or rounding policy.</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F-07</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Parts is status-only</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No SKU ledger, bins, availability, reservation, PO, receipt, transfer, core, return, or reconciliation.</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F-08</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Scheduling ignores capacity</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No skills, bays, technicians, shop calendars, promised capacity, or resource reservation.</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F-09</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Recommendation metric is inert</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Recommendation outcomes are not advanced or linked to authorized line items.</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F-10</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Retention action creates a booking</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A first-service offer directly creates a future scheduled appointment, conflating marketing intent with a confirmed reservation.</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F-11</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Lifecycle synchronization gaps</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Cancellation and closure do not fully unwind or reconcile tickets, time, parts, sublet, payment, and downstream states.</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F-12</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N+1 aggregate read</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RO detail is assembled with multiple sequential queries and offset pagination; load behavior is unmeasured.</w:t>
            </w:r>
          </w:p>
        </w:tc>
      </w:tr>
    </w:tbl>
    <w:p>
      <w:pPr>
        <w:spacing w:after="0"/>
      </w:pPr>
    </w:p>
    <w:p>
      <w:pPr>
        <w:pStyle w:val="Heading2"/>
      </w:pPr>
      <w:r>
        <w:t>4.2 Platform and security gaps</w:t>
      </w:r>
    </w:p>
    <w:p>
      <w:pPr>
        <w:pStyle w:val="ListBullet"/>
        <w:keepLines/>
      </w:pPr>
      <w:r>
        <w:t>Tenant isolation is a coding convention. Foreign keys reference global UUIDs without tenant-qualified constraints, and PostgreSQL Row-Level Security is absent.</w:t>
      </w:r>
    </w:p>
    <w:p>
      <w:pPr>
        <w:pStyle w:val="ListBullet"/>
        <w:keepLines/>
      </w:pPr>
      <w:r>
        <w:t>The HS256 JWT verifier lacks issuer, audience, JWKS/key rotation, federated SSO, MFA assurance, session revocation, SCIM, and production reauthentication. Step-up parsing also accepts extra dot-separated segments and lacks a real issuance journey.</w:t>
      </w:r>
    </w:p>
    <w:p>
      <w:pPr>
        <w:pStyle w:val="ListBullet"/>
        <w:keepLines/>
      </w:pPr>
      <w:r>
        <w:t>Metrics and health endpoints are unauthenticated in the app; location identifiers appear in metric labels; cross-tenant aggregation depends on assumed global uniqueness.</w:t>
      </w:r>
    </w:p>
    <w:p>
      <w:pPr>
        <w:pStyle w:val="ListBullet"/>
        <w:keepLines/>
      </w:pPr>
      <w:r>
        <w:t>No rate limiting, WAF contract, CORS policy, standard security headers, request correlation, distributed tracing, secrets manager, key management, or support-access controls are defined.</w:t>
      </w:r>
    </w:p>
    <w:p>
      <w:pPr>
        <w:pStyle w:val="ListBullet"/>
        <w:keepLines/>
      </w:pPr>
      <w:r>
        <w:t>Audit emission after commit is best-effort and lossy. There is no durable transactional outbox, tamper-evident audit chain, or artifact lineage.</w:t>
      </w:r>
    </w:p>
    <w:p>
      <w:pPr>
        <w:pStyle w:val="ListBullet"/>
        <w:keepLines/>
      </w:pPr>
      <w:r>
        <w:t>Migrations are tracked by mutable filenames only—without checksums, a dirty state, advisory locking, compatibility policy, or expand/contract discipline. IF NOT EXISTS can conceal drift.</w:t>
      </w:r>
    </w:p>
    <w:p>
      <w:pPr>
        <w:pStyle w:val="ListBullet"/>
        <w:keepLines/>
      </w:pPr>
      <w:r>
        <w:t>Most input validation is handwritten; no OpenAPI contract, generated SDK, API versioning, Problem Details, webhook policy, or uniform idempotency protocol exists.</w:t>
      </w:r>
    </w:p>
    <w:p>
      <w:pPr>
        <w:pStyle w:val="Heading2"/>
      </w:pPr>
      <w:r>
        <w:t>4.3 Stop-the-line conditions before a pilot</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60"/>
        <w:gridCol w:w="7000"/>
      </w:tblGrid>
      <w:tr>
        <w:trPr>
          <w:cantSplit/>
          <w:tblHeader w:val="true"/>
        </w:trPr>
        <w:tc>
          <w:tcPr>
            <w:tcW w:type="dxa" w:w="2360"/>
            <w:tcMar>
              <w:top w:w="80" w:type="dxa"/>
              <w:start w:w="120" w:type="dxa"/>
              <w:bottom w:w="80" w:type="dxa"/>
              <w:end w:w="120" w:type="dxa"/>
            </w:tcMar>
            <w:shd w:fill="FFF4CE"/>
            <w:vAlign w:val="center"/>
          </w:tcPr>
          <w:p>
            <w:pPr>
              <w:keepNext/>
              <w:spacing w:after="0"/>
            </w:pPr>
            <w:r>
              <w:rPr>
                <w:rFonts w:ascii="Calibri" w:hAnsi="Calibri"/>
                <w:b/>
                <w:color w:val="0B2545"/>
                <w:sz w:val="17"/>
              </w:rPr>
              <w:t>Condition</w:t>
            </w:r>
          </w:p>
        </w:tc>
        <w:tc>
          <w:tcPr>
            <w:tcW w:type="dxa" w:w="7000"/>
            <w:tcMar>
              <w:top w:w="80" w:type="dxa"/>
              <w:start w:w="120" w:type="dxa"/>
              <w:bottom w:w="80" w:type="dxa"/>
              <w:end w:w="120" w:type="dxa"/>
            </w:tcMar>
            <w:shd w:fill="FFF4CE"/>
            <w:vAlign w:val="center"/>
          </w:tcPr>
          <w:p>
            <w:pPr>
              <w:keepNext/>
              <w:spacing w:after="0"/>
            </w:pPr>
            <w:r>
              <w:rPr>
                <w:rFonts w:ascii="Calibri" w:hAnsi="Calibri"/>
                <w:b/>
                <w:color w:val="0B2545"/>
                <w:sz w:val="17"/>
              </w:rPr>
              <w:t>Pilot gate</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escape</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Prove RLS, tenant-qualified FKs, negative tests, and support access audit.</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 authorization</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Bind identity assurance, exact estimate version, signature/evidence artifact, timestamp, and revocation semantics.</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Money</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Replace JSON price references with deterministic quote/invoice lines, tax/fee policy, currency, rounding, and immutable versions.</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Financial close</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Require invoice finalization, payment state or approved receivable, and balanced accounting event.</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Production identity</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Use OIDC/SAML and MFA; remove locally trusted enterprise JWT assumptions.</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Migrations</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Run every migration and rollback/forward recovery path in ephemeral and restored production-like databases.</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Data recovery</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Demonstrate point-in-time restore and tenant export before handling live dealer data.</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 communications</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Implement consent, templates, delivery receipts, suppression, retries, and audit evidence.</w:t>
            </w:r>
          </w:p>
        </w:tc>
      </w:tr>
    </w:tbl>
    <w:p>
      <w:pPr>
        <w:spacing w:after="0"/>
      </w:pPr>
    </w:p>
    <w:p>
      <w:r>
        <w:br w:type="page"/>
      </w:r>
    </w:p>
    <w:p>
      <w:pPr>
        <w:pStyle w:val="Heading1"/>
      </w:pPr>
      <w:r>
        <w:t>5. Product Strategy and Market Bar</w:t>
      </w:r>
    </w:p>
    <w:p>
      <w:pPr>
        <w:pStyle w:val="Heading2"/>
      </w:pPr>
      <w:r>
        <w:t>5.1 Competitive baseline</w:t>
      </w:r>
    </w:p>
    <w:p>
      <w:pPr>
        <w:spacing w:before="0" w:after="120" w:line="264" w:lineRule="auto"/>
      </w:pPr>
      <w:r>
        <w:rPr>
          <w:rFonts w:ascii="Calibri" w:hAnsi="Calibri"/>
          <w:b w:val="0"/>
          <w:i w:val="0"/>
          <w:color w:val="1F2328"/>
        </w:rPr>
        <w:t>Current market leaders frame the dealership platform as an integrated operating system rather than a service scheduler. Tekion markets unified DMS, CRM, digital retail, service, payments, payroll, and AI; CDK spans digital retail, CRM, F&amp;I, DMS, fixed ops, and intelligence; Dealertrack connects DMS, F&amp;I, lenders, eContracting, and title/registration; Reynolds and Auto/Mate emphasize a single connected customer/vehicle/transaction record; Fortellis demonstrates that an API ecosystem is itself a strategic capability. [M1–M9]</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10"/>
        <w:gridCol w:w="3520"/>
        <w:gridCol w:w="3530"/>
      </w:tblGrid>
      <w:tr>
        <w:trPr>
          <w:cantSplit/>
          <w:tblHeader w:val="true"/>
        </w:trPr>
        <w:tc>
          <w:tcPr>
            <w:tcW w:type="dxa" w:w="2310"/>
            <w:tcMar>
              <w:top w:w="80" w:type="dxa"/>
              <w:start w:w="120" w:type="dxa"/>
              <w:bottom w:w="80" w:type="dxa"/>
              <w:end w:w="120" w:type="dxa"/>
            </w:tcMar>
            <w:shd w:fill="F2F4F7"/>
            <w:vAlign w:val="center"/>
          </w:tcPr>
          <w:p>
            <w:pPr>
              <w:keepNext/>
              <w:spacing w:after="0"/>
            </w:pPr>
            <w:r>
              <w:rPr>
                <w:rFonts w:ascii="Calibri" w:hAnsi="Calibri"/>
                <w:b/>
                <w:color w:val="0B2545"/>
                <w:sz w:val="16"/>
              </w:rPr>
              <w:t>Market expectation</w:t>
            </w:r>
          </w:p>
        </w:tc>
        <w:tc>
          <w:tcPr>
            <w:tcW w:type="dxa" w:w="3520"/>
            <w:tcMar>
              <w:top w:w="80" w:type="dxa"/>
              <w:start w:w="120" w:type="dxa"/>
              <w:bottom w:w="80" w:type="dxa"/>
              <w:end w:w="120" w:type="dxa"/>
            </w:tcMar>
            <w:shd w:fill="F2F4F7"/>
            <w:vAlign w:val="center"/>
          </w:tcPr>
          <w:p>
            <w:pPr>
              <w:keepNext/>
              <w:spacing w:after="0"/>
            </w:pPr>
            <w:r>
              <w:rPr>
                <w:rFonts w:ascii="Calibri" w:hAnsi="Calibri"/>
                <w:b/>
                <w:color w:val="0B2545"/>
                <w:sz w:val="16"/>
              </w:rPr>
              <w:t>Minimum credible capability</w:t>
            </w:r>
          </w:p>
        </w:tc>
        <w:tc>
          <w:tcPr>
            <w:tcW w:type="dxa" w:w="3530"/>
            <w:tcMar>
              <w:top w:w="80" w:type="dxa"/>
              <w:start w:w="120" w:type="dxa"/>
              <w:bottom w:w="80" w:type="dxa"/>
              <w:end w:w="120" w:type="dxa"/>
            </w:tcMar>
            <w:shd w:fill="F2F4F7"/>
            <w:vAlign w:val="center"/>
          </w:tcPr>
          <w:p>
            <w:pPr>
              <w:keepNext/>
              <w:spacing w:after="0"/>
            </w:pPr>
            <w:r>
              <w:rPr>
                <w:rFonts w:ascii="Calibri" w:hAnsi="Calibri"/>
                <w:b/>
                <w:color w:val="0B2545"/>
                <w:sz w:val="16"/>
              </w:rPr>
              <w:t>Opportunity to exceed</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Unified dealership truth</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 vehicle, inventory, lead, deal, RO, document, and financial identities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Temporal graph with explainable merges and cross-rooftop permissions</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End-to-end journeys</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Vehicle-to-retail and lead-to-delivery without rekeying</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Workflow orchestration, proactive exception handling, and collaborative customer journeys</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Multi-rooftop operation</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Shared services, role scopes, rollups, location-local rules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Group optimization and benchmark recommendations with strict privacy</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Open ecosystem</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Documented APIs, webhooks, certified integrations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Self-service developer portal, sandbox, observability, revenue share, and data contracts</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Financial trust</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Cashiering, subledgers, GL, controls, reconciliation</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Real-time operational-to-financial traceability and continuous close</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Security/compliance</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MFA, audit, retention, privacy, payment/credit controls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Evidence-by-design and continuously tested control posture</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AI</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Assistance and insights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Governed, explainable agents operating only within policy and approval boundaries</w:t>
            </w:r>
          </w:p>
        </w:tc>
      </w:tr>
    </w:tbl>
    <w:p>
      <w:pPr>
        <w:spacing w:after="0"/>
      </w:pPr>
    </w:p>
    <w:p>
      <w:pPr>
        <w:pStyle w:val="Heading2"/>
      </w:pPr>
      <w:r>
        <w:t>5.2 Recommended commercial sequence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80"/>
        <w:gridCol w:w="3040"/>
        <w:gridCol w:w="4540"/>
      </w:tblGrid>
      <w:tr>
        <w:trPr>
          <w:cantSplit/>
          <w:tblHeader w:val="true"/>
        </w:trPr>
        <w:tc>
          <w:tcPr>
            <w:tcW w:type="dxa" w:w="1780"/>
            <w:tcMar>
              <w:top w:w="80" w:type="dxa"/>
              <w:start w:w="120" w:type="dxa"/>
              <w:bottom w:w="80" w:type="dxa"/>
              <w:end w:w="120" w:type="dxa"/>
            </w:tcMar>
            <w:shd w:fill="F2F4F7"/>
            <w:vAlign w:val="center"/>
          </w:tcPr>
          <w:p>
            <w:pPr>
              <w:keepNext/>
              <w:spacing w:after="0"/>
            </w:pPr>
            <w:r>
              <w:rPr>
                <w:rFonts w:ascii="Calibri" w:hAnsi="Calibri"/>
                <w:b/>
                <w:color w:val="0B2545"/>
                <w:sz w:val="17"/>
              </w:rPr>
              <w:t>Release</w:t>
            </w:r>
          </w:p>
        </w:tc>
        <w:tc>
          <w:tcPr>
            <w:tcW w:type="dxa" w:w="3040"/>
            <w:tcMar>
              <w:top w:w="80" w:type="dxa"/>
              <w:start w:w="120" w:type="dxa"/>
              <w:bottom w:w="80" w:type="dxa"/>
              <w:end w:w="120" w:type="dxa"/>
            </w:tcMar>
            <w:shd w:fill="F2F4F7"/>
            <w:vAlign w:val="center"/>
          </w:tcPr>
          <w:p>
            <w:pPr>
              <w:keepNext/>
              <w:spacing w:after="0"/>
            </w:pPr>
            <w:r>
              <w:rPr>
                <w:rFonts w:ascii="Calibri" w:hAnsi="Calibri"/>
                <w:b/>
                <w:color w:val="0B2545"/>
                <w:sz w:val="17"/>
              </w:rPr>
              <w:t>Product promise</w:t>
            </w:r>
          </w:p>
        </w:tc>
        <w:tc>
          <w:tcPr>
            <w:tcW w:type="dxa" w:w="4540"/>
            <w:tcMar>
              <w:top w:w="80" w:type="dxa"/>
              <w:start w:w="120" w:type="dxa"/>
              <w:bottom w:w="80" w:type="dxa"/>
              <w:end w:w="120" w:type="dxa"/>
            </w:tcMar>
            <w:shd w:fill="F2F4F7"/>
            <w:vAlign w:val="center"/>
          </w:tcPr>
          <w:p>
            <w:pPr>
              <w:keepNext/>
              <w:spacing w:after="0"/>
            </w:pPr>
            <w:r>
              <w:rPr>
                <w:rFonts w:ascii="Calibri" w:hAnsi="Calibri"/>
                <w:b/>
                <w:color w:val="0B2545"/>
                <w:sz w:val="17"/>
              </w:rPr>
              <w:t>Included outcome</w:t>
            </w:r>
          </w:p>
        </w:tc>
      </w:tr>
      <w:tr>
        <w:trPr>
          <w:trHeight w:hRule="atLeast"/>
          <w:cantSplit/>
          <w:cantSplit/>
          <w:cantSplit/>
        </w:trPr>
        <w:tc>
          <w:tcPr>
            <w:tcW w:type="dxa" w:w="1780"/>
            <w:vAlign w:val="top"/>
            <w:tcMar>
              <w:top w:w="80" w:type="dxa"/>
              <w:start w:w="120" w:type="dxa"/>
              <w:bottom w:w="80" w:type="dxa"/>
              <w:end w:w="120" w:type="dxa"/>
            </w:tcMar>
          </w:tcPr>
          <w:p>
            <w:pPr>
              <w:spacing w:before="0" w:after="40" w:line="240" w:lineRule="auto"/>
            </w:pPr>
            <w:r>
              <w:rPr>
                <w:rFonts w:ascii="Calibri" w:hAnsi="Calibri"/>
                <w:b w:val="0"/>
                <w:color w:val="1F2328"/>
                <w:sz w:val="17"/>
              </w:rPr>
              <w:t>V1 — Management &amp; Sales Cloud</w:t>
            </w:r>
          </w:p>
        </w:tc>
        <w:tc>
          <w:tcPr>
            <w:tcW w:type="dxa" w:w="3040"/>
            <w:vAlign w:val="top"/>
            <w:tcMar>
              <w:top w:w="80" w:type="dxa"/>
              <w:start w:w="120" w:type="dxa"/>
              <w:bottom w:w="80" w:type="dxa"/>
              <w:end w:w="120" w:type="dxa"/>
            </w:tcMar>
          </w:tcPr>
          <w:p>
            <w:pPr>
              <w:spacing w:before="0" w:after="40" w:line="240" w:lineRule="auto"/>
            </w:pPr>
            <w:r>
              <w:rPr>
                <w:rFonts w:ascii="Calibri" w:hAnsi="Calibri"/>
                <w:b w:val="0"/>
                <w:color w:val="1F2328"/>
                <w:sz w:val="17"/>
              </w:rPr>
              <w:t>Run vehicle acquisition-to-delivery and lead-to-sale without rekeying</w:t>
            </w:r>
          </w:p>
        </w:tc>
        <w:tc>
          <w:tcPr>
            <w:tcW w:type="dxa" w:w="4540"/>
            <w:vAlign w:val="top"/>
            <w:tcMar>
              <w:top w:w="80" w:type="dxa"/>
              <w:start w:w="120" w:type="dxa"/>
              <w:bottom w:w="80" w:type="dxa"/>
              <w:end w:w="120" w:type="dxa"/>
            </w:tcMar>
          </w:tcPr>
          <w:p>
            <w:pPr>
              <w:spacing w:before="0" w:after="40" w:line="240" w:lineRule="auto"/>
            </w:pPr>
            <w:r>
              <w:rPr>
                <w:rFonts w:ascii="Calibri" w:hAnsi="Calibri"/>
                <w:b w:val="0"/>
                <w:color w:val="1F2328"/>
                <w:sz w:val="17"/>
              </w:rPr>
              <w:t>Dealer administration, customer and vehicle master, inventory, merchandising, CRM/BDC, marketing, showroom, appraisal, desking, digital retail, deal jacket, F&amp;I coordination, payment, delivery, reporting</w:t>
            </w:r>
          </w:p>
        </w:tc>
      </w:tr>
      <w:tr>
        <w:trPr>
          <w:trHeight w:hRule="atLeast"/>
          <w:cantSplit/>
          <w:cantSplit/>
          <w:cantSplit/>
        </w:trPr>
        <w:tc>
          <w:tcPr>
            <w:tcW w:type="dxa" w:w="1780"/>
            <w:vAlign w:val="top"/>
            <w:tcMar>
              <w:top w:w="80" w:type="dxa"/>
              <w:start w:w="120" w:type="dxa"/>
              <w:bottom w:w="80" w:type="dxa"/>
              <w:end w:w="120" w:type="dxa"/>
            </w:tcMar>
          </w:tcPr>
          <w:p>
            <w:pPr>
              <w:spacing w:before="0" w:after="40" w:line="240" w:lineRule="auto"/>
            </w:pPr>
            <w:r>
              <w:rPr>
                <w:rFonts w:ascii="Calibri" w:hAnsi="Calibri"/>
                <w:b w:val="0"/>
                <w:color w:val="1F2328"/>
                <w:sz w:val="17"/>
              </w:rPr>
              <w:t>V2 — Enterprise Management DMS</w:t>
            </w:r>
          </w:p>
        </w:tc>
        <w:tc>
          <w:tcPr>
            <w:tcW w:type="dxa" w:w="3040"/>
            <w:vAlign w:val="top"/>
            <w:tcMar>
              <w:top w:w="80" w:type="dxa"/>
              <w:start w:w="120" w:type="dxa"/>
              <w:bottom w:w="80" w:type="dxa"/>
              <w:end w:w="120" w:type="dxa"/>
            </w:tcMar>
          </w:tcPr>
          <w:p>
            <w:pPr>
              <w:spacing w:before="0" w:after="40" w:line="240" w:lineRule="auto"/>
            </w:pPr>
            <w:r>
              <w:rPr>
                <w:rFonts w:ascii="Calibri" w:hAnsi="Calibri"/>
                <w:b w:val="0"/>
                <w:color w:val="1F2328"/>
                <w:sz w:val="17"/>
              </w:rPr>
              <w:t>Operate and financially control a multi-rooftop group</w:t>
            </w:r>
          </w:p>
        </w:tc>
        <w:tc>
          <w:tcPr>
            <w:tcW w:type="dxa" w:w="4540"/>
            <w:vAlign w:val="top"/>
            <w:tcMar>
              <w:top w:w="80" w:type="dxa"/>
              <w:start w:w="120" w:type="dxa"/>
              <w:bottom w:w="80" w:type="dxa"/>
              <w:end w:w="120" w:type="dxa"/>
            </w:tcMar>
          </w:tcPr>
          <w:p>
            <w:pPr>
              <w:spacing w:before="0" w:after="40" w:line="240" w:lineRule="auto"/>
            </w:pPr>
            <w:r>
              <w:rPr>
                <w:rFonts w:ascii="Calibri" w:hAnsi="Calibri"/>
                <w:b w:val="0"/>
                <w:color w:val="1F2328"/>
                <w:sz w:val="17"/>
              </w:rPr>
              <w:t>Native dealership accounting, consolidated controls, shared services, expanded OEM/lender/title/tax integrations, migration factory, partner ecosystem</w:t>
            </w:r>
          </w:p>
        </w:tc>
      </w:tr>
      <w:tr>
        <w:trPr>
          <w:trHeight w:hRule="atLeast"/>
          <w:cantSplit/>
          <w:cantSplit/>
          <w:cantSplit/>
        </w:trPr>
        <w:tc>
          <w:tcPr>
            <w:tcW w:type="dxa" w:w="1780"/>
            <w:vAlign w:val="top"/>
            <w:tcMar>
              <w:top w:w="80" w:type="dxa"/>
              <w:start w:w="120" w:type="dxa"/>
              <w:bottom w:w="80" w:type="dxa"/>
              <w:end w:w="120" w:type="dxa"/>
            </w:tcMar>
          </w:tcPr>
          <w:p>
            <w:pPr>
              <w:spacing w:before="0" w:after="40" w:line="240" w:lineRule="auto"/>
            </w:pPr>
            <w:r>
              <w:rPr>
                <w:rFonts w:ascii="Calibri" w:hAnsi="Calibri"/>
                <w:b w:val="0"/>
                <w:color w:val="1F2328"/>
                <w:sz w:val="17"/>
              </w:rPr>
              <w:t>V3 — Governed Intelligence &amp; Optional Modules</w:t>
            </w:r>
          </w:p>
        </w:tc>
        <w:tc>
          <w:tcPr>
            <w:tcW w:type="dxa" w:w="3040"/>
            <w:vAlign w:val="top"/>
            <w:tcMar>
              <w:top w:w="80" w:type="dxa"/>
              <w:start w:w="120" w:type="dxa"/>
              <w:bottom w:w="80" w:type="dxa"/>
              <w:end w:w="120" w:type="dxa"/>
            </w:tcMar>
          </w:tcPr>
          <w:p>
            <w:pPr>
              <w:spacing w:before="0" w:after="40" w:line="240" w:lineRule="auto"/>
            </w:pPr>
            <w:r>
              <w:rPr>
                <w:rFonts w:ascii="Calibri" w:hAnsi="Calibri"/>
                <w:b w:val="0"/>
                <w:color w:val="1F2328"/>
                <w:sz w:val="17"/>
              </w:rPr>
              <w:t>Optimize the dealership within human-approved policy</w:t>
            </w:r>
          </w:p>
        </w:tc>
        <w:tc>
          <w:tcPr>
            <w:tcW w:type="dxa" w:w="4540"/>
            <w:vAlign w:val="top"/>
            <w:tcMar>
              <w:top w:w="80" w:type="dxa"/>
              <w:start w:w="120" w:type="dxa"/>
              <w:bottom w:w="80" w:type="dxa"/>
              <w:end w:w="120" w:type="dxa"/>
            </w:tcMar>
          </w:tcPr>
          <w:p>
            <w:pPr>
              <w:spacing w:before="0" w:after="40" w:line="240" w:lineRule="auto"/>
            </w:pPr>
            <w:r>
              <w:rPr>
                <w:rFonts w:ascii="Calibri" w:hAnsi="Calibri"/>
                <w:b w:val="0"/>
                <w:color w:val="1F2328"/>
                <w:sz w:val="17"/>
              </w:rPr>
              <w:t>Governed AI, partner marketplace, advanced forecasting, and only separately authorized modules; Fixed Ops remains deferred to FBL-300+</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1F5D42"/>
          <w:left w:val="single" w:sz="6" w:space="0" w:color="1F5D42"/>
          <w:bottom w:val="single" w:sz="6" w:space="0" w:color="1F5D42"/>
          <w:right w:val="single" w:sz="6" w:space="0" w:color="1F5D42"/>
          <w:insideH w:val="single" w:sz="6" w:space="0" w:color="1F5D42"/>
          <w:insideV w:val="single" w:sz="6" w:space="0" w:color="1F5D42"/>
        </w:tblBorders>
      </w:tblPr>
      <w:tblGrid>
        <w:gridCol w:w="9360"/>
      </w:tblGrid>
      <w:tr>
        <w:trPr>
          <w:cantSplit/>
        </w:trPr>
        <w:tc>
          <w:tcPr>
            <w:tcW w:type="dxa" w:w="9360"/>
            <w:tcMar>
              <w:top w:w="80" w:type="dxa"/>
              <w:start w:w="120" w:type="dxa"/>
              <w:bottom w:w="80" w:type="dxa"/>
              <w:end w:w="120" w:type="dxa"/>
            </w:tcMar>
            <w:shd w:fill="E6F4EA"/>
            <w:vAlign w:val="center"/>
          </w:tcPr>
          <w:p>
            <w:pPr>
              <w:spacing w:after="60"/>
            </w:pPr>
            <w:r>
              <w:rPr>
                <w:rFonts w:ascii="Calibri" w:hAnsi="Calibri"/>
                <w:b/>
                <w:color w:val="1F5D42"/>
                <w:sz w:val="21"/>
              </w:rPr>
              <w:t>Product thesis</w:t>
            </w:r>
          </w:p>
          <w:p>
            <w:pPr>
              <w:spacing w:after="0" w:line="264" w:lineRule="auto"/>
            </w:pPr>
            <w:r>
              <w:rPr>
                <w:rFonts w:ascii="Calibri" w:hAnsi="Calibri"/>
                <w:color w:val="1F2328"/>
                <w:sz w:val="21"/>
              </w:rPr>
              <w:t>Win first by giving owners and sales managers one operational truth from vehicle acquisition and merchandising through marketing attribution, lead handling, approved deal, funding coordination, delivery, and performance reporting. Preserve one customer, vehicle, stock, lead, deal, document, and financial identity across every rooftop.</w:t>
            </w:r>
          </w:p>
        </w:tc>
      </w:tr>
    </w:tbl>
    <w:p>
      <w:pPr>
        <w:spacing w:after="0"/>
      </w:pPr>
    </w:p>
    <w:p>
      <w:pPr>
        <w:pStyle w:val="Heading2"/>
      </w:pPr>
      <w:r>
        <w:t>5.3 Build versus integrate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680"/>
        <w:gridCol w:w="4680"/>
      </w:tblGrid>
      <w:tr>
        <w:trPr>
          <w:cantSplit/>
          <w:tblHeader w:val="true"/>
        </w:trPr>
        <w:tc>
          <w:tcPr>
            <w:tcW w:type="dxa" w:w="4680"/>
            <w:tcMar>
              <w:top w:w="80" w:type="dxa"/>
              <w:start w:w="120" w:type="dxa"/>
              <w:bottom w:w="80" w:type="dxa"/>
              <w:end w:w="120" w:type="dxa"/>
            </w:tcMar>
            <w:shd w:fill="F2F4F7"/>
            <w:vAlign w:val="center"/>
          </w:tcPr>
          <w:p>
            <w:pPr>
              <w:keepNext/>
              <w:spacing w:after="0"/>
            </w:pPr>
            <w:r>
              <w:rPr>
                <w:rFonts w:ascii="Calibri" w:hAnsi="Calibri"/>
                <w:b/>
                <w:color w:val="0B2545"/>
                <w:sz w:val="17"/>
              </w:rPr>
              <w:t>Own and differentiate</w:t>
            </w:r>
          </w:p>
        </w:tc>
        <w:tc>
          <w:tcPr>
            <w:tcW w:type="dxa" w:w="4680"/>
            <w:tcMar>
              <w:top w:w="80" w:type="dxa"/>
              <w:start w:w="120" w:type="dxa"/>
              <w:bottom w:w="80" w:type="dxa"/>
              <w:end w:w="120" w:type="dxa"/>
            </w:tcMar>
            <w:shd w:fill="F2F4F7"/>
            <w:vAlign w:val="center"/>
          </w:tcPr>
          <w:p>
            <w:pPr>
              <w:keepNext/>
              <w:spacing w:after="0"/>
            </w:pPr>
            <w:r>
              <w:rPr>
                <w:rFonts w:ascii="Calibri" w:hAnsi="Calibri"/>
                <w:b/>
                <w:color w:val="0B2545"/>
                <w:sz w:val="17"/>
              </w:rPr>
              <w:t>Integrate through certified providers</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Canonical customer/vehicle/stock/lead/deal identities</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Credit bureaus, lender networks, and adverse-action delivery</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Cross-department workflow and exception management</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eContracting, identity verification, e-sign, DMV/title/registration</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Pricing policy, quote/deal versions, approval evidence</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VIN/build data, valuation, marketplaces, OEM incentives and listing feeds</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Multi-rooftop policy, audit, analytics, and permissions</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Payment processing, bank connectivity, sales/use tax, Form 8300 filing support</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Inventory and financial ledgers tied to operations</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SMS/voice/email transport and deliverability</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Dealership-specific copilot with evidence and approvals</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Payroll, benefits, background services, broad ERP exports</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Integration control plane, contracts, health, replay</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Commodity infrastructure services where managed offerings reduce risk</w:t>
            </w:r>
          </w:p>
        </w:tc>
      </w:tr>
    </w:tbl>
    <w:p>
      <w:pPr>
        <w:spacing w:after="0"/>
      </w:pPr>
    </w:p>
    <w:p>
      <w:r>
        <w:br w:type="page"/>
      </w:r>
    </w:p>
    <w:p>
      <w:pPr>
        <w:pStyle w:val="Heading1"/>
      </w:pPr>
      <w:r>
        <w:t>6. Target Architecture</w:t>
      </w:r>
    </w:p>
    <w:p>
      <w:pPr>
        <w:pStyle w:val="Heading2"/>
      </w:pPr>
      <w:r>
        <w:t>6.1 Architecture principles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700"/>
        <w:gridCol w:w="2200"/>
        <w:gridCol w:w="6460"/>
      </w:tblGrid>
      <w:tr>
        <w:trPr>
          <w:cantSplit/>
          <w:tblHeader w:val="true"/>
        </w:trPr>
        <w:tc>
          <w:tcPr>
            <w:tcW w:type="dxa" w:w="700"/>
            <w:tcMar>
              <w:top w:w="80" w:type="dxa"/>
              <w:start w:w="120" w:type="dxa"/>
              <w:bottom w:w="80" w:type="dxa"/>
              <w:end w:w="120" w:type="dxa"/>
            </w:tcMar>
            <w:shd w:fill="F2F4F7"/>
            <w:vAlign w:val="center"/>
          </w:tcPr>
          <w:p>
            <w:pPr>
              <w:keepNext/>
              <w:spacing w:after="0"/>
            </w:pPr>
            <w:r>
              <w:rPr>
                <w:rFonts w:ascii="Calibri" w:hAnsi="Calibri"/>
                <w:b/>
                <w:color w:val="0B2545"/>
                <w:sz w:val="16"/>
              </w:rPr>
              <w:t>ID</w:t>
            </w:r>
          </w:p>
        </w:tc>
        <w:tc>
          <w:tcPr>
            <w:tcW w:type="dxa" w:w="2200"/>
            <w:tcMar>
              <w:top w:w="80" w:type="dxa"/>
              <w:start w:w="120" w:type="dxa"/>
              <w:bottom w:w="80" w:type="dxa"/>
              <w:end w:w="120" w:type="dxa"/>
            </w:tcMar>
            <w:shd w:fill="F2F4F7"/>
            <w:vAlign w:val="center"/>
          </w:tcPr>
          <w:p>
            <w:pPr>
              <w:keepNext/>
              <w:spacing w:after="0"/>
            </w:pPr>
            <w:r>
              <w:rPr>
                <w:rFonts w:ascii="Calibri" w:hAnsi="Calibri"/>
                <w:b/>
                <w:color w:val="0B2545"/>
                <w:sz w:val="16"/>
              </w:rPr>
              <w:t>Principle</w:t>
            </w:r>
          </w:p>
        </w:tc>
        <w:tc>
          <w:tcPr>
            <w:tcW w:type="dxa" w:w="6460"/>
            <w:tcMar>
              <w:top w:w="80" w:type="dxa"/>
              <w:start w:w="120" w:type="dxa"/>
              <w:bottom w:w="80" w:type="dxa"/>
              <w:end w:w="120" w:type="dxa"/>
            </w:tcMar>
            <w:shd w:fill="F2F4F7"/>
            <w:vAlign w:val="center"/>
          </w:tcPr>
          <w:p>
            <w:pPr>
              <w:keepNext/>
              <w:spacing w:after="0"/>
            </w:pPr>
            <w:r>
              <w:rPr>
                <w:rFonts w:ascii="Calibri" w:hAnsi="Calibri"/>
                <w:b/>
                <w:color w:val="0B2545"/>
                <w:sz w:val="16"/>
              </w:rPr>
              <w:t>Binding consequence</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P1</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One dealership graph</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Every workflow references canonical party, vehicle, organizational, and financial identities.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P2</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Tenant boundary in the database</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Application checks are defense in depth, never the only boundary.</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P3</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Modular monolith first</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Strong internal module boundaries, explicit ports, and events; extract by evidence.</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P4</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Immutable business versions</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Quotes, estimates, deals, signatures, invoices, contracts, and postings are versioned facts.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P5</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Ledgers for quantity and money</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 time, cash, AR/AP, and GL changes are append-only movements with corrections.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P6</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Contract-first edges</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OpenAPI, event schemas, idempotency, compatibility, and generated clients are release gates.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P7</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Workflows survive failure</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Long-running processes are resumable, observable, and compensating—not hidden request chains.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P8</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Evidence is a product feature</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Sensitive action records include actor, authority, inputs, version, artifact, and outcome.</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P9</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Configuration over forks</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Dealer, rooftop, legal-entity, OEM, locale, and plan differences are effective-dated policy.</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P10</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AI is bounded</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Models recommend and assist; policy engines and people authorize credit, money, legal, and safety outcomes.</w:t>
            </w:r>
          </w:p>
        </w:tc>
      </w:tr>
    </w:tbl>
    <w:p>
      <w:pPr>
        <w:spacing w:after="0"/>
      </w:pPr>
    </w:p>
    <w:p>
      <w:pPr>
        <w:pStyle w:val="Heading2"/>
      </w:pPr>
      <w:r>
        <w:t>6.2 Logical deployment</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400"/>
        <w:gridCol w:w="4500"/>
        <w:gridCol w:w="3460"/>
      </w:tblGrid>
      <w:tr>
        <w:trPr>
          <w:cantSplit/>
          <w:tblHeader w:val="true"/>
        </w:trPr>
        <w:tc>
          <w:tcPr>
            <w:tcW w:type="dxa" w:w="1400"/>
            <w:tcMar>
              <w:top w:w="80" w:type="dxa"/>
              <w:start w:w="120" w:type="dxa"/>
              <w:bottom w:w="80" w:type="dxa"/>
              <w:end w:w="120" w:type="dxa"/>
            </w:tcMar>
            <w:shd w:fill="F2F4F7"/>
            <w:vAlign w:val="center"/>
          </w:tcPr>
          <w:p>
            <w:pPr>
              <w:keepNext/>
              <w:spacing w:after="0"/>
            </w:pPr>
            <w:r>
              <w:rPr>
                <w:rFonts w:ascii="Calibri" w:hAnsi="Calibri"/>
                <w:b/>
                <w:color w:val="0B2545"/>
                <w:sz w:val="16"/>
              </w:rPr>
              <w:t>Layer</w:t>
            </w:r>
          </w:p>
        </w:tc>
        <w:tc>
          <w:tcPr>
            <w:tcW w:type="dxa" w:w="4500"/>
            <w:tcMar>
              <w:top w:w="80" w:type="dxa"/>
              <w:start w:w="120" w:type="dxa"/>
              <w:bottom w:w="80" w:type="dxa"/>
              <w:end w:w="120" w:type="dxa"/>
            </w:tcMar>
            <w:shd w:fill="F2F4F7"/>
            <w:vAlign w:val="center"/>
          </w:tcPr>
          <w:p>
            <w:pPr>
              <w:keepNext/>
              <w:spacing w:after="0"/>
            </w:pPr>
            <w:r>
              <w:rPr>
                <w:rFonts w:ascii="Calibri" w:hAnsi="Calibri"/>
                <w:b/>
                <w:color w:val="0B2545"/>
                <w:sz w:val="16"/>
              </w:rPr>
              <w:t>Components</w:t>
            </w:r>
          </w:p>
        </w:tc>
        <w:tc>
          <w:tcPr>
            <w:tcW w:type="dxa" w:w="3460"/>
            <w:tcMar>
              <w:top w:w="80" w:type="dxa"/>
              <w:start w:w="120" w:type="dxa"/>
              <w:bottom w:w="80" w:type="dxa"/>
              <w:end w:w="120" w:type="dxa"/>
            </w:tcMar>
            <w:shd w:fill="F2F4F7"/>
            <w:vAlign w:val="center"/>
          </w:tcPr>
          <w:p>
            <w:pPr>
              <w:keepNext/>
              <w:spacing w:after="0"/>
            </w:pPr>
            <w:r>
              <w:rPr>
                <w:rFonts w:ascii="Calibri" w:hAnsi="Calibri"/>
                <w:b/>
                <w:color w:val="0B2545"/>
                <w:sz w:val="16"/>
              </w:rPr>
              <w:t>Rule</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Experience</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Staff web, inventory mobile, CRM/sales mobile, customer portal/digital retail, admin/support, developer portal</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Role- and journey-specific shells; shared design system and generated API clients</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Edge</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CDN/WAF, API gateway, identity broker, rate limit, request signing, tenant routing</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No business rules; enforce trust boundary and observability</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Application core</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Versioned modular monolith containing platform kernel and dealership contexts</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One deployable initially; module imports enforced; no cross-module table writes</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Workers</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Workflow timers, communications, documents, integration delivery, search indexing, analytics export</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Consume durable outbox; idempotent; replayable</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Data</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PostgreSQL, Redis, object storage, search index, analytical warehouse/lakehouse</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PostgreSQL is transaction truth; derived stores rebuild from events</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External ecosystem</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OEM, lender, bureau, tax, payment, DMV/title, marketplaces, communications, accounting exports</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Adapters behind versioned ports; health, replay, and reconciliation are first-class</w:t>
            </w:r>
          </w:p>
        </w:tc>
      </w:tr>
    </w:tbl>
    <w:p>
      <w:pPr>
        <w:spacing w:after="0"/>
      </w:pPr>
    </w:p>
    <w:p>
      <w:pPr>
        <w:pStyle w:val="Heading2"/>
      </w:pPr>
      <w:r>
        <w:t>6.3 Why not microservices now</w:t>
      </w:r>
    </w:p>
    <w:p>
      <w:pPr>
        <w:spacing w:before="0" w:after="120" w:line="264" w:lineRule="auto"/>
      </w:pPr>
      <w:r>
        <w:rPr>
          <w:rFonts w:ascii="Calibri" w:hAnsi="Calibri"/>
          <w:b w:val="0"/>
          <w:i w:val="0"/>
          <w:color w:val="1F2328"/>
        </w:rPr>
        <w:t>The product needs domain discovery and consistent transaction boundaries more than independent deployments. Premature services would add distributed failures, duplicated identity, event drift, and support burden before the team has stable ownership. The modular monolith must still enforce extraction-ready seams.</w:t>
      </w:r>
    </w:p>
    <w:p>
      <w:pPr>
        <w:pStyle w:val="ListBullet"/>
        <w:keepLines/>
      </w:pPr>
      <w:r>
        <w:t>Each module owns its tables, commands, queries, policies, and published events.</w:t>
      </w:r>
    </w:p>
    <w:p>
      <w:pPr>
        <w:pStyle w:val="ListBullet"/>
        <w:keepLines/>
      </w:pPr>
      <w:r>
        <w:t>Cross-module reads use published query interfaces or projections; cross-module writes use commands/events.</w:t>
      </w:r>
    </w:p>
    <w:p>
      <w:pPr>
        <w:pStyle w:val="ListBullet"/>
        <w:keepLines/>
      </w:pPr>
      <w:r>
        <w:t>No module may import another module’s database repository.</w:t>
      </w:r>
    </w:p>
    <w:p>
      <w:pPr>
        <w:pStyle w:val="ListBullet"/>
        <w:keepLines/>
      </w:pPr>
      <w:r>
        <w:t>Outbox schemas and external API contracts are versioned from day one.</w:t>
      </w:r>
    </w:p>
    <w:p>
      <w:pPr>
        <w:pStyle w:val="ListBullet"/>
        <w:keepLines/>
      </w:pPr>
      <w:r>
        <w:t>Extract only when a module has independent scale, availability, regulatory isolation, or team ownership—and an observed problem that extraction solves.</w:t>
      </w:r>
    </w:p>
    <w:p>
      <w:pPr>
        <w:pStyle w:val="Heading2"/>
      </w:pPr>
      <w:r>
        <w:t>6.4 Recommended technology baseline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600"/>
        <w:gridCol w:w="5000"/>
        <w:gridCol w:w="2760"/>
      </w:tblGrid>
      <w:tr>
        <w:trPr>
          <w:cantSplit/>
          <w:tblHeader w:val="true"/>
        </w:trPr>
        <w:tc>
          <w:tcPr>
            <w:tcW w:type="dxa" w:w="1600"/>
            <w:tcMar>
              <w:top w:w="80" w:type="dxa"/>
              <w:start w:w="120" w:type="dxa"/>
              <w:bottom w:w="80" w:type="dxa"/>
              <w:end w:w="120" w:type="dxa"/>
            </w:tcMar>
            <w:shd w:fill="F2F4F7"/>
            <w:vAlign w:val="center"/>
          </w:tcPr>
          <w:p>
            <w:pPr>
              <w:keepNext/>
              <w:spacing w:after="0"/>
            </w:pPr>
            <w:r>
              <w:rPr>
                <w:rFonts w:ascii="Calibri" w:hAnsi="Calibri"/>
                <w:b/>
                <w:color w:val="0B2545"/>
                <w:sz w:val="15"/>
              </w:rPr>
              <w:t>Concern</w:t>
            </w:r>
          </w:p>
        </w:tc>
        <w:tc>
          <w:tcPr>
            <w:tcW w:type="dxa" w:w="5000"/>
            <w:tcMar>
              <w:top w:w="80" w:type="dxa"/>
              <w:start w:w="120" w:type="dxa"/>
              <w:bottom w:w="80" w:type="dxa"/>
              <w:end w:w="120" w:type="dxa"/>
            </w:tcMar>
            <w:shd w:fill="F2F4F7"/>
            <w:vAlign w:val="center"/>
          </w:tcPr>
          <w:p>
            <w:pPr>
              <w:keepNext/>
              <w:spacing w:after="0"/>
            </w:pPr>
            <w:r>
              <w:rPr>
                <w:rFonts w:ascii="Calibri" w:hAnsi="Calibri"/>
                <w:b/>
                <w:color w:val="0B2545"/>
                <w:sz w:val="15"/>
              </w:rPr>
              <w:t>Baseline</w:t>
            </w:r>
          </w:p>
        </w:tc>
        <w:tc>
          <w:tcPr>
            <w:tcW w:type="dxa" w:w="2760"/>
            <w:tcMar>
              <w:top w:w="80" w:type="dxa"/>
              <w:start w:w="120" w:type="dxa"/>
              <w:bottom w:w="80" w:type="dxa"/>
              <w:end w:w="120" w:type="dxa"/>
            </w:tcMar>
            <w:shd w:fill="F2F4F7"/>
            <w:vAlign w:val="center"/>
          </w:tcPr>
          <w:p>
            <w:pPr>
              <w:keepNext/>
              <w:spacing w:after="0"/>
            </w:pPr>
            <w:r>
              <w:rPr>
                <w:rFonts w:ascii="Calibri" w:hAnsi="Calibri"/>
                <w:b/>
                <w:color w:val="0B2545"/>
                <w:sz w:val="15"/>
              </w:rPr>
              <w:t>Decision note</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Repository</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TypeScript monorepo with apps/web, apps/api, apps/workers, packages/contracts, packages/domain, packages/ui, infra</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Keep language continuity; enforce boundaries</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API</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Node LTS + TypeScript strict mode; Fastify or disciplined Express; Zod/TypeBox; OpenAPI 3.1</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Do not rewrite solely for framework fashion</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Database</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Managed PostgreSQL with RLS, PITR, read replicas as needed; PgBouncer</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Transaction system of record</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Async</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Postgres outbox + managed queue initially; Kafka only when throughput/ecosystem justifies</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Avoid dual-write loss</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Cache/idempotency</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Managed Redis with explicit TTL and eviction policy</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Never authoritative for business truth</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Artifacts</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Versioned encrypted object storage with malware scan and legal holds</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Documents/photos/signatures are referenced evidence</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Search</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PostgreSQL first; managed OpenSearch when relevance/scale is proven</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Derived and rebuildable</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Analytics</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CDC/event-fed warehouse with semantic metrics layer</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No reporting queries against OLTP at scale</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Cloud</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Managed containers, IaC, private networking, KMS/secrets, multi-AZ</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Provider choice is secondary to control objectives</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Delivery</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Trunk-based CI, preview environments, signed images/SBOM, progressive deployment</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Every release produces evidence</w:t>
            </w:r>
          </w:p>
        </w:tc>
      </w:tr>
    </w:tbl>
    <w:p>
      <w:pPr>
        <w:spacing w:after="0"/>
      </w:pPr>
    </w:p>
    <w:p>
      <w:r>
        <w:br w:type="page"/>
      </w:r>
    </w:p>
    <w:p>
      <w:pPr>
        <w:pStyle w:val="Heading1"/>
      </w:pPr>
      <w:r>
        <w:t>7. Platform Kernel</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90"/>
        <w:gridCol w:w="4700"/>
        <w:gridCol w:w="2870"/>
      </w:tblGrid>
      <w:tr>
        <w:trPr>
          <w:cantSplit/>
          <w:tblHeader w:val="true"/>
        </w:trPr>
        <w:tc>
          <w:tcPr>
            <w:tcW w:type="dxa" w:w="1790"/>
            <w:tcMar>
              <w:top w:w="80" w:type="dxa"/>
              <w:start w:w="120" w:type="dxa"/>
              <w:bottom w:w="80" w:type="dxa"/>
              <w:end w:w="120" w:type="dxa"/>
            </w:tcMar>
            <w:shd w:fill="F2F4F7"/>
            <w:vAlign w:val="center"/>
          </w:tcPr>
          <w:p>
            <w:pPr>
              <w:keepNext/>
              <w:spacing w:after="0"/>
            </w:pPr>
            <w:r>
              <w:rPr>
                <w:rFonts w:ascii="Calibri" w:hAnsi="Calibri"/>
                <w:b/>
                <w:color w:val="0B2545"/>
                <w:sz w:val="15"/>
              </w:rPr>
              <w:t>Kernel module</w:t>
            </w:r>
          </w:p>
        </w:tc>
        <w:tc>
          <w:tcPr>
            <w:tcW w:type="dxa" w:w="4700"/>
            <w:tcMar>
              <w:top w:w="80" w:type="dxa"/>
              <w:start w:w="120" w:type="dxa"/>
              <w:bottom w:w="80" w:type="dxa"/>
              <w:end w:w="120" w:type="dxa"/>
            </w:tcMar>
            <w:shd w:fill="F2F4F7"/>
            <w:vAlign w:val="center"/>
          </w:tcPr>
          <w:p>
            <w:pPr>
              <w:keepNext/>
              <w:spacing w:after="0"/>
            </w:pPr>
            <w:r>
              <w:rPr>
                <w:rFonts w:ascii="Calibri" w:hAnsi="Calibri"/>
                <w:b/>
                <w:color w:val="0B2545"/>
                <w:sz w:val="15"/>
              </w:rPr>
              <w:t>Responsibilities</w:t>
            </w:r>
          </w:p>
        </w:tc>
        <w:tc>
          <w:tcPr>
            <w:tcW w:type="dxa" w:w="2870"/>
            <w:tcMar>
              <w:top w:w="80" w:type="dxa"/>
              <w:start w:w="120" w:type="dxa"/>
              <w:bottom w:w="80" w:type="dxa"/>
              <w:end w:w="120" w:type="dxa"/>
            </w:tcMar>
            <w:shd w:fill="F2F4F7"/>
            <w:vAlign w:val="center"/>
          </w:tcPr>
          <w:p>
            <w:pPr>
              <w:keepNext/>
              <w:spacing w:after="0"/>
            </w:pPr>
            <w:r>
              <w:rPr>
                <w:rFonts w:ascii="Calibri" w:hAnsi="Calibri"/>
                <w:b/>
                <w:color w:val="0B2545"/>
                <w:sz w:val="15"/>
              </w:rPr>
              <w:t>Non-negotiable</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Organization</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Tenant, dealer group, legal entity, rooftop, department, cost center, business calendar, timezone, locale</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Every business record carries immutable tenant plus scoped organization keys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Identity &amp; access</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OIDC/SAML, MFA/passkeys, SCIM, sessions, devices, roles, ABAC policies, delegated administration</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Assurance and purpose included in sensitive decisions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Entitlements</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Plans, features, limits, usage meters, trials, overrides, invoices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SaaS commercial control plane, separate from dealership accounting</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Configuration</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Effective-dated rules, templates, numbering, rates, taxes, OEM/location overrides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Typed schema, validation, approval, simulation, rollback</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Workflow</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Long-running process state, timers, retries, compensation, human tasks, SLA</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Observable and restartable</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Audit &amp; evidence</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Append-only audit, evidence envelopes, artifact hashes, policy decision, actor/session</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Tamper-evident storage and export</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Documents &amp; e-sign</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Templates, render, version, package, signature, retention, legal hold</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No opaque evidence_refs JSON</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Communications &amp; consent</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Channel preferences, consent purpose, templates, campaigns, delivery/reply events, suppression</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TCPA/CAN-SPAM and customer experience controls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Integration hub</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Connections, credentials, mappings, jobs, webhooks, replay, reconciliation, partner SLAs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Adapters never leak provider shapes into core domains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Observability</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Request/trace IDs, structured logs, metrics, traces, audit correlation, SLOs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Tenant-safe telemetry with cardinality budgets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Support &amp; operations</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Support cases, approved impersonation, data export, tenant health, migration controls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Every privileged support action is justified and audited</w:t>
            </w:r>
          </w:p>
        </w:tc>
      </w:tr>
    </w:tbl>
    <w:p>
      <w:pPr>
        <w:spacing w:after="0"/>
      </w:pPr>
    </w:p>
    <w:p>
      <w:pPr>
        <w:pStyle w:val="Heading2"/>
      </w:pPr>
      <w:r>
        <w:t>7.1 Tenant isolation model</w:t>
      </w:r>
    </w:p>
    <w:p>
      <w:pPr>
        <w:pStyle w:val="ListBullet"/>
        <w:keepLines/>
      </w:pPr>
      <w:r>
        <w:t>Set tenant context on every database transaction using a server-controlled session variable; never accept it from request payloads.</w:t>
      </w:r>
    </w:p>
    <w:p>
      <w:pPr>
        <w:pStyle w:val="ListBullet"/>
        <w:keepLines/>
      </w:pPr>
      <w:r>
        <w:t>Enable PostgreSQL RLS on all tenant-owned tables with deny-by-default policies.</w:t>
      </w:r>
    </w:p>
    <w:p>
      <w:pPr>
        <w:pStyle w:val="ListBullet"/>
        <w:keepLines/>
      </w:pPr>
      <w:r>
        <w:t>Use composite keys and foreign keys that include tenant_id so a child cannot reference another tenant’s parent—even through direct SQL.</w:t>
      </w:r>
    </w:p>
    <w:p>
      <w:pPr>
        <w:pStyle w:val="ListBullet"/>
        <w:keepLines/>
      </w:pPr>
      <w:r>
        <w:t>Partition operational roles by tenant, legal entity, rooftop, department, resource, and action; layer attributes for amount thresholds and sensitive purposes.</w:t>
      </w:r>
    </w:p>
    <w:p>
      <w:pPr>
        <w:pStyle w:val="ListBullet"/>
        <w:keepLines/>
      </w:pPr>
      <w:r>
        <w:t>Run automated tenant-escape mutation tests that remove application predicates and prove the database still denies access.</w:t>
      </w:r>
    </w:p>
    <w:p>
      <w:pPr>
        <w:pStyle w:val="ListBullet"/>
        <w:keepLines/>
      </w:pPr>
      <w:r>
        <w:t>Keep support access outside ordinary dealer roles: approval, reason, expiration, visible banner, full audit, and customer-configurable restrictions.</w:t>
      </w:r>
    </w:p>
    <w:p>
      <w:pPr>
        <w:pStyle w:val="Heading2"/>
      </w:pPr>
      <w:r>
        <w:t>7.2 Configuration model</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850"/>
        <w:gridCol w:w="3680"/>
        <w:gridCol w:w="3830"/>
      </w:tblGrid>
      <w:tr>
        <w:trPr>
          <w:cantSplit/>
          <w:tblHeader w:val="true"/>
        </w:trPr>
        <w:tc>
          <w:tcPr>
            <w:tcW w:type="dxa" w:w="1850"/>
            <w:tcMar>
              <w:top w:w="80" w:type="dxa"/>
              <w:start w:w="120" w:type="dxa"/>
              <w:bottom w:w="80" w:type="dxa"/>
              <w:end w:w="120" w:type="dxa"/>
            </w:tcMar>
            <w:shd w:fill="F2F4F7"/>
            <w:vAlign w:val="center"/>
          </w:tcPr>
          <w:p>
            <w:pPr>
              <w:keepNext/>
              <w:spacing w:after="0"/>
            </w:pPr>
            <w:r>
              <w:rPr>
                <w:rFonts w:ascii="Calibri" w:hAnsi="Calibri"/>
                <w:b/>
                <w:color w:val="0B2545"/>
                <w:sz w:val="17"/>
              </w:rPr>
              <w:t>Configuration class</w:t>
            </w:r>
          </w:p>
        </w:tc>
        <w:tc>
          <w:tcPr>
            <w:tcW w:type="dxa" w:w="3680"/>
            <w:tcMar>
              <w:top w:w="80" w:type="dxa"/>
              <w:start w:w="120" w:type="dxa"/>
              <w:bottom w:w="80" w:type="dxa"/>
              <w:end w:w="120" w:type="dxa"/>
            </w:tcMar>
            <w:shd w:fill="F2F4F7"/>
            <w:vAlign w:val="center"/>
          </w:tcPr>
          <w:p>
            <w:pPr>
              <w:keepNext/>
              <w:spacing w:after="0"/>
            </w:pPr>
            <w:r>
              <w:rPr>
                <w:rFonts w:ascii="Calibri" w:hAnsi="Calibri"/>
                <w:b/>
                <w:color w:val="0B2545"/>
                <w:sz w:val="17"/>
              </w:rPr>
              <w:t>Examples</w:t>
            </w:r>
          </w:p>
        </w:tc>
        <w:tc>
          <w:tcPr>
            <w:tcW w:type="dxa" w:w="3830"/>
            <w:tcMar>
              <w:top w:w="80" w:type="dxa"/>
              <w:start w:w="120" w:type="dxa"/>
              <w:bottom w:w="80" w:type="dxa"/>
              <w:end w:w="120" w:type="dxa"/>
            </w:tcMar>
            <w:shd w:fill="F2F4F7"/>
            <w:vAlign w:val="center"/>
          </w:tcPr>
          <w:p>
            <w:pPr>
              <w:keepNext/>
              <w:spacing w:after="0"/>
            </w:pPr>
            <w:r>
              <w:rPr>
                <w:rFonts w:ascii="Calibri" w:hAnsi="Calibri"/>
                <w:b/>
                <w:color w:val="0B2545"/>
                <w:sz w:val="17"/>
              </w:rPr>
              <w:t>Rules</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Commercial</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Plan, modules, user/rooftop/transaction limits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Control-plane owned; metered; auditable</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Operational</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Hours, lead-routing rules, inventory locations, showroom schedules, approval limits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Rooftop-effective; simulation before activation</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Financial</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Vehicle pricing policy, pack, reserve, commissions, taxes, fees, rounding, account mappings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Four-eyes approval; immutable effective versions</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Compliance</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Retention, consent, notice templates, risk rules, jurisdiction</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Policy owner and legal basis recorded</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OEM/provider</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Vehicle/build mappings, incentives, listing feeds, lender/title packages, connection mappings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Adapter-specific validation and certification version</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Experience</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Brand, locale, templates, portal features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Accessible defaults; no code forks</w:t>
            </w:r>
          </w:p>
        </w:tc>
      </w:tr>
    </w:tbl>
    <w:p>
      <w:pPr>
        <w:spacing w:after="0"/>
      </w:pPr>
    </w:p>
    <w:p>
      <w:r>
        <w:br w:type="page"/>
      </w:r>
    </w:p>
    <w:p>
      <w:pPr>
        <w:pStyle w:val="Heading1"/>
      </w:pPr>
      <w:r>
        <w:t>8. Dealership Bounded Contexts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900"/>
        <w:gridCol w:w="5560"/>
        <w:gridCol w:w="1900"/>
      </w:tblGrid>
      <w:tr>
        <w:trPr>
          <w:cantSplit/>
          <w:tblHeader w:val="true"/>
        </w:trPr>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5"/>
              </w:rPr>
              <w:t>Context</w:t>
            </w:r>
          </w:p>
        </w:tc>
        <w:tc>
          <w:tcPr>
            <w:tcW w:type="dxa" w:w="5560"/>
            <w:tcMar>
              <w:top w:w="80" w:type="dxa"/>
              <w:start w:w="120" w:type="dxa"/>
              <w:bottom w:w="80" w:type="dxa"/>
              <w:end w:w="120" w:type="dxa"/>
            </w:tcMar>
            <w:shd w:fill="F2F4F7"/>
            <w:vAlign w:val="center"/>
          </w:tcPr>
          <w:p>
            <w:pPr>
              <w:keepNext/>
              <w:spacing w:after="0"/>
            </w:pPr>
            <w:r>
              <w:rPr>
                <w:rFonts w:ascii="Calibri" w:hAnsi="Calibri"/>
                <w:b/>
                <w:color w:val="0B2545"/>
                <w:sz w:val="15"/>
              </w:rPr>
              <w:t>Owns</w:t>
            </w:r>
          </w:p>
        </w:tc>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5"/>
              </w:rPr>
              <w:t>Key relationships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Party / Customer 360</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Person, business, household, contact points, consent, identity match/merge, relationship</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All journeys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Vehicle Master</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VIN, decode/build, ownership, mileage, telematics reference, history</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Inventory, sales, service</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Inventory</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Stock unit, acquisition, appraisal, trade, recon, location, merchandising, listing, aging</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Sales, accounting</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CRM / BDC / Marketing</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Lead, opportunity, activity, task, campaign, attribution, appointment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Sales demand and revenue attribution</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Sales / Desking</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Quote, deal scenario, payment, trade, incentives, taxes, approvals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Deal jacket, F&amp;I</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Digital Retail</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Customer identity, saved journey, pricing, trade, credit handoff, checkout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Sales orchestration</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F&amp;I / Credit</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Application, bureau permission, lender submission/decision, menu, products, contract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Partner-heavy and regulated</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Deal Jacket / Documents</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Deal version, checklist, document package, signature, funding conditions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Immutable evidence</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Title / Registration</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Jurisdiction case, fees, forms, status, exceptions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Provider integrations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Fixed Operations — deferred</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Inherited appointment, RO, DVI, estimate, dispatch and QC records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Frozen before FBL-300+</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Service Parts — deferred</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Inherited and future service-parts catalog/procurement records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Frozen before FBL-300+</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Warranty Repair — deferred</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Potential eligibility, claim, submission and recovery records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Requires future authorization</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Accounting</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COA, journal, subledgers, AR/AP, cashiering, bank rec, tax, floorplan, consolidation</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Balanced immutable postings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Workforce</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Employee/profile, skill, certification, schedule, clock, productivity, payroll export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Identity distinct from HR master</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Compliance / Risk</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Red flags, privacy, sanctions, notices, cash reporting, control evidence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Policy service; counsel-owned rules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Analytics / AI</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Semantic metrics, forecasts, recommendations, evaluation, model/prompt governance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Derived data only</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Integration Ecosystem</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Connection lifecycle, canonical mapping, delivery, replay, certification, marketplace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Contract and reconciliation layer</w:t>
            </w:r>
          </w:p>
        </w:tc>
      </w:tr>
    </w:tbl>
    <w:p>
      <w:pPr>
        <w:spacing w:after="0"/>
      </w:pPr>
    </w:p>
    <w:p>
      <w:pPr>
        <w:pStyle w:val="Heading2"/>
      </w:pPr>
      <w:r>
        <w:t>8.1 Inherited Fixed Operations boundary</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100"/>
        <w:gridCol w:w="3620"/>
        <w:gridCol w:w="3640"/>
      </w:tblGrid>
      <w:tr>
        <w:trPr>
          <w:cantSplit/>
          <w:tblHeader w:val="true"/>
        </w:trPr>
        <w:tc>
          <w:tcPr>
            <w:tcW w:type="dxa" w:w="2100"/>
            <w:tcMar>
              <w:top w:w="80" w:type="dxa"/>
              <w:start w:w="120" w:type="dxa"/>
              <w:bottom w:w="80" w:type="dxa"/>
              <w:end w:w="120" w:type="dxa"/>
            </w:tcMar>
            <w:shd w:fill="F2F4F7"/>
            <w:vAlign w:val="center"/>
          </w:tcPr>
          <w:p>
            <w:pPr>
              <w:keepNext/>
              <w:spacing w:after="0"/>
            </w:pPr>
            <w:r>
              <w:rPr>
                <w:rFonts w:ascii="Calibri" w:hAnsi="Calibri"/>
                <w:b/>
                <w:color w:val="0B2545"/>
                <w:sz w:val="16"/>
              </w:rPr>
              <w:t>Boundary area</w:t>
            </w:r>
          </w:p>
        </w:tc>
        <w:tc>
          <w:tcPr>
            <w:tcW w:type="dxa" w:w="3620"/>
            <w:tcMar>
              <w:top w:w="80" w:type="dxa"/>
              <w:start w:w="120" w:type="dxa"/>
              <w:bottom w:w="80" w:type="dxa"/>
              <w:end w:w="120" w:type="dxa"/>
            </w:tcMar>
            <w:shd w:fill="F2F4F7"/>
            <w:vAlign w:val="center"/>
          </w:tcPr>
          <w:p>
            <w:pPr>
              <w:keepNext/>
              <w:spacing w:after="0"/>
            </w:pPr>
            <w:r>
              <w:rPr>
                <w:rFonts w:ascii="Calibri" w:hAnsi="Calibri"/>
                <w:b/>
                <w:color w:val="0B2545"/>
                <w:sz w:val="16"/>
              </w:rPr>
              <w:t>Preservation rule</w:t>
            </w:r>
          </w:p>
        </w:tc>
        <w:tc>
          <w:tcPr>
            <w:tcW w:type="dxa" w:w="3640"/>
            <w:tcMar>
              <w:top w:w="80" w:type="dxa"/>
              <w:start w:w="120" w:type="dxa"/>
              <w:bottom w:w="80" w:type="dxa"/>
              <w:end w:w="120" w:type="dxa"/>
            </w:tcMar>
            <w:shd w:fill="F2F4F7"/>
            <w:vAlign w:val="center"/>
          </w:tcPr>
          <w:p>
            <w:pPr>
              <w:keepNext/>
              <w:spacing w:after="0"/>
            </w:pPr>
            <w:r>
              <w:rPr>
                <w:rFonts w:ascii="Calibri" w:hAnsi="Calibri"/>
                <w:b/>
                <w:color w:val="0B2545"/>
                <w:sz w:val="16"/>
              </w:rPr>
              <w:t>Forward-only constraint</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Code and schemas</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Retain current behavior and historical evidence</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No enhancement or product expansion before FBL-300+</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Security</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Apply shared identity, tenant, authorization, logging and vulnerability corrections</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Security fixes may cross the boundary only when required for platform safety</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Migrations</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Use forward-only compatibility changes</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Never edit accepted migrations or make management modules depend on service tables</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Regression</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Keep inherited characterization tests green</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A compatibility failure is corrected without reopening commercial scope</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 recon</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Record vendor, status, estimate, actual cost, target date and retail readiness</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No diagnosis, repair order, labor operation, technician schedule or service-parts workflow</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Future activation</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Separate product-owner decision and locked FBL-300+ roadmap</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No implied authorization from this architectural context</w:t>
            </w:r>
          </w:p>
        </w:tc>
      </w:tr>
    </w:tbl>
    <w:p>
      <w:pPr>
        <w:spacing w:after="0"/>
      </w:pPr>
    </w:p>
    <w:p>
      <w:pPr>
        <w:pStyle w:val="Heading2"/>
      </w:pPr>
      <w:r>
        <w:t>8.2 Accounting rule</w:t>
      </w:r>
    </w:p>
    <w:tbl>
      <w:tblPr>
        <w:tblW w:type="dxa" w:w="9360"/>
        <w:jc w:val="left"/>
        <w:tblLayout w:type="fixed"/>
        <w:tblLook w:firstColumn="1" w:firstRow="1" w:lastColumn="0" w:lastRow="0" w:noHBand="0" w:noVBand="1" w:val="04A0"/>
        <w:tblInd w:w="120" w:type="dxa"/>
        <w:tblBorders>
          <w:top w:val="single" w:sz="6" w:space="0" w:color="7A5A00"/>
          <w:left w:val="single" w:sz="6" w:space="0" w:color="7A5A00"/>
          <w:bottom w:val="single" w:sz="6" w:space="0" w:color="7A5A00"/>
          <w:right w:val="single" w:sz="6" w:space="0" w:color="7A5A00"/>
          <w:insideH w:val="single" w:sz="6" w:space="0" w:color="7A5A00"/>
          <w:insideV w:val="single" w:sz="6" w:space="0" w:color="7A5A00"/>
        </w:tblBorders>
      </w:tblPr>
      <w:tblGrid>
        <w:gridCol w:w="9360"/>
      </w:tblGrid>
      <w:tr>
        <w:trPr>
          <w:cantSplit/>
        </w:trPr>
        <w:tc>
          <w:tcPr>
            <w:tcW w:type="dxa" w:w="9360"/>
            <w:tcMar>
              <w:top w:w="80" w:type="dxa"/>
              <w:start w:w="120" w:type="dxa"/>
              <w:bottom w:w="80" w:type="dxa"/>
              <w:end w:w="120" w:type="dxa"/>
            </w:tcMar>
            <w:shd w:fill="FFF4CE"/>
            <w:vAlign w:val="center"/>
          </w:tcPr>
          <w:p>
            <w:pPr>
              <w:spacing w:after="60"/>
            </w:pPr>
            <w:r>
              <w:rPr>
                <w:rFonts w:ascii="Calibri" w:hAnsi="Calibri"/>
                <w:b/>
                <w:color w:val="7A5A00"/>
                <w:sz w:val="21"/>
              </w:rPr>
              <w:t>No dealership platform is complete without a financial spine</w:t>
            </w:r>
          </w:p>
          <w:p>
            <w:pPr>
              <w:spacing w:after="0" w:line="264" w:lineRule="auto"/>
            </w:pPr>
            <w:r>
              <w:rPr>
                <w:rFonts w:ascii="Calibri" w:hAnsi="Calibri"/>
                <w:color w:val="1F2328"/>
                <w:sz w:val="21"/>
              </w:rPr>
              <w:t>Operational events propose accounting intents; the accounting context validates effective mappings and posts balanced journal entries. Posted entries are never edited—corrections reverse and repost. Each journal line traces back to the stock unit, deal, deposit, payment, funding event, title fee, inventory movement, or provider settlement that caused it.</w:t>
            </w:r>
          </w:p>
        </w:tc>
      </w:tr>
    </w:tbl>
    <w:p>
      <w:pPr>
        <w:spacing w:after="0"/>
      </w:pPr>
    </w:p>
    <w:p>
      <w:pPr>
        <w:pStyle w:val="ListBullet"/>
        <w:keepLines/>
      </w:pPr>
      <w:r>
        <w:t>Represent money as currency plus fixed-scale decimal or integer minor units according to the currency; never floating point.</w:t>
      </w:r>
    </w:p>
    <w:p>
      <w:pPr>
        <w:pStyle w:val="ListBullet"/>
        <w:keepLines/>
      </w:pPr>
      <w:r>
        <w:t>Version all prices, taxes, fees, discounts, reserve, pack, commissions, and account mappings.</w:t>
      </w:r>
    </w:p>
    <w:p>
      <w:pPr>
        <w:pStyle w:val="ListBullet"/>
        <w:keepLines/>
      </w:pPr>
      <w:r>
        <w:t>Maintain AR, AP, inventory, cash, floorplan, and customer deposit subledgers with reconciliation status.</w:t>
      </w:r>
    </w:p>
    <w:p>
      <w:pPr>
        <w:pStyle w:val="ListBullet"/>
        <w:keepLines/>
      </w:pPr>
      <w:r>
        <w:t>Require legal-entity and accounting-period context; prevent cross-entity balancing.</w:t>
      </w:r>
    </w:p>
    <w:p>
      <w:pPr>
        <w:pStyle w:val="ListBullet"/>
        <w:keepLines/>
      </w:pPr>
      <w:r>
        <w:t>Build accounting after real transaction models stabilize, but define accounting intents from the beginning.</w:t>
      </w:r>
    </w:p>
    <w:p>
      <w:r>
        <w:br w:type="page"/>
      </w:r>
    </w:p>
    <w:p>
      <w:pPr>
        <w:pStyle w:val="Heading1"/>
      </w:pPr>
      <w:r>
        <w:t>9. Data, API, and Event Contracts</w:t>
      </w:r>
    </w:p>
    <w:p>
      <w:pPr>
        <w:pStyle w:val="Heading2"/>
      </w:pPr>
      <w:r>
        <w:t>9.1 Canonical identity and records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650"/>
        <w:gridCol w:w="7710"/>
      </w:tblGrid>
      <w:tr>
        <w:trPr>
          <w:cantSplit/>
          <w:tblHeader w:val="true"/>
        </w:trPr>
        <w:tc>
          <w:tcPr>
            <w:tcW w:type="dxa" w:w="1650"/>
            <w:tcMar>
              <w:top w:w="80" w:type="dxa"/>
              <w:start w:w="120" w:type="dxa"/>
              <w:bottom w:w="80" w:type="dxa"/>
              <w:end w:w="120" w:type="dxa"/>
            </w:tcMar>
            <w:shd w:fill="F2F4F7"/>
            <w:vAlign w:val="center"/>
          </w:tcPr>
          <w:p>
            <w:pPr>
              <w:keepNext/>
              <w:spacing w:after="0"/>
            </w:pPr>
            <w:r>
              <w:rPr>
                <w:rFonts w:ascii="Calibri" w:hAnsi="Calibri"/>
                <w:b/>
                <w:color w:val="0B2545"/>
                <w:sz w:val="17"/>
              </w:rPr>
              <w:t>Domain</w:t>
            </w:r>
          </w:p>
        </w:tc>
        <w:tc>
          <w:tcPr>
            <w:tcW w:type="dxa" w:w="7710"/>
            <w:tcMar>
              <w:top w:w="80" w:type="dxa"/>
              <w:start w:w="120" w:type="dxa"/>
              <w:bottom w:w="80" w:type="dxa"/>
              <w:end w:w="120" w:type="dxa"/>
            </w:tcMar>
            <w:shd w:fill="F2F4F7"/>
            <w:vAlign w:val="center"/>
          </w:tcPr>
          <w:p>
            <w:pPr>
              <w:keepNext/>
              <w:spacing w:after="0"/>
            </w:pPr>
            <w:r>
              <w:rPr>
                <w:rFonts w:ascii="Calibri" w:hAnsi="Calibri"/>
                <w:b/>
                <w:color w:val="0B2545"/>
                <w:sz w:val="17"/>
              </w:rPr>
              <w:t>Canonical records</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Organization</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DealerGroup, LegalEntity, Rooftop, Department, CostCenter</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User, EmployeeProfile, RoleBinding, PolicyDecision, SessionAssurance</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Party</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Party, Person, Business, ContactPoint, Consent, MergeRecord</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Vehicle</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Vehicle, VINIdentity, Ownership, MileageEvent, StockUnit, LocationEvent</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Demand</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Lead, Opportunity, Activity, Campaign, AppointmentRequest, Appointment</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Retail</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Appraisal, Trade, Quote, DeskingScenario, Deal, DealVersion, DealDocument</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Finance</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CreditApplication, LenderSubmission, Decision, FIProduct, Contract, FundingCondition</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Deferred service</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Inherited RepairOrder, Operation, Inspection, Recommendation, Estimate, Authorization, WorkTicket and TimeEntry records</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Deferred service parts</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Potential PartSKU, InventoryLocation, InventoryMovement, Reservation, PurchaseOrder, Receipt and Return records</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Accounting</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Account, JournalEntry, JournalLine, Receivable, Payable, Payment, Settlement, Reconciliation</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Platform</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IdempotencyRecord, DomainEvent, OutboxMessage, AuditEvidence, Attachment, WorkflowInstance</w:t>
            </w:r>
          </w:p>
        </w:tc>
      </w:tr>
    </w:tbl>
    <w:p>
      <w:pPr>
        <w:spacing w:after="0"/>
      </w:pPr>
    </w:p>
    <w:p>
      <w:pPr>
        <w:pStyle w:val="Heading2"/>
      </w:pPr>
      <w:r>
        <w:t>9.2 Data rules</w:t>
      </w:r>
    </w:p>
    <w:p>
      <w:pPr>
        <w:pStyle w:val="ListBullet"/>
        <w:keepLines/>
      </w:pPr>
      <w:r>
        <w:t>UUID/ULID identifiers are opaque. Human document numbers are separate, tenant-scoped, and generated by versioned policy.</w:t>
      </w:r>
    </w:p>
    <w:p>
      <w:pPr>
        <w:pStyle w:val="ListBullet"/>
        <w:keepLines/>
      </w:pPr>
      <w:r>
        <w:t>Every mutable record carries created_at, created_by, updated_at, updated_by, and optimistic version; sensitive changes include reason.</w:t>
      </w:r>
    </w:p>
    <w:p>
      <w:pPr>
        <w:pStyle w:val="ListBullet"/>
        <w:keepLines/>
      </w:pPr>
      <w:r>
        <w:t>Temporal facts use effective_from/effective_to and recorded_at where business truth can arrive late or be corrected.</w:t>
      </w:r>
    </w:p>
    <w:p>
      <w:pPr>
        <w:pStyle w:val="ListBullet"/>
        <w:keepLines/>
      </w:pPr>
      <w:r>
        <w:t>Soft deletion is not a universal answer. Use explicit lifecycle states, retention rules, legal holds, and anonymization where appropriate.</w:t>
      </w:r>
    </w:p>
    <w:p>
      <w:pPr>
        <w:pStyle w:val="ListBullet"/>
        <w:keepLines/>
      </w:pPr>
      <w:r>
        <w:t>JSONB is allowed for provider payload capture, extensible metadata, and versioned envelopes—not for core monetary lines, relationships, status, or authorization facts.</w:t>
      </w:r>
    </w:p>
    <w:p>
      <w:pPr>
        <w:pStyle w:val="ListBullet"/>
        <w:keepLines/>
      </w:pPr>
      <w:r>
        <w:t>Artifacts live in object storage; rows carry tenant, classification, hash, content type, size, malware status, encryption key reference, retention, and legal hold.</w:t>
      </w:r>
    </w:p>
    <w:p>
      <w:pPr>
        <w:pStyle w:val="ListBullet"/>
        <w:keepLines/>
      </w:pPr>
      <w:r>
        <w:t>PII fields are classified and purpose-bound. Analytics uses minimized, tokenized, or de-identified projections.</w:t>
      </w:r>
    </w:p>
    <w:p>
      <w:pPr>
        <w:pStyle w:val="Heading2"/>
      </w:pPr>
      <w:r>
        <w:t>9.3 HTTP contract</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000"/>
        <w:gridCol w:w="7360"/>
      </w:tblGrid>
      <w:tr>
        <w:trPr>
          <w:cantSplit/>
          <w:tblHeader w:val="true"/>
        </w:trPr>
        <w:tc>
          <w:tcPr>
            <w:tcW w:type="dxa" w:w="2000"/>
            <w:tcMar>
              <w:top w:w="80" w:type="dxa"/>
              <w:start w:w="120" w:type="dxa"/>
              <w:bottom w:w="80" w:type="dxa"/>
              <w:end w:w="120" w:type="dxa"/>
            </w:tcMar>
            <w:shd w:fill="F2F4F7"/>
            <w:vAlign w:val="center"/>
          </w:tcPr>
          <w:p>
            <w:pPr>
              <w:keepNext/>
              <w:spacing w:after="0"/>
            </w:pPr>
            <w:r>
              <w:rPr>
                <w:rFonts w:ascii="Calibri" w:hAnsi="Calibri"/>
                <w:b/>
                <w:color w:val="0B2545"/>
                <w:sz w:val="17"/>
              </w:rPr>
              <w:t>Concern</w:t>
            </w:r>
          </w:p>
        </w:tc>
        <w:tc>
          <w:tcPr>
            <w:tcW w:type="dxa" w:w="7360"/>
            <w:tcMar>
              <w:top w:w="80" w:type="dxa"/>
              <w:start w:w="120" w:type="dxa"/>
              <w:bottom w:w="80" w:type="dxa"/>
              <w:end w:w="120" w:type="dxa"/>
            </w:tcMar>
            <w:shd w:fill="F2F4F7"/>
            <w:vAlign w:val="center"/>
          </w:tcPr>
          <w:p>
            <w:pPr>
              <w:keepNext/>
              <w:spacing w:after="0"/>
            </w:pPr>
            <w:r>
              <w:rPr>
                <w:rFonts w:ascii="Calibri" w:hAnsi="Calibri"/>
                <w:b/>
                <w:color w:val="0B2545"/>
                <w:sz w:val="17"/>
              </w:rPr>
              <w:t>Standard</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Versioning</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/api/v1 with additive compatibility policy; breaking changes require a new major contract</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Schema</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OpenAPI 3.1 and JSON Schema generated/validated from one source of truth</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Errors</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RFC 9457 Problem Details with stable type codes, request_id, and safe field details</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Concurrency</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ETag/If-Match or explicit version on updates; 409/412 on conflict</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Idempotency</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Idempotency-Key for all externally retriable mutations; same key + same body returns same result</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Pagination</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Opaque cursor with stable ordering; no unbounded list or offset at high scale</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Bearer token from trusted issuer; tenant and assurance derived by server policy</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Audit</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X-Request-ID propagated; actor, purpose, policy decision, and resource version recorded</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Files</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Pre-signed upload/download with classification, scan, and short-lived authorization</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Webhooks</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Signed timestamped payload, unique event ID, replay window, subscription secret rotation, delivery log</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Async work</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202 Accepted plus operation resource for long jobs; cancellation and status defined</w:t>
            </w:r>
          </w:p>
        </w:tc>
      </w:tr>
    </w:tbl>
    <w:p>
      <w:pPr>
        <w:spacing w:after="0"/>
      </w:pPr>
    </w:p>
    <w:p>
      <w:pPr>
        <w:pStyle w:val="Heading2"/>
      </w:pPr>
      <w:r>
        <w:t>9.4 Event contract</w:t>
      </w:r>
    </w:p>
    <w:p>
      <w:pPr>
        <w:spacing w:before="0" w:after="120" w:line="264" w:lineRule="auto"/>
      </w:pPr>
      <w:r>
        <w:rPr>
          <w:rFonts w:ascii="Calibri" w:hAnsi="Calibri"/>
          <w:b w:val="0"/>
          <w:i w:val="0"/>
          <w:color w:val="1F2328"/>
        </w:rPr>
        <w:t>A domain transaction writes state and an outbox record atomically. A relay publishes an immutable envelope. Consumers record processed event IDs. Events describe completed facts, not remote procedure calls.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000"/>
        <w:gridCol w:w="6360"/>
      </w:tblGrid>
      <w:tr>
        <w:trPr>
          <w:cantSplit/>
          <w:tblHeader w:val="true"/>
        </w:trPr>
        <w:tc>
          <w:tcPr>
            <w:tcW w:type="dxa" w:w="3000"/>
            <w:tcMar>
              <w:top w:w="80" w:type="dxa"/>
              <w:start w:w="120" w:type="dxa"/>
              <w:bottom w:w="80" w:type="dxa"/>
              <w:end w:w="120" w:type="dxa"/>
            </w:tcMar>
            <w:shd w:fill="F2F4F7"/>
            <w:vAlign w:val="center"/>
          </w:tcPr>
          <w:p>
            <w:pPr>
              <w:keepNext/>
              <w:spacing w:after="0"/>
            </w:pPr>
            <w:r>
              <w:rPr>
                <w:rFonts w:ascii="Calibri" w:hAnsi="Calibri"/>
                <w:b/>
                <w:color w:val="0B2545"/>
                <w:sz w:val="17"/>
              </w:rPr>
              <w:t>Envelope field</w:t>
            </w:r>
          </w:p>
        </w:tc>
        <w:tc>
          <w:tcPr>
            <w:tcW w:type="dxa" w:w="6360"/>
            <w:tcMar>
              <w:top w:w="80" w:type="dxa"/>
              <w:start w:w="120" w:type="dxa"/>
              <w:bottom w:w="80" w:type="dxa"/>
              <w:end w:w="120" w:type="dxa"/>
            </w:tcMar>
            <w:shd w:fill="F2F4F7"/>
            <w:vAlign w:val="center"/>
          </w:tcPr>
          <w:p>
            <w:pPr>
              <w:keepNext/>
              <w:spacing w:after="0"/>
            </w:pPr>
            <w:r>
              <w:rPr>
                <w:rFonts w:ascii="Calibri" w:hAnsi="Calibri"/>
                <w:b/>
                <w:color w:val="0B2545"/>
                <w:sz w:val="17"/>
              </w:rPr>
              <w:t>Requirement</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event_id</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Globally unique; used for deduplication</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event_type / version</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Namespaced past-tense fact, e.g., service.estimate_authorized.v1</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occurred_at / recorded_at</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Business time and system time</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tenant_id / organization scope</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Mandatory; never inferred by consumer</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aggregate_type / aggregate_id / version</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Supports ordering and optimistic consistency</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actor / assurance / purpose</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Who or what caused the event and under what authority</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correlation_id / causation_id / trace_id</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End-to-end workflow and diagnostic linkage</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data / metadata</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Schema-validated; PII minimized; artifact references instead of large payloads</w:t>
            </w:r>
          </w:p>
        </w:tc>
      </w:tr>
    </w:tbl>
    <w:p>
      <w:pPr>
        <w:spacing w:after="0"/>
      </w:pPr>
    </w:p>
    <w:p>
      <w:pPr>
        <w:pStyle w:val="Heading2"/>
      </w:pPr>
      <w:r>
        <w:t>9.5 Initial event catalog</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180"/>
        <w:gridCol w:w="1550"/>
        <w:gridCol w:w="4630"/>
      </w:tblGrid>
      <w:tr>
        <w:trPr>
          <w:cantSplit/>
          <w:tblHeader w:val="true"/>
        </w:trPr>
        <w:tc>
          <w:tcPr>
            <w:tcW w:type="dxa" w:w="3180"/>
            <w:tcMar>
              <w:top w:w="80" w:type="dxa"/>
              <w:start w:w="120" w:type="dxa"/>
              <w:bottom w:w="80" w:type="dxa"/>
              <w:end w:w="120" w:type="dxa"/>
            </w:tcMar>
            <w:shd w:fill="F2F4F7"/>
            <w:vAlign w:val="center"/>
          </w:tcPr>
          <w:p>
            <w:pPr>
              <w:keepNext/>
              <w:spacing w:after="0"/>
            </w:pPr>
            <w:r>
              <w:rPr>
                <w:rFonts w:ascii="Calibri" w:hAnsi="Calibri"/>
                <w:b/>
                <w:color w:val="0B2545"/>
                <w:sz w:val="16"/>
              </w:rPr>
              <w:t>Event</w:t>
            </w:r>
          </w:p>
        </w:tc>
        <w:tc>
          <w:tcPr>
            <w:tcW w:type="dxa" w:w="1550"/>
            <w:tcMar>
              <w:top w:w="80" w:type="dxa"/>
              <w:start w:w="120" w:type="dxa"/>
              <w:bottom w:w="80" w:type="dxa"/>
              <w:end w:w="120" w:type="dxa"/>
            </w:tcMar>
            <w:shd w:fill="F2F4F7"/>
            <w:vAlign w:val="center"/>
          </w:tcPr>
          <w:p>
            <w:pPr>
              <w:keepNext/>
              <w:spacing w:after="0"/>
            </w:pPr>
            <w:r>
              <w:rPr>
                <w:rFonts w:ascii="Calibri" w:hAnsi="Calibri"/>
                <w:b/>
                <w:color w:val="0B2545"/>
                <w:sz w:val="16"/>
              </w:rPr>
              <w:t>Owner</w:t>
            </w:r>
          </w:p>
        </w:tc>
        <w:tc>
          <w:tcPr>
            <w:tcW w:type="dxa" w:w="4630"/>
            <w:tcMar>
              <w:top w:w="80" w:type="dxa"/>
              <w:start w:w="120" w:type="dxa"/>
              <w:bottom w:w="80" w:type="dxa"/>
              <w:end w:w="120" w:type="dxa"/>
            </w:tcMar>
            <w:shd w:fill="F2F4F7"/>
            <w:vAlign w:val="center"/>
          </w:tcPr>
          <w:p>
            <w:pPr>
              <w:keepNext/>
              <w:spacing w:after="0"/>
            </w:pPr>
            <w:r>
              <w:rPr>
                <w:rFonts w:ascii="Calibri" w:hAnsi="Calibri"/>
                <w:b/>
                <w:color w:val="0B2545"/>
                <w:sz w:val="16"/>
              </w:rPr>
              <w:t>Consumers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party.merged.v1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Party</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CRM, inventory, deal and analytics projections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vehicle.ownership_recorded.v1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Vehicle</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 360 and compliance</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inventory.stock_acquired.v1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Retail readiness, merchandising and accounting intent</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inventory.listing_published.v1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Marketplaces, CRM matching and analytics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marketing.campaign_activated.v1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Marketing</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Channel delivery, attribution and compliance</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crm.lead_assigned.v1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CRM</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BDC tasks, SLA timers and management alerts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crm.opportunity_stage_changed.v1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CRM</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Tasks, attribution, analytics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sales.appraisal_approved.v1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Sales</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Trade, desking and manager evidence</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sales.deal_version_accepted.v1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Sales</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Deal jacket, F&amp;I, accounting intent</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finance.lender_condition_changed.v1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F&amp;I</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Deal, funding queue and notifications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delivery.vehicle_delivered.v1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Delivery</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 sold state, title, accounting and analytics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payment.settled.v1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Payments</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Reconciliation and journal posting</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accounting.journal_posted.v1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Accounting</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Analytics and close status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integration.delivery_failed.v1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Integration</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Ops exception queue</w:t>
            </w:r>
          </w:p>
        </w:tc>
      </w:tr>
    </w:tbl>
    <w:p>
      <w:pPr>
        <w:spacing w:after="0"/>
      </w:pPr>
    </w:p>
    <w:p>
      <w:r>
        <w:br w:type="page"/>
      </w:r>
    </w:p>
    <w:p>
      <w:pPr>
        <w:pStyle w:val="Heading1"/>
      </w:pPr>
      <w:r>
        <w:t>10. Security, Privacy, and Compliance</w:t>
      </w:r>
    </w:p>
    <w:p>
      <w:pPr>
        <w:pStyle w:val="Heading2"/>
      </w:pPr>
      <w:r>
        <w:t>10.1 Security architecture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900"/>
        <w:gridCol w:w="7460"/>
      </w:tblGrid>
      <w:tr>
        <w:trPr>
          <w:cantSplit/>
          <w:tblHeader w:val="true"/>
        </w:trPr>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6"/>
              </w:rPr>
              <w:t>Control plane</w:t>
            </w:r>
          </w:p>
        </w:tc>
        <w:tc>
          <w:tcPr>
            <w:tcW w:type="dxa" w:w="7460"/>
            <w:tcMar>
              <w:top w:w="80" w:type="dxa"/>
              <w:start w:w="120" w:type="dxa"/>
              <w:bottom w:w="80" w:type="dxa"/>
              <w:end w:w="120" w:type="dxa"/>
            </w:tcMar>
            <w:shd w:fill="F2F4F7"/>
            <w:vAlign w:val="center"/>
          </w:tcPr>
          <w:p>
            <w:pPr>
              <w:keepNext/>
              <w:spacing w:after="0"/>
            </w:pPr>
            <w:r>
              <w:rPr>
                <w:rFonts w:ascii="Calibri" w:hAnsi="Calibri"/>
                <w:b/>
                <w:color w:val="0B2545"/>
                <w:sz w:val="16"/>
              </w:rPr>
              <w:t>Required design</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Identity</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OIDC; SAML for enterprise; passkeys/MFA; adaptive assurance; SCIM; short sessions for sensitive roles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Authorization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RBAC baseline plus ABAC for tenant, legal entity, rooftop, department, ownership, amount, purpose, and assurance</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Data isolation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RLS, tenant-qualified FKs, per-tenant export, support-access approvals, continuous negative tests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Encryption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TLS; KMS envelope encryption; rotation; field-level protection/tokenization for highly sensitive identifiers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Secrets</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Managed secret store, workload identity, no long-lived cloud keys, provider credential rotation</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Application edge</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WAF, rate limits, request/body caps, secure headers, CORS allowlists, bot/fraud controls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Software supply chain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Pinned lockfiles/images, SAST/SCA/secret scan, SBOM, signed artifacts, provenance, patch SLO</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Audit</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Append-only evidence, hash chaining or WORM export, clock integrity, actor/session/policy/resource versions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Secure operations</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Least privilege, break glass, JIT production access, session recording, change approval, incident playbooks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Testing</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Threat models, code review, DAST, penetration testing, tenant-isolation suite, backup restore, abuse cases</w:t>
            </w:r>
          </w:p>
        </w:tc>
      </w:tr>
    </w:tbl>
    <w:p>
      <w:pPr>
        <w:spacing w:after="0"/>
      </w:pPr>
    </w:p>
    <w:p>
      <w:pPr>
        <w:pStyle w:val="Heading2"/>
      </w:pPr>
      <w:r>
        <w:t>10.2 U.S. dealer control map</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800"/>
        <w:gridCol w:w="4200"/>
        <w:gridCol w:w="3360"/>
      </w:tblGrid>
      <w:tr>
        <w:trPr>
          <w:cantSplit/>
          <w:tblHeader w:val="true"/>
        </w:trPr>
        <w:tc>
          <w:tcPr>
            <w:tcW w:type="dxa" w:w="1800"/>
            <w:tcMar>
              <w:top w:w="80" w:type="dxa"/>
              <w:start w:w="120" w:type="dxa"/>
              <w:bottom w:w="80" w:type="dxa"/>
              <w:end w:w="120" w:type="dxa"/>
            </w:tcMar>
            <w:shd w:fill="FFF4CE"/>
            <w:vAlign w:val="center"/>
          </w:tcPr>
          <w:p>
            <w:pPr>
              <w:keepNext/>
              <w:spacing w:after="0"/>
            </w:pPr>
            <w:r>
              <w:rPr>
                <w:rFonts w:ascii="Calibri" w:hAnsi="Calibri"/>
                <w:b/>
                <w:color w:val="0B2545"/>
                <w:sz w:val="14"/>
              </w:rPr>
              <w:t>Area</w:t>
            </w:r>
          </w:p>
        </w:tc>
        <w:tc>
          <w:tcPr>
            <w:tcW w:type="dxa" w:w="4200"/>
            <w:tcMar>
              <w:top w:w="80" w:type="dxa"/>
              <w:start w:w="120" w:type="dxa"/>
              <w:bottom w:w="80" w:type="dxa"/>
              <w:end w:w="120" w:type="dxa"/>
            </w:tcMar>
            <w:shd w:fill="FFF4CE"/>
            <w:vAlign w:val="center"/>
          </w:tcPr>
          <w:p>
            <w:pPr>
              <w:keepNext/>
              <w:spacing w:after="0"/>
            </w:pPr>
            <w:r>
              <w:rPr>
                <w:rFonts w:ascii="Calibri" w:hAnsi="Calibri"/>
                <w:b/>
                <w:color w:val="0B2545"/>
                <w:sz w:val="14"/>
              </w:rPr>
              <w:t>Engineering implication</w:t>
            </w:r>
          </w:p>
        </w:tc>
        <w:tc>
          <w:tcPr>
            <w:tcW w:type="dxa" w:w="3360"/>
            <w:tcMar>
              <w:top w:w="80" w:type="dxa"/>
              <w:start w:w="120" w:type="dxa"/>
              <w:bottom w:w="80" w:type="dxa"/>
              <w:end w:w="120" w:type="dxa"/>
            </w:tcMar>
            <w:shd w:fill="FFF4CE"/>
            <w:vAlign w:val="center"/>
          </w:tcPr>
          <w:p>
            <w:pPr>
              <w:keepNext/>
              <w:spacing w:after="0"/>
            </w:pPr>
            <w:r>
              <w:rPr>
                <w:rFonts w:ascii="Calibri" w:hAnsi="Calibri"/>
                <w:b/>
                <w:color w:val="0B2545"/>
                <w:sz w:val="14"/>
              </w:rPr>
              <w:t>Product control</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FTC Safeguards Rule / GLBA</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Qualified security program, risk assessment, access controls, encryption, MFA, monitoring, service-provider oversight, incident response, reporting</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Security control library and annual evidence package [C1–C2]</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FTC breach notification</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Evaluate notification duty for unauthorized acquisition of unencrypted customer information affecting at least 500 consumers; FTC FAQ states 30 days after discovery</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Incident workflow, data inventory, affected-record query, decision/evidence clock [C1]</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FTC Red Flags Rule</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Written identity-theft prevention program appropriate to covered accounts and detected red flags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Policy, alerts, case management, resolution evidence, periodic review [C3]</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FCRA / risk-based pricing</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Permissible purpose, consumer report controls, adverse action and risk-based pricing/credit score disclosures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Consent/evidence, provider response lineage, compliant notice generation and delivery [C6]</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ECOA / Regulation B</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Fair treatment, action-taken and adverse-action notices, reasons, timing, retention</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Decision provenance, reason codes, human/compliance review, immutable notices [C5]</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PCI DSS v4.0.1</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Protect payment account data and operate applicable PCI controls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Use hosted/tokenized payments to reduce scope; never store raw PAN/CVV [C4]</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IRS Form 8300</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Report qualifying cash transactions over $10,000 and retain supporting evidence</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Cash aggregation rules, alerts, case workflow, filing/reference tracking [C7]</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OFAC sanctions</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Risk-based sanctions compliance and screening appropriate to transactions and parties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Provider integration, fuzzy match case review, list/version evidence, re-screen policy [C8]</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TCPA / CAN-SPAM / privacy</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Purpose- and channel-specific consent, opt-outs, quiet hours, suppression, notices, retention</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Central consent ledger and communication policy</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E-SIGN / UETA / records</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Consent to electronic records, attribution, intent, integrity, accessibility, retention</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Versioned document package, signing ceremony, certificate/evidence artifact</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State/OEM/DMV obligations</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Jurisdiction- and franchise-specific forms, fees, disclosures, warranty, titling, record rules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Effective-dated jurisdiction packs validated by counsel/provider</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9B1C1C"/>
          <w:left w:val="single" w:sz="6" w:space="0" w:color="9B1C1C"/>
          <w:bottom w:val="single" w:sz="6" w:space="0" w:color="9B1C1C"/>
          <w:right w:val="single" w:sz="6" w:space="0" w:color="9B1C1C"/>
          <w:insideH w:val="single" w:sz="6" w:space="0" w:color="9B1C1C"/>
          <w:insideV w:val="single" w:sz="6" w:space="0" w:color="9B1C1C"/>
        </w:tblBorders>
      </w:tblPr>
      <w:tblGrid>
        <w:gridCol w:w="9360"/>
      </w:tblGrid>
      <w:tr>
        <w:trPr>
          <w:cantSplit/>
        </w:trPr>
        <w:tc>
          <w:tcPr>
            <w:tcW w:type="dxa" w:w="9360"/>
            <w:tcMar>
              <w:top w:w="80" w:type="dxa"/>
              <w:start w:w="120" w:type="dxa"/>
              <w:bottom w:w="80" w:type="dxa"/>
              <w:end w:w="120" w:type="dxa"/>
            </w:tcMar>
            <w:shd w:fill="FCE8E6"/>
            <w:vAlign w:val="center"/>
          </w:tcPr>
          <w:p>
            <w:pPr>
              <w:spacing w:after="60"/>
            </w:pPr>
            <w:r>
              <w:rPr>
                <w:rFonts w:ascii="Calibri" w:hAnsi="Calibri"/>
                <w:b/>
                <w:color w:val="9B1C1C"/>
                <w:sz w:val="21"/>
              </w:rPr>
              <w:t>Legal validation required</w:t>
            </w:r>
          </w:p>
          <w:p>
            <w:pPr>
              <w:spacing w:after="0" w:line="264" w:lineRule="auto"/>
            </w:pPr>
            <w:r>
              <w:rPr>
                <w:rFonts w:ascii="Calibri" w:hAnsi="Calibri"/>
                <w:color w:val="1F2328"/>
                <w:sz w:val="21"/>
              </w:rPr>
              <w:t>The product must support compliant operations, but software architecture cannot decide which entity is the creditor, which dealer activities create specific duties, or which state/OEM rules apply. Assign accountable legal/compliance owners and preserve their approved policy versions.</w:t>
            </w:r>
          </w:p>
        </w:tc>
      </w:tr>
    </w:tbl>
    <w:p>
      <w:pPr>
        <w:spacing w:after="0"/>
      </w:pPr>
    </w:p>
    <w:p>
      <w:pPr>
        <w:pStyle w:val="Heading2"/>
      </w:pPr>
      <w:r>
        <w:t>10.3 Data privacy and retention</w:t>
      </w:r>
    </w:p>
    <w:p>
      <w:pPr>
        <w:pStyle w:val="ListBullet"/>
        <w:keepLines/>
      </w:pPr>
      <w:r>
        <w:t>Maintain a data catalog mapping field → classification → purpose → lawful/business basis → processors → retention → deletion/anonymization method.</w:t>
      </w:r>
    </w:p>
    <w:p>
      <w:pPr>
        <w:pStyle w:val="ListBullet"/>
        <w:keepLines/>
      </w:pPr>
      <w:r>
        <w:t>Separate customer-facing access from employee access; require reauthentication for sensitive documents, identity data, and payment changes.</w:t>
      </w:r>
    </w:p>
    <w:p>
      <w:pPr>
        <w:pStyle w:val="ListBullet"/>
        <w:keepLines/>
      </w:pPr>
      <w:r>
        <w:t>Support access, export, correction, restriction, and deletion/anonymization workflows subject to statutory and accounting retention.</w:t>
      </w:r>
    </w:p>
    <w:p>
      <w:pPr>
        <w:pStyle w:val="ListBullet"/>
        <w:keepLines/>
      </w:pPr>
      <w:r>
        <w:t>Partition analytics and AI datasets from operational access; remove direct identifiers where not essential.</w:t>
      </w:r>
    </w:p>
    <w:p>
      <w:pPr>
        <w:pStyle w:val="ListBullet"/>
        <w:keepLines/>
      </w:pPr>
      <w:r>
        <w:t>Provide dealer-configurable legal holds and immutable record preservation without making every operational record permanently mutable or undeletable.</w:t>
      </w:r>
    </w:p>
    <w:p>
      <w:r>
        <w:br w:type="page"/>
      </w:r>
    </w:p>
    <w:p>
      <w:pPr>
        <w:pStyle w:val="Heading1"/>
      </w:pPr>
      <w:r>
        <w:t>11. Reliability, Operations, and Quality</w:t>
      </w:r>
    </w:p>
    <w:p>
      <w:pPr>
        <w:pStyle w:val="Heading2"/>
      </w:pPr>
      <w:r>
        <w:t>11.1 Initial service objectives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900"/>
        <w:gridCol w:w="4440"/>
        <w:gridCol w:w="3020"/>
      </w:tblGrid>
      <w:tr>
        <w:trPr>
          <w:cantSplit/>
          <w:tblHeader w:val="true"/>
        </w:trPr>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6"/>
              </w:rPr>
              <w:t>Objective</w:t>
            </w:r>
          </w:p>
        </w:tc>
        <w:tc>
          <w:tcPr>
            <w:tcW w:type="dxa" w:w="4440"/>
            <w:tcMar>
              <w:top w:w="80" w:type="dxa"/>
              <w:start w:w="120" w:type="dxa"/>
              <w:bottom w:w="80" w:type="dxa"/>
              <w:end w:w="120" w:type="dxa"/>
            </w:tcMar>
            <w:shd w:fill="F2F4F7"/>
            <w:vAlign w:val="center"/>
          </w:tcPr>
          <w:p>
            <w:pPr>
              <w:keepNext/>
              <w:spacing w:after="0"/>
            </w:pPr>
            <w:r>
              <w:rPr>
                <w:rFonts w:ascii="Calibri" w:hAnsi="Calibri"/>
                <w:b/>
                <w:color w:val="0B2545"/>
                <w:sz w:val="16"/>
              </w:rPr>
              <w:t>Target</w:t>
            </w:r>
          </w:p>
        </w:tc>
        <w:tc>
          <w:tcPr>
            <w:tcW w:type="dxa" w:w="3020"/>
            <w:tcMar>
              <w:top w:w="80" w:type="dxa"/>
              <w:start w:w="120" w:type="dxa"/>
              <w:bottom w:w="80" w:type="dxa"/>
              <w:end w:w="120" w:type="dxa"/>
            </w:tcMar>
            <w:shd w:fill="F2F4F7"/>
            <w:vAlign w:val="center"/>
          </w:tcPr>
          <w:p>
            <w:pPr>
              <w:keepNext/>
              <w:spacing w:after="0"/>
            </w:pPr>
            <w:r>
              <w:rPr>
                <w:rFonts w:ascii="Calibri" w:hAnsi="Calibri"/>
                <w:b/>
                <w:color w:val="0B2545"/>
                <w:sz w:val="16"/>
              </w:rPr>
              <w:t>Proof</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Availability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99.9% sellable V1; 99.95% enterprise tier after proven operations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Monthly SLO with error-budget policy</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Interactive API</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p95 reads &lt;300 ms; p95 writes &lt;700 ms excluding documented external/async work</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Measured per endpoint class and tenant-safe</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 authorization</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p95 page/action &lt;2 s on mobile broadband</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Synthetic journey plus real-user monitoring</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Async delivery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95% of ordinary events/webhooks dispatched &lt;60 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Backlog age and poison-message SLO</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Durability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No acknowledged transaction loss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ACID state + transactional outbox</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Recovery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RPO ≤5 min; RTO ≤60 min for critical transaction path</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Quarterly restore and annual regional exercise</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Accessibility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WCAG 2.2 AA</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Automated and manual keyboard/screen-reader checks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Localization</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English and Spanish for V1 management, sales and customer journeys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No hard-coded customer-facing strings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Audit retention</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Configurable policy, commonly seven years for financial/evidence records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Legal/compliance approval by record class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Offline tolerance</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Authorized inventory and sales mobile flows can retain safe drafts and queue permitted updates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Conflict policy and encrypted local storage</w:t>
            </w:r>
          </w:p>
        </w:tc>
      </w:tr>
    </w:tbl>
    <w:p>
      <w:pPr>
        <w:spacing w:after="0"/>
      </w:pPr>
    </w:p>
    <w:p>
      <w:pPr>
        <w:pStyle w:val="Heading2"/>
      </w:pPr>
      <w:r>
        <w:t>11.2 Delivery and migration discipline</w:t>
      </w:r>
    </w:p>
    <w:p>
      <w:pPr>
        <w:pStyle w:val="ListBullet"/>
        <w:keepLines/>
      </w:pPr>
      <w:r>
        <w:t>Migrations are immutable, checksummed, serialized with advisory locks, and tested from every supported prior version.</w:t>
      </w:r>
    </w:p>
    <w:p>
      <w:pPr>
        <w:pStyle w:val="ListBullet"/>
        <w:keepLines/>
      </w:pPr>
      <w:r>
        <w:t>Use expand/migrate/contract changes. Application versions remain compatible across rolling deployment windows.</w:t>
      </w:r>
    </w:p>
    <w:p>
      <w:pPr>
        <w:pStyle w:val="ListBullet"/>
        <w:keepLines/>
      </w:pPr>
      <w:r>
        <w:t>Backfills are resumable, rate-limited, observable, tenant-scoped, and produce reconciliation reports.</w:t>
      </w:r>
    </w:p>
    <w:p>
      <w:pPr>
        <w:pStyle w:val="ListBullet"/>
        <w:keepLines/>
      </w:pPr>
      <w:r>
        <w:t>Every release includes database compatibility, rollback decision, feature-flag plan, and post-deploy verification.</w:t>
      </w:r>
    </w:p>
    <w:p>
      <w:pPr>
        <w:pStyle w:val="ListBullet"/>
        <w:keepLines/>
      </w:pPr>
      <w:r>
        <w:t>Production deploys use progressive exposure and automatic rollback on defined SLO/error signals.</w:t>
      </w:r>
    </w:p>
    <w:p>
      <w:pPr>
        <w:pStyle w:val="ListBullet"/>
        <w:keepLines/>
      </w:pPr>
      <w:r>
        <w:t>Backups are not accepted until a separate environment restores them and application-level integrity checks pass.</w:t>
      </w:r>
    </w:p>
    <w:p>
      <w:pPr>
        <w:pStyle w:val="Heading2"/>
      </w:pPr>
      <w:r>
        <w:t>11.3 Required test pyramid</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550"/>
        <w:gridCol w:w="4430"/>
        <w:gridCol w:w="3380"/>
      </w:tblGrid>
      <w:tr>
        <w:trPr>
          <w:cantSplit/>
          <w:tblHeader w:val="true"/>
        </w:trPr>
        <w:tc>
          <w:tcPr>
            <w:tcW w:type="dxa" w:w="1550"/>
            <w:tcMar>
              <w:top w:w="80" w:type="dxa"/>
              <w:start w:w="120" w:type="dxa"/>
              <w:bottom w:w="80" w:type="dxa"/>
              <w:end w:w="120" w:type="dxa"/>
            </w:tcMar>
            <w:shd w:fill="F2F4F7"/>
            <w:vAlign w:val="center"/>
          </w:tcPr>
          <w:p>
            <w:pPr>
              <w:keepNext/>
              <w:spacing w:after="0"/>
            </w:pPr>
            <w:r>
              <w:rPr>
                <w:rFonts w:ascii="Calibri" w:hAnsi="Calibri"/>
                <w:b/>
                <w:color w:val="0B2545"/>
                <w:sz w:val="16"/>
              </w:rPr>
              <w:t>Layer</w:t>
            </w:r>
          </w:p>
        </w:tc>
        <w:tc>
          <w:tcPr>
            <w:tcW w:type="dxa" w:w="4430"/>
            <w:tcMar>
              <w:top w:w="80" w:type="dxa"/>
              <w:start w:w="120" w:type="dxa"/>
              <w:bottom w:w="80" w:type="dxa"/>
              <w:end w:w="120" w:type="dxa"/>
            </w:tcMar>
            <w:shd w:fill="F2F4F7"/>
            <w:vAlign w:val="center"/>
          </w:tcPr>
          <w:p>
            <w:pPr>
              <w:keepNext/>
              <w:spacing w:after="0"/>
            </w:pPr>
            <w:r>
              <w:rPr>
                <w:rFonts w:ascii="Calibri" w:hAnsi="Calibri"/>
                <w:b/>
                <w:color w:val="0B2545"/>
                <w:sz w:val="16"/>
              </w:rPr>
              <w:t>Examples</w:t>
            </w:r>
          </w:p>
        </w:tc>
        <w:tc>
          <w:tcPr>
            <w:tcW w:type="dxa" w:w="3380"/>
            <w:tcMar>
              <w:top w:w="80" w:type="dxa"/>
              <w:start w:w="120" w:type="dxa"/>
              <w:bottom w:w="80" w:type="dxa"/>
              <w:end w:w="120" w:type="dxa"/>
            </w:tcMar>
            <w:shd w:fill="F2F4F7"/>
            <w:vAlign w:val="center"/>
          </w:tcPr>
          <w:p>
            <w:pPr>
              <w:keepNext/>
              <w:spacing w:after="0"/>
            </w:pPr>
            <w:r>
              <w:rPr>
                <w:rFonts w:ascii="Calibri" w:hAnsi="Calibri"/>
                <w:b/>
                <w:color w:val="0B2545"/>
                <w:sz w:val="16"/>
              </w:rPr>
              <w:t>Minimum proof</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Domain</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State-machine, pricing, tax, allocation, ledger balance, policy</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Unit + property-based + mutation</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Application</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Commands/queries, authorization, idempotency, workflows</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Integration with real Postgres/Redis/queue emulators</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Contract</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OpenAPI compatibility, provider adapters, webhooks, events</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Schema and consumer-driven contract suites</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Tenant/security</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Cross-tenant references, RLS, roles, support, enumeration</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Negative mutation tests and penetration tests</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Concurrency</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Double booking, double authorization, reservation, clocking, payment</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Deterministic race suites with locks/retries</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Journey</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Vehicle acquisition-to-retail; lead-to-sale; funding/delivery; returns/refunds; close/reopen</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Browser/mobile E2E against production-like env</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Data</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Migrations, backfills, reconciliation, import, export, restore</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Golden datasets and sampled production-like volume</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Nonfunctional</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Load, soak, chaos, accessibility, localization, DR</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Release and quarterly gates</w:t>
            </w:r>
          </w:p>
        </w:tc>
      </w:tr>
    </w:tbl>
    <w:p>
      <w:pPr>
        <w:spacing w:after="0"/>
      </w:pPr>
    </w:p>
    <w:p>
      <w:pPr>
        <w:pStyle w:val="Heading2"/>
      </w:pPr>
      <w:r>
        <w:t>11.4 Operational dashboards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200"/>
        <w:gridCol w:w="7160"/>
      </w:tblGrid>
      <w:tr>
        <w:trPr>
          <w:cantSplit/>
          <w:tblHeader w:val="true"/>
        </w:trPr>
        <w:tc>
          <w:tcPr>
            <w:tcW w:type="dxa" w:w="2200"/>
            <w:tcMar>
              <w:top w:w="80" w:type="dxa"/>
              <w:start w:w="120" w:type="dxa"/>
              <w:bottom w:w="80" w:type="dxa"/>
              <w:end w:w="120" w:type="dxa"/>
            </w:tcMar>
            <w:shd w:fill="F2F4F7"/>
            <w:vAlign w:val="center"/>
          </w:tcPr>
          <w:p>
            <w:pPr>
              <w:keepNext/>
              <w:spacing w:after="0"/>
            </w:pPr>
            <w:r>
              <w:rPr>
                <w:rFonts w:ascii="Calibri" w:hAnsi="Calibri"/>
                <w:b/>
                <w:color w:val="0B2545"/>
                <w:sz w:val="17"/>
              </w:rPr>
              <w:t>Audience</w:t>
            </w:r>
          </w:p>
        </w:tc>
        <w:tc>
          <w:tcPr>
            <w:tcW w:type="dxa" w:w="7160"/>
            <w:tcMar>
              <w:top w:w="80" w:type="dxa"/>
              <w:start w:w="120" w:type="dxa"/>
              <w:bottom w:w="80" w:type="dxa"/>
              <w:end w:w="120" w:type="dxa"/>
            </w:tcMar>
            <w:shd w:fill="F2F4F7"/>
            <w:vAlign w:val="center"/>
          </w:tcPr>
          <w:p>
            <w:pPr>
              <w:keepNext/>
              <w:spacing w:after="0"/>
            </w:pPr>
            <w:r>
              <w:rPr>
                <w:rFonts w:ascii="Calibri" w:hAnsi="Calibri"/>
                <w:b/>
                <w:color w:val="0B2545"/>
                <w:sz w:val="17"/>
              </w:rPr>
              <w:t>Signals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Engineering on-call</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SLO burn, saturation, queue age, DB locks, retries, integration failures, deployment health</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Dealer operator</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Inventory age and days-to-live, lead response, appointment/show/close, appraisal variance, gross, funding time and delivery exceptions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Finance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Unposted intents, journal imbalance attempts, cash/settlement variance, AR/AP aging, close progress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Security/compliance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Privileged access, red flags, identity assurance, control failures, evidence completeness, retention holds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SaaS operations</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provisioning, plan usage, connector health, data migration, support access, cost-to-serve</w:t>
            </w:r>
          </w:p>
        </w:tc>
      </w:tr>
    </w:tbl>
    <w:p>
      <w:pPr>
        <w:spacing w:after="0"/>
      </w:pPr>
    </w:p>
    <w:p>
      <w:r>
        <w:br w:type="page"/>
      </w:r>
    </w:p>
    <w:p>
      <w:pPr>
        <w:pStyle w:val="Heading1"/>
      </w:pPr>
      <w:r>
        <w:t>12. Experience, Analytics, and Governed AI</w:t>
      </w:r>
    </w:p>
    <w:p>
      <w:pPr>
        <w:pStyle w:val="Heading2"/>
      </w:pPr>
      <w:r>
        <w:t>12.1 Product surfaces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150"/>
        <w:gridCol w:w="7210"/>
      </w:tblGrid>
      <w:tr>
        <w:trPr>
          <w:cantSplit/>
          <w:tblHeader w:val="true"/>
        </w:trPr>
        <w:tc>
          <w:tcPr>
            <w:tcW w:type="dxa" w:w="2150"/>
            <w:tcMar>
              <w:top w:w="80" w:type="dxa"/>
              <w:start w:w="120" w:type="dxa"/>
              <w:bottom w:w="80" w:type="dxa"/>
              <w:end w:w="120" w:type="dxa"/>
            </w:tcMar>
            <w:shd w:fill="F2F4F7"/>
            <w:vAlign w:val="center"/>
          </w:tcPr>
          <w:p>
            <w:pPr>
              <w:keepNext/>
              <w:spacing w:after="0"/>
            </w:pPr>
            <w:r>
              <w:rPr>
                <w:rFonts w:ascii="Calibri" w:hAnsi="Calibri"/>
                <w:b/>
                <w:color w:val="0B2545"/>
                <w:sz w:val="17"/>
              </w:rPr>
              <w:t>Surface</w:t>
            </w:r>
          </w:p>
        </w:tc>
        <w:tc>
          <w:tcPr>
            <w:tcW w:type="dxa" w:w="7210"/>
            <w:tcMar>
              <w:top w:w="80" w:type="dxa"/>
              <w:start w:w="120" w:type="dxa"/>
              <w:bottom w:w="80" w:type="dxa"/>
              <w:end w:w="120" w:type="dxa"/>
            </w:tcMar>
            <w:shd w:fill="F2F4F7"/>
            <w:vAlign w:val="center"/>
          </w:tcPr>
          <w:p>
            <w:pPr>
              <w:keepNext/>
              <w:spacing w:after="0"/>
            </w:pPr>
            <w:r>
              <w:rPr>
                <w:rFonts w:ascii="Calibri" w:hAnsi="Calibri"/>
                <w:b/>
                <w:color w:val="0B2545"/>
                <w:sz w:val="17"/>
              </w:rPr>
              <w:t>Core jobs</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Owner / general manager</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Cross-rooftop inventory, marketing, sales, gross, funding, delivery, goals, approvals, alerts and drill-down</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Inventory manager</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Acquisition, stock identity, documents, location, readiness, pricing, media, aging, holds, transfers and listings</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Marketing / BDC</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Audiences, consent, campaigns, attribution, lead queues, SLA tasks, appointments, suppression and ROI</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Sales / desk</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 360, leads, communications, inventory matching, appraisal, desking, approvals and deal collaboration</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F&amp;I / title / delivery</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Credit and lender coordination, products, conditions, notices, deposits, funding, title, registration and handoff</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 vehicle selection, saved journey, trade, deal terms, documents, e-sign, payment and delivery status</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Accounting / controller</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Cashiering, exceptions, subledgers, journals, reconciliation, close, consolidated reporting</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Admin / support</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Tenant/org setup, policies, entitlements, imports, integrations, access, health, evidence</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Developer / partner</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API docs, sandbox, credentials, scopes, subscriptions, usage, delivery logs, certification</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Deferred Fixed Ops</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Inherited module only; no new advisor, technician, service-parts or repair workflow before FBL-300+</w:t>
            </w:r>
          </w:p>
        </w:tc>
      </w:tr>
    </w:tbl>
    <w:p>
      <w:pPr>
        <w:spacing w:after="0"/>
      </w:pPr>
    </w:p>
    <w:p>
      <w:pPr>
        <w:pStyle w:val="Heading2"/>
      </w:pPr>
      <w:r>
        <w:t>12.2 Experience rules</w:t>
      </w:r>
    </w:p>
    <w:p>
      <w:pPr>
        <w:pStyle w:val="ListBullet"/>
        <w:keepLines/>
      </w:pPr>
      <w:r>
        <w:t>Design around exception queues and next-best actions, not database CRUD screens.</w:t>
      </w:r>
    </w:p>
    <w:p>
      <w:pPr>
        <w:pStyle w:val="ListBullet"/>
        <w:keepLines/>
      </w:pPr>
      <w:r>
        <w:t>Show the source and effective version of price, policy, customer consent, and external decision.</w:t>
      </w:r>
    </w:p>
    <w:p>
      <w:pPr>
        <w:pStyle w:val="ListBullet"/>
        <w:keepLines/>
      </w:pPr>
      <w:r>
        <w:t>Preserve a shared timeline across customer, vehicle, stock unit, lead, deal, document, funding and communication while respecting role scopes.</w:t>
      </w:r>
    </w:p>
    <w:p>
      <w:pPr>
        <w:pStyle w:val="ListBullet"/>
        <w:keepLines/>
      </w:pPr>
      <w:r>
        <w:t>Make high-risk actions visually distinct and require reason, preview, assurance, and confirmation.</w:t>
      </w:r>
    </w:p>
    <w:p>
      <w:pPr>
        <w:pStyle w:val="ListBullet"/>
        <w:keepLines/>
      </w:pPr>
      <w:r>
        <w:t>Build responsive, keyboard-complete, screen-reader-friendly workflows; mobile inventory and sales users need resilient capture and offline-safe drafts where authorized.</w:t>
      </w:r>
    </w:p>
    <w:p>
      <w:pPr>
        <w:pStyle w:val="ListBullet"/>
        <w:keepLines/>
      </w:pPr>
      <w:r>
        <w:t>Use a common design system, localization keys, telemetry events, and generated typed clients across every surface.</w:t>
      </w:r>
    </w:p>
    <w:p>
      <w:pPr>
        <w:pStyle w:val="Heading2"/>
      </w:pPr>
      <w:r>
        <w:t>12.3 Analytics architecture</w:t>
      </w:r>
    </w:p>
    <w:p>
      <w:pPr>
        <w:spacing w:before="0" w:after="120" w:line="264" w:lineRule="auto"/>
      </w:pPr>
      <w:r>
        <w:rPr>
          <w:rFonts w:ascii="Calibri" w:hAnsi="Calibri"/>
          <w:b w:val="0"/>
          <w:i w:val="0"/>
          <w:color w:val="1F2328"/>
        </w:rPr>
        <w:t>Operational metrics must be defined in a versioned semantic layer. Domain events and CDC feed a warehouse/lakehouse; transformations produce conformed customer, vehicle, inventory, campaign, lead, deal, funding, delivery and accounting dimensions/facts. Every dashboard metric declares grain, filters, time semantics, currency conversion, and source lineage.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100"/>
        <w:gridCol w:w="7260"/>
      </w:tblGrid>
      <w:tr>
        <w:trPr>
          <w:cantSplit/>
          <w:tblHeader w:val="true"/>
        </w:trPr>
        <w:tc>
          <w:tcPr>
            <w:tcW w:type="dxa" w:w="2100"/>
            <w:tcMar>
              <w:top w:w="80" w:type="dxa"/>
              <w:start w:w="120" w:type="dxa"/>
              <w:bottom w:w="80" w:type="dxa"/>
              <w:end w:w="120" w:type="dxa"/>
            </w:tcMar>
            <w:shd w:fill="F2F4F7"/>
            <w:vAlign w:val="center"/>
          </w:tcPr>
          <w:p>
            <w:pPr>
              <w:keepNext/>
              <w:spacing w:after="0"/>
            </w:pPr>
            <w:r>
              <w:rPr>
                <w:rFonts w:ascii="Calibri" w:hAnsi="Calibri"/>
                <w:b/>
                <w:color w:val="0B2545"/>
                <w:sz w:val="17"/>
              </w:rPr>
              <w:t>North-star area</w:t>
            </w:r>
          </w:p>
        </w:tc>
        <w:tc>
          <w:tcPr>
            <w:tcW w:type="dxa" w:w="7260"/>
            <w:tcMar>
              <w:top w:w="80" w:type="dxa"/>
              <w:start w:w="120" w:type="dxa"/>
              <w:bottom w:w="80" w:type="dxa"/>
              <w:end w:w="120" w:type="dxa"/>
            </w:tcMar>
            <w:shd w:fill="F2F4F7"/>
            <w:vAlign w:val="center"/>
          </w:tcPr>
          <w:p>
            <w:pPr>
              <w:keepNext/>
              <w:spacing w:after="0"/>
            </w:pPr>
            <w:r>
              <w:rPr>
                <w:rFonts w:ascii="Calibri" w:hAnsi="Calibri"/>
                <w:b/>
                <w:color w:val="0B2545"/>
                <w:sz w:val="17"/>
              </w:rPr>
              <w:t>Example measures</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Inventory</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Days from acquisition to retail-ready, listing completeness, age bands, turns, price changes, holds, transfer cycle and gross</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Marketing / BDC</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Spend, delivery, response, lead source, first response, appointment, show, suppression, attribution and ROI</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Sales</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Lead response, appointment/show/close, gross, inventory age, appraisal variance, deal cycle and salesperson performance</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Journey completion, repeat purchase, referral, satisfaction, consent and channel health</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Funding / delivery</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Decision and condition cycle, contracts-in-transit, funding age, title exceptions and delivery completion</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Finance</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Daily close lag, unposted exceptions, cash variance, AR/AP aging, reconciliation age</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Platform</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Adoption, workflow completion, connector health, support burden, per-tenant cost, SLO attainment</w:t>
            </w:r>
          </w:p>
        </w:tc>
      </w:tr>
    </w:tbl>
    <w:p>
      <w:pPr>
        <w:spacing w:after="0"/>
      </w:pPr>
    </w:p>
    <w:p>
      <w:pPr>
        <w:pStyle w:val="Heading2"/>
      </w:pPr>
      <w:r>
        <w:t>12.4 AI capability map and guardrails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50"/>
        <w:gridCol w:w="4000"/>
        <w:gridCol w:w="3610"/>
      </w:tblGrid>
      <w:tr>
        <w:trPr>
          <w:cantSplit/>
          <w:tblHeader w:val="true"/>
        </w:trPr>
        <w:tc>
          <w:tcPr>
            <w:tcW w:type="dxa" w:w="1750"/>
            <w:tcMar>
              <w:top w:w="80" w:type="dxa"/>
              <w:start w:w="120" w:type="dxa"/>
              <w:bottom w:w="80" w:type="dxa"/>
              <w:end w:w="120" w:type="dxa"/>
            </w:tcMar>
            <w:shd w:fill="F2F4F7"/>
            <w:vAlign w:val="center"/>
          </w:tcPr>
          <w:p>
            <w:pPr>
              <w:keepNext/>
              <w:spacing w:after="0"/>
            </w:pPr>
            <w:r>
              <w:rPr>
                <w:rFonts w:ascii="Calibri" w:hAnsi="Calibri"/>
                <w:b/>
                <w:color w:val="0B2545"/>
                <w:sz w:val="16"/>
              </w:rPr>
              <w:t>Capability</w:t>
            </w:r>
          </w:p>
        </w:tc>
        <w:tc>
          <w:tcPr>
            <w:tcW w:type="dxa" w:w="4000"/>
            <w:tcMar>
              <w:top w:w="80" w:type="dxa"/>
              <w:start w:w="120" w:type="dxa"/>
              <w:bottom w:w="80" w:type="dxa"/>
              <w:end w:w="120" w:type="dxa"/>
            </w:tcMar>
            <w:shd w:fill="F2F4F7"/>
            <w:vAlign w:val="center"/>
          </w:tcPr>
          <w:p>
            <w:pPr>
              <w:keepNext/>
              <w:spacing w:after="0"/>
            </w:pPr>
            <w:r>
              <w:rPr>
                <w:rFonts w:ascii="Calibri" w:hAnsi="Calibri"/>
                <w:b/>
                <w:color w:val="0B2545"/>
                <w:sz w:val="16"/>
              </w:rPr>
              <w:t>Use</w:t>
            </w:r>
          </w:p>
        </w:tc>
        <w:tc>
          <w:tcPr>
            <w:tcW w:type="dxa" w:w="3610"/>
            <w:tcMar>
              <w:top w:w="80" w:type="dxa"/>
              <w:start w:w="120" w:type="dxa"/>
              <w:bottom w:w="80" w:type="dxa"/>
              <w:end w:w="120" w:type="dxa"/>
            </w:tcMar>
            <w:shd w:fill="F2F4F7"/>
            <w:vAlign w:val="center"/>
          </w:tcPr>
          <w:p>
            <w:pPr>
              <w:keepNext/>
              <w:spacing w:after="0"/>
            </w:pPr>
            <w:r>
              <w:rPr>
                <w:rFonts w:ascii="Calibri" w:hAnsi="Calibri"/>
                <w:b/>
                <w:color w:val="0B2545"/>
                <w:sz w:val="16"/>
              </w:rPr>
              <w:t>Boundary</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Copilot</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Summaries, suggested next action, policy-aware search, form assistance</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Citations to records; user confirms mutations</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CRM/sales</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Lead prioritization, outreach draft, conversation summary, inventory match</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Consent and suppression enforced outside the model</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Acquisition/recon/price recommendations and aging risk</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Inputs and comparable evidence visible; human approval</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Marketing</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Audience suggestion, content draft, channel mix, timing and attribution explanation</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Consent, suppression, budget and activation remain deterministic and human-controlled</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Desking</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Scenario explanation, missing-data detection and manager exception guidance</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Never sets binding terms, incentives, taxes or approvals autonomously</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F&amp;I coordination</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Condition classification, document checklist and next-step guidance</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No autonomous credit decision, lender selection, product sale or adverse-action reason</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Documents</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OCR/classification/extraction and missing-field detection</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Confidence thresholds, source boxes, human review</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Risk</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Anomaly detection and case prioritization</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No autonomous credit denial, sanctions disposition, or adverse action reason</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Accounting</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Reconciliation suggestions and exception explanation</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Never autonomously post or alter a journal</w:t>
            </w:r>
          </w:p>
        </w:tc>
      </w:tr>
    </w:tbl>
    <w:p>
      <w:pPr>
        <w:spacing w:after="0"/>
      </w:pPr>
    </w:p>
    <w:p>
      <w:pPr>
        <w:spacing w:before="0" w:after="120" w:line="264" w:lineRule="auto"/>
      </w:pPr>
      <w:r>
        <w:rPr>
          <w:rFonts w:ascii="Calibri" w:hAnsi="Calibri"/>
          <w:b w:val="0"/>
          <w:i w:val="0"/>
          <w:color w:val="1F2328"/>
        </w:rPr>
        <w:t>Every AI action records model/version, system policy version, retrieved evidence IDs, prompt template version, output, user edits, final action, and evaluation result. PII is minimized; provider retention/training settings are contractually controlled. Release requires offline evals, red-team cases, hallucination/failure thresholds, and rollback.</w:t>
      </w:r>
    </w:p>
    <w:p>
      <w:r>
        <w:br w:type="page"/>
      </w:r>
    </w:p>
    <w:p>
      <w:pPr>
        <w:pStyle w:val="Heading1"/>
      </w:pPr>
      <w:r>
        <w:t>13. Governing Forward-Only Product Roadmap</w:t>
      </w:r>
    </w:p>
    <w:tbl>
      <w:tblPr>
        <w:tblW w:type="dxa" w:w="9360"/>
        <w:jc w:val="left"/>
        <w:tblLayout w:type="fixed"/>
        <w:tblLook w:firstColumn="1" w:firstRow="1" w:lastColumn="0" w:lastRow="0" w:noHBand="0" w:noVBand="1" w:val="04A0"/>
        <w:tblInd w:w="120" w:type="dxa"/>
        <w:tblBorders>
          <w:top w:val="single" w:sz="6" w:space="0" w:color="1F4D78"/>
          <w:left w:val="single" w:sz="6" w:space="0" w:color="1F4D78"/>
          <w:bottom w:val="single" w:sz="6" w:space="0" w:color="1F4D78"/>
          <w:right w:val="single" w:sz="6" w:space="0" w:color="1F4D78"/>
          <w:insideH w:val="single" w:sz="6" w:space="0" w:color="1F4D78"/>
          <w:insideV w:val="single" w:sz="6" w:space="0" w:color="1F4D78"/>
        </w:tblBorders>
      </w:tblPr>
      <w:tblGrid>
        <w:gridCol w:w="9360"/>
      </w:tblGrid>
      <w:tr>
        <w:trPr>
          <w:cantSplit/>
        </w:trPr>
        <w:tc>
          <w:tcPr>
            <w:tcW w:type="dxa" w:w="9360"/>
            <w:tcMar>
              <w:top w:w="80" w:type="dxa"/>
              <w:start w:w="120" w:type="dxa"/>
              <w:bottom w:w="80" w:type="dxa"/>
              <w:end w:w="120" w:type="dxa"/>
            </w:tcMar>
            <w:shd w:fill="EAF2F8"/>
            <w:vAlign w:val="center"/>
            <w:tcBorders>
              <w:top w:val="single" w:sz="10" w:color="1F4E78"/>
              <w:left w:val="single" w:sz="10" w:color="1F4E78"/>
              <w:bottom w:val="single" w:sz="10" w:color="1F4E78"/>
              <w:right w:val="single" w:sz="10" w:color="1F4E78"/>
              <w:insideH w:val="single" w:sz="10" w:color="1F4E78"/>
              <w:insideV w:val="single" w:sz="10" w:color="1F4E78"/>
            </w:tcBorders>
          </w:tcPr>
          <w:p>
            <w:r>
              <w:t>Roadmap authority</w:t>
              <w:br/>
              <w:t>SO-001 and Version 3.1 remain governing. RT3 is accepted and frozen. RT4 has one bounded correction wave covering only the seven outcomes in Section 14.3 Part A; its binary pass pre-authorizes merge and immediate FBL-120 activation. No new RT3/RT4 audit or acceptance loop is permitted.</w:t>
            </w:r>
          </w:p>
        </w:tc>
      </w:tr>
    </w:tbl>
    <w:p>
      <w:pPr>
        <w:spacing w:after="0"/>
      </w:pPr>
    </w:p>
    <w:p>
      <w:pPr>
        <w:pStyle w:val="Heading2"/>
      </w:pPr>
      <w:r>
        <w:t>13.1 Product scope freeze</w:t>
      </w:r>
    </w:p>
    <w:p>
      <w:pPr>
        <w:spacing w:before="0" w:after="120" w:line="264" w:lineRule="auto"/>
      </w:pPr>
      <w:r>
        <w:rPr>
          <w:rFonts w:ascii="Calibri" w:hAnsi="Calibri"/>
          <w:b w:val="0"/>
          <w:i w:val="0"/>
          <w:color w:val="1F2328"/>
        </w:rPr>
        <w:t>The commercial product is Dealership Management &amp; Sales Cloud: dealership administration, customer and vehicle master, inventory, merchandising, CRM/BDC, marketing, sales pipeline, showroom management, appraisal, desking, digital retail, deal jacket, F&amp;I coordination, funding and delivery operations, workforce management, and executive reporting.</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5160"/>
        <w:gridCol w:w="4200"/>
      </w:tblGrid>
      <w:tr>
        <w:trPr>
          <w:cantSplit/>
          <w:tblHeader w:val="true"/>
        </w:trPr>
        <w:tc>
          <w:tcPr>
            <w:tcW w:type="dxa" w:w="5160"/>
            <w:tcMar>
              <w:top w:w="80" w:type="dxa"/>
              <w:start w:w="120" w:type="dxa"/>
              <w:bottom w:w="80" w:type="dxa"/>
              <w:end w:w="120" w:type="dxa"/>
            </w:tcMar>
            <w:shd w:fill="F2F4F7"/>
            <w:vAlign w:val="center"/>
          </w:tcPr>
          <w:p>
            <w:pPr>
              <w:keepNext/>
              <w:spacing w:after="0"/>
            </w:pPr>
            <w:r>
              <w:rPr>
                <w:rFonts w:ascii="Calibri" w:hAnsi="Calibri"/>
                <w:b/>
                <w:color w:val="0B2545"/>
                <w:sz w:val="16"/>
              </w:rPr>
              <w:t>Required in commercial V1</w:t>
            </w:r>
          </w:p>
        </w:tc>
        <w:tc>
          <w:tcPr>
            <w:tcW w:type="dxa" w:w="4200"/>
            <w:tcMar>
              <w:top w:w="80" w:type="dxa"/>
              <w:start w:w="120" w:type="dxa"/>
              <w:bottom w:w="80" w:type="dxa"/>
              <w:end w:w="120" w:type="dxa"/>
            </w:tcMar>
            <w:shd w:fill="F2F4F7"/>
            <w:vAlign w:val="center"/>
          </w:tcPr>
          <w:p>
            <w:pPr>
              <w:keepNext/>
              <w:spacing w:after="0"/>
            </w:pPr>
            <w:r>
              <w:rPr>
                <w:rFonts w:ascii="Calibri" w:hAnsi="Calibri"/>
                <w:b/>
                <w:color w:val="0B2545"/>
                <w:sz w:val="16"/>
              </w:rPr>
              <w:t>Excluded unless separately authorized</w:t>
            </w:r>
          </w:p>
        </w:tc>
      </w:tr>
      <w:tr>
        <w:trPr>
          <w:trHeight w:hRule="atLeast"/>
          <w:cantSplit/>
          <w:cantSplit/>
        </w:trPr>
        <w:tc>
          <w:tcPr>
            <w:tcW w:type="dxa" w:w="5160"/>
            <w:vAlign w:val="top"/>
            <w:tcMar>
              <w:top w:w="80" w:type="dxa"/>
              <w:start w:w="120" w:type="dxa"/>
              <w:bottom w:w="80" w:type="dxa"/>
              <w:end w:w="120" w:type="dxa"/>
            </w:tcMar>
          </w:tcPr>
          <w:p>
            <w:pPr>
              <w:spacing w:before="0" w:after="40" w:line="240" w:lineRule="auto"/>
            </w:pPr>
            <w:r>
              <w:rPr>
                <w:rFonts w:ascii="Calibri" w:hAnsi="Calibri"/>
                <w:b w:val="0"/>
                <w:color w:val="1F2328"/>
                <w:sz w:val="16"/>
              </w:rPr>
              <w:t>Dealership, rooftop, department, staff, role, policy, branding, hours, and operating configuration</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6"/>
              </w:rPr>
              <w:t>Repair orders, service appointments, DVI/MPI, technician dispatch, technician time, service-bay scheduling</w:t>
            </w:r>
          </w:p>
        </w:tc>
      </w:tr>
      <w:tr>
        <w:trPr>
          <w:trHeight w:hRule="atLeast"/>
          <w:cantSplit/>
          <w:cantSplit/>
        </w:trPr>
        <w:tc>
          <w:tcPr>
            <w:tcW w:type="dxa" w:w="516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 360, consent, deduplication, imports, vehicle master, ownership and relationship history</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6"/>
              </w:rPr>
              <w:t>Service-parts procurement, warranty repair, sublet repair, comebacks, declined-service campaigns</w:t>
            </w:r>
          </w:p>
        </w:tc>
      </w:tr>
      <w:tr>
        <w:trPr>
          <w:trHeight w:hRule="atLeast"/>
          <w:cantSplit/>
          <w:cantSplit/>
        </w:trPr>
        <w:tc>
          <w:tcPr>
            <w:tcW w:type="dxa" w:w="5160"/>
            <w:vAlign w:val="top"/>
            <w:tcMar>
              <w:top w:w="80" w:type="dxa"/>
              <w:start w:w="120" w:type="dxa"/>
              <w:bottom w:w="80" w:type="dxa"/>
              <w:end w:w="120" w:type="dxa"/>
            </w:tcMar>
          </w:tcPr>
          <w:p>
            <w:pPr>
              <w:spacing w:before="0" w:after="40" w:line="240" w:lineRule="auto"/>
            </w:pPr>
            <w:r>
              <w:rPr>
                <w:rFonts w:ascii="Calibri" w:hAnsi="Calibri"/>
                <w:b w:val="0"/>
                <w:color w:val="1F2328"/>
                <w:sz w:val="16"/>
              </w:rPr>
              <w:t>Vehicle acquisition, stock identity, location, costs, photos, pricing, holds, transfers, aging and listings</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6"/>
              </w:rPr>
              <w:t>Native repair-shop management or enhancement of the inherited Fixed Ops product</w:t>
            </w:r>
          </w:p>
        </w:tc>
      </w:tr>
      <w:tr>
        <w:trPr>
          <w:trHeight w:hRule="atLeast"/>
          <w:cantSplit/>
          <w:cantSplit/>
        </w:trPr>
        <w:tc>
          <w:tcPr>
            <w:tcW w:type="dxa" w:w="5160"/>
            <w:vAlign w:val="top"/>
            <w:tcMar>
              <w:top w:w="80" w:type="dxa"/>
              <w:start w:w="120" w:type="dxa"/>
              <w:bottom w:w="80" w:type="dxa"/>
              <w:end w:w="120" w:type="dxa"/>
            </w:tcMar>
          </w:tcPr>
          <w:p>
            <w:pPr>
              <w:spacing w:before="0" w:after="40" w:line="240" w:lineRule="auto"/>
            </w:pPr>
            <w:r>
              <w:rPr>
                <w:rFonts w:ascii="Calibri" w:hAnsi="Calibri"/>
                <w:b w:val="0"/>
                <w:color w:val="1F2328"/>
                <w:sz w:val="16"/>
              </w:rPr>
              <w:t>Leads, CRM/BDC, campaigns, attribution, appointments, showroom, follow-up, won/lost analysis</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6"/>
              </w:rPr>
              <w:t>Native payroll or human-resources system of record</w:t>
            </w:r>
          </w:p>
        </w:tc>
      </w:tr>
      <w:tr>
        <w:trPr>
          <w:trHeight w:hRule="atLeast"/>
          <w:cantSplit/>
          <w:cantSplit/>
        </w:trPr>
        <w:tc>
          <w:tcPr>
            <w:tcW w:type="dxa" w:w="5160"/>
            <w:vAlign w:val="top"/>
            <w:tcMar>
              <w:top w:w="80" w:type="dxa"/>
              <w:start w:w="120" w:type="dxa"/>
              <w:bottom w:w="80" w:type="dxa"/>
              <w:end w:w="120" w:type="dxa"/>
            </w:tcMar>
          </w:tcPr>
          <w:p>
            <w:pPr>
              <w:spacing w:before="0" w:after="40" w:line="240" w:lineRule="auto"/>
            </w:pPr>
            <w:r>
              <w:rPr>
                <w:rFonts w:ascii="Calibri" w:hAnsi="Calibri"/>
                <w:b w:val="0"/>
                <w:color w:val="1F2328"/>
                <w:sz w:val="16"/>
              </w:rPr>
              <w:t>Trade appraisal, manager-approved deal scenarios, online/in-store continuity, documents and e-sign</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6"/>
              </w:rPr>
              <w:t>Native dealership GL, AP, AR, floorplan and consolidated close before FBL-200</w:t>
            </w:r>
          </w:p>
        </w:tc>
      </w:tr>
      <w:tr>
        <w:trPr>
          <w:trHeight w:hRule="atLeast"/>
          <w:cantSplit/>
          <w:cantSplit/>
        </w:trPr>
        <w:tc>
          <w:tcPr>
            <w:tcW w:type="dxa" w:w="5160"/>
            <w:vAlign w:val="top"/>
            <w:tcMar>
              <w:top w:w="80" w:type="dxa"/>
              <w:start w:w="120" w:type="dxa"/>
              <w:bottom w:w="80" w:type="dxa"/>
              <w:end w:w="120" w:type="dxa"/>
            </w:tcMar>
          </w:tcPr>
          <w:p>
            <w:pPr>
              <w:spacing w:before="0" w:after="40" w:line="240" w:lineRule="auto"/>
            </w:pPr>
            <w:r>
              <w:rPr>
                <w:rFonts w:ascii="Calibri" w:hAnsi="Calibri"/>
                <w:b w:val="0"/>
                <w:color w:val="1F2328"/>
                <w:sz w:val="16"/>
              </w:rPr>
              <w:t>F&amp;I provider coordination, deposits/payments, funding conditions, title, registration, delivery and sold reconciliation</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6"/>
              </w:rPr>
              <w:t>Autonomous AI decisions involving credit, money, legal rights, compliance, or customer commitments</w:t>
            </w:r>
          </w:p>
        </w:tc>
      </w:tr>
      <w:tr>
        <w:trPr>
          <w:trHeight w:hRule="atLeast"/>
          <w:cantSplit/>
          <w:cantSplit/>
        </w:trPr>
        <w:tc>
          <w:tcPr>
            <w:tcW w:type="dxa" w:w="5160"/>
            <w:vAlign w:val="top"/>
            <w:tcMar>
              <w:top w:w="80" w:type="dxa"/>
              <w:start w:w="120" w:type="dxa"/>
              <w:bottom w:w="80" w:type="dxa"/>
              <w:end w:w="120" w:type="dxa"/>
            </w:tcMar>
          </w:tcPr>
          <w:p>
            <w:pPr>
              <w:spacing w:before="0" w:after="40" w:line="240" w:lineRule="auto"/>
            </w:pPr>
            <w:r>
              <w:rPr>
                <w:rFonts w:ascii="Calibri" w:hAnsi="Calibri"/>
                <w:b w:val="0"/>
                <w:color w:val="1F2328"/>
                <w:sz w:val="16"/>
              </w:rPr>
              <w:t>Goals, territories, commissions, approvals, alerts, scorecards, inventory performance, marketing ROI and sales reporting</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6"/>
              </w:rPr>
              <w:t>Uncertified OEM, lender, DMV/title, tax, valuation, payment, messaging, or identity integrations</w:t>
            </w:r>
          </w:p>
        </w:tc>
      </w:tr>
    </w:tbl>
    <w:p>
      <w:pPr>
        <w:spacing w:after="0"/>
      </w:pPr>
    </w:p>
    <w:p>
      <w:pPr>
        <w:spacing w:before="0" w:after="120" w:line="264" w:lineRule="auto"/>
      </w:pPr>
      <w:r>
        <w:rPr>
          <w:rFonts w:ascii="Calibri" w:hAnsi="Calibri"/>
          <w:b w:val="0"/>
          <w:i/>
          <w:color w:val="5B6573"/>
          <w:sz w:val="19"/>
        </w:rPr>
        <w:t>Inventory reconditioning may record vendor, status, estimated cost, actual cost, target completion date, and retail-readiness. It must not expand into repair diagnosis, work orders, technician scheduling, labor operations, or parts-service workflow.</w:t>
      </w:r>
    </w:p>
    <w:p>
      <w:pPr>
        <w:pStyle w:val="Heading2"/>
      </w:pPr>
      <w:r>
        <w:t>13.2 Phase map to the commercial finish line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220"/>
        <w:gridCol w:w="1100"/>
        <w:gridCol w:w="3850"/>
        <w:gridCol w:w="3190"/>
      </w:tblGrid>
      <w:tr>
        <w:trPr>
          <w:cantSplit/>
          <w:tblHeader w:val="true"/>
        </w:trPr>
        <w:tc>
          <w:tcPr>
            <w:tcW w:type="dxa" w:w="1220"/>
            <w:tcMar>
              <w:top w:w="80" w:type="dxa"/>
              <w:start w:w="120" w:type="dxa"/>
              <w:bottom w:w="80" w:type="dxa"/>
              <w:end w:w="120" w:type="dxa"/>
            </w:tcMar>
            <w:shd w:fill="F2F4F7"/>
            <w:vAlign w:val="center"/>
          </w:tcPr>
          <w:p>
            <w:pPr>
              <w:keepNext/>
              <w:spacing w:after="0"/>
            </w:pPr>
            <w:r>
              <w:rPr>
                <w:rFonts w:ascii="Calibri" w:hAnsi="Calibri"/>
                <w:b/>
                <w:color w:val="0B2545"/>
                <w:sz w:val="14"/>
              </w:rPr>
              <w:t>Phase</w:t>
            </w:r>
          </w:p>
        </w:tc>
        <w:tc>
          <w:tcPr>
            <w:tcW w:type="dxa" w:w="1100"/>
            <w:tcMar>
              <w:top w:w="80" w:type="dxa"/>
              <w:start w:w="120" w:type="dxa"/>
              <w:bottom w:w="80" w:type="dxa"/>
              <w:end w:w="120" w:type="dxa"/>
            </w:tcMar>
            <w:shd w:fill="F2F4F7"/>
            <w:vAlign w:val="center"/>
          </w:tcPr>
          <w:p>
            <w:pPr>
              <w:keepNext/>
              <w:spacing w:after="0"/>
            </w:pPr>
            <w:r>
              <w:rPr>
                <w:rFonts w:ascii="Calibri" w:hAnsi="Calibri"/>
                <w:b/>
                <w:color w:val="0B2545"/>
                <w:sz w:val="14"/>
              </w:rPr>
              <w:t>Status</w:t>
            </w:r>
          </w:p>
        </w:tc>
        <w:tc>
          <w:tcPr>
            <w:tcW w:type="dxa" w:w="3850"/>
            <w:tcMar>
              <w:top w:w="80" w:type="dxa"/>
              <w:start w:w="120" w:type="dxa"/>
              <w:bottom w:w="80" w:type="dxa"/>
              <w:end w:w="120" w:type="dxa"/>
            </w:tcMar>
            <w:shd w:fill="F2F4F7"/>
            <w:vAlign w:val="center"/>
          </w:tcPr>
          <w:p>
            <w:pPr>
              <w:keepNext/>
              <w:spacing w:after="0"/>
            </w:pPr>
            <w:r>
              <w:rPr>
                <w:rFonts w:ascii="Calibri" w:hAnsi="Calibri"/>
                <w:b/>
                <w:color w:val="0B2545"/>
                <w:sz w:val="14"/>
              </w:rPr>
              <w:t>Required result</w:t>
            </w:r>
          </w:p>
        </w:tc>
        <w:tc>
          <w:tcPr>
            <w:tcW w:type="dxa" w:w="3190"/>
            <w:tcMar>
              <w:top w:w="80" w:type="dxa"/>
              <w:start w:w="120" w:type="dxa"/>
              <w:bottom w:w="80" w:type="dxa"/>
              <w:end w:w="120" w:type="dxa"/>
            </w:tcMar>
            <w:shd w:fill="F2F4F7"/>
            <w:vAlign w:val="center"/>
          </w:tcPr>
          <w:p>
            <w:pPr>
              <w:keepNext/>
              <w:spacing w:after="0"/>
            </w:pPr>
            <w:r>
              <w:rPr>
                <w:rFonts w:ascii="Calibri" w:hAnsi="Calibri"/>
                <w:b/>
                <w:color w:val="0B2545"/>
                <w:sz w:val="14"/>
              </w:rPr>
              <w:t>Binary exit gate</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FBL-000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CLOSED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Reproducible baseline</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Accepted evidence remains immutable</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FBL-010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CLOSED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Architecture shell and enforceable boundaries</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Accepted evidence remains immutable</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FBL-020 (R7-C2)</w:t>
            </w:r>
          </w:p>
        </w:tc>
        <w:tc>
          <w:tcPr>
            <w:tcW w:type="dxa" w:w="110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CLOSED</w:t>
            </w:r>
          </w:p>
        </w:tc>
        <w:tc>
          <w:tcPr>
            <w:tcW w:type="dxa" w:w="38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Managed runtime identity, exact support authority, atomic approval, terminal states, and safe upgrade preflight</w:t>
            </w:r>
          </w:p>
        </w:tc>
        <w:tc>
          <w:tcPr>
            <w:tcW w:type="dxa" w:w="319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Accepted at df45d9e; exact-head CI #70 green; PR #12 merged; never reopen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FBL-030</w:t>
            </w:r>
          </w:p>
        </w:tc>
        <w:tc>
          <w:tcPr>
            <w:tcW w:type="dxa" w:w="110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CLOSED - TRAIN 1</w:t>
            </w:r>
          </w:p>
        </w:tc>
        <w:tc>
          <w:tcPr>
            <w:tcW w:type="dxa" w:w="38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Database tenant enforcement used by dealership administration</w:t>
            </w:r>
          </w:p>
        </w:tc>
        <w:tc>
          <w:tcPr>
            <w:tcW w:type="dxa" w:w="319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Accepted in RT1 at exact-head CI #76; never reopen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FBL-040</w:t>
            </w:r>
          </w:p>
        </w:tc>
        <w:tc>
          <w:tcPr>
            <w:tcW w:type="dxa" w:w="110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CLOSED - TRAIN 1</w:t>
            </w:r>
          </w:p>
        </w:tc>
        <w:tc>
          <w:tcPr>
            <w:tcW w:type="dxa" w:w="38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Administration API contract, duplicate safety, audit, and outbox durability</w:t>
            </w:r>
          </w:p>
        </w:tc>
        <w:tc>
          <w:tcPr>
            <w:tcW w:type="dxa" w:w="319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Accepted in RT1 at exact-head CI #76; never reopen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FBL-050</w:t>
            </w:r>
          </w:p>
        </w:tc>
        <w:tc>
          <w:tcPr>
            <w:tcW w:type="dxa" w:w="110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CLOSED - TRAIN 1</w:t>
            </w:r>
          </w:p>
        </w:tc>
        <w:tc>
          <w:tcPr>
            <w:tcW w:type="dxa" w:w="38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Usable staff shell and persisted dealership administration</w:t>
            </w:r>
          </w:p>
        </w:tc>
        <w:tc>
          <w:tcPr>
            <w:tcW w:type="dxa" w:w="319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PR #13 merged at 371819c; never reopen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FBL-060</w:t>
            </w:r>
          </w:p>
        </w:tc>
        <w:tc>
          <w:tcPr>
            <w:tcW w:type="dxa" w:w="110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CLOSED - TRAIN 2</w:t>
            </w:r>
          </w:p>
        </w:tc>
        <w:tc>
          <w:tcPr>
            <w:tcW w:type="dxa" w:w="38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Customer and acquisition-party identity, consent, deduplication, merge, search, and imports</w:t>
            </w:r>
          </w:p>
        </w:tc>
        <w:tc>
          <w:tcPr>
            <w:tcW w:type="dxa" w:w="319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Accepted and merged at 516cc86; never reopen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FBL-070</w:t>
            </w:r>
          </w:p>
        </w:tc>
        <w:tc>
          <w:tcPr>
            <w:tcW w:type="dxa" w:w="110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CLOSED - TRAIN 2</w:t>
            </w:r>
          </w:p>
        </w:tc>
        <w:tc>
          <w:tcPr>
            <w:tcW w:type="dxa" w:w="38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Canonical vehicle, stock identity, acquisition, location, documents, costs, and readiness</w:t>
            </w:r>
          </w:p>
        </w:tc>
        <w:tc>
          <w:tcPr>
            <w:tcW w:type="dxa" w:w="319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Accepted and merged at 516cc86; never reopen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FBL-080</w:t>
            </w:r>
          </w:p>
        </w:tc>
        <w:tc>
          <w:tcPr>
            <w:tcW w:type="dxa" w:w="110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CLOSED - TRAIN 2</w:t>
            </w:r>
          </w:p>
        </w:tc>
        <w:tc>
          <w:tcPr>
            <w:tcW w:type="dxa" w:w="38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Inventory, merchandising, listing, and non-oracular resource resolution</w:t>
            </w:r>
          </w:p>
        </w:tc>
        <w:tc>
          <w:tcPr>
            <w:tcW w:type="dxa" w:w="319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Accepted resolver and inventory behavior merged at 516cc86; never reopen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FBL-090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CLOSED - RT3</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CRM and BDC operations</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Accepted at ab46be8 and merged at f2a4f60; never reopen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FBL-100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BOUNDED CLOSURE - RT4 C1</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Sales pipeline and showroom management</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Seven named corrections and their direct regressions pass; merge exact tested PR #16 head</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FBL-110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CLOSED - RT3</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Marketing management, consent and attribution</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Accepted at ab46be8 and merged at f2a4f60; never reopen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FBL-120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NEXT - PRE-AUTHORIZED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Appraisal, trade, pricing and desking</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Begin automatically after FBL-100 pass; deterministic scenarios calculate and a manager freezes one exact approved version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FBL-130</w:t>
            </w:r>
          </w:p>
        </w:tc>
        <w:tc>
          <w:tcPr>
            <w:tcW w:type="dxa" w:w="110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Online-to-store continuity</w:t>
            </w:r>
          </w:p>
        </w:tc>
        <w:tc>
          <w:tcPr>
            <w:tcW w:type="dxa" w:w="38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POST-PILOT</w:t>
            </w:r>
          </w:p>
        </w:tc>
        <w:tc>
          <w:tcPr>
            <w:tcW w:type="dxa" w:w="319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Advanced digital retail follows the one-account pilot unless the owner explicitly activates it.</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FBL-140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Deal jacket, document checklist and e-sign</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Complete versioned package is generated, reviewed, signed, retained and attributable</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FBL-150</w:t>
            </w:r>
          </w:p>
        </w:tc>
        <w:tc>
          <w:tcPr>
            <w:tcW w:type="dxa" w:w="110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F&amp;I provider handoff</w:t>
            </w:r>
          </w:p>
        </w:tc>
        <w:tc>
          <w:tcPr>
            <w:tcW w:type="dxa" w:w="38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LIMITED</w:t>
            </w:r>
          </w:p>
        </w:tc>
        <w:tc>
          <w:tcPr>
            <w:tcW w:type="dxa" w:w="319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Basic provider handoff may support the pilot; deep certified F&amp;I integration follows owner authorization.</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FBL-160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Payment, funding, title, registration and delivery</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Deal funds and delivers; payment reconciles; title advances; vehicle becomes sold; accounting export balances</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FBL-170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Workforce and executive management</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Goals, commissions, approvals, scorecards, alerts and management reports reconcile to source facts</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FBL-180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SaaS operations and production hardening</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Provisioning, billing, imports, support, security, accessibility, load, restore, DR and training pass</w:t>
            </w:r>
          </w:p>
        </w:tc>
      </w:tr>
      <w:tr>
        <w:trPr>
          <w:trHeight w:hRule="atLeast"/>
          <w:cantSplit/>
          <w:cantSplit/>
          <w:cantSplit/>
          <w:cantSplit/>
        </w:trPr>
        <w:tc>
          <w:tcPr>
            <w:tcW w:type="dxa" w:w="1220"/>
            <w:vAlign w:val="top"/>
            <w:tcMar>
              <w:top w:w="80" w:type="dxa"/>
              <w:start w:w="120" w:type="dxa"/>
              <w:bottom w:w="80" w:type="dxa"/>
              <w:end w:w="120" w:type="dxa"/>
            </w:tcMar>
          </w:tcPr>
          <w:p>
            <w:pPr>
              <w:spacing w:before="0" w:after="40" w:line="240" w:lineRule="auto"/>
            </w:pPr>
            <w:r>
              <w:rPr>
                <w:rFonts w:ascii="Calibri" w:hAnsi="Calibri"/>
                <w:b w:val="0"/>
                <w:color w:val="1F2328"/>
                <w:sz w:val="14"/>
              </w:rPr>
              <w:t>FBL-190</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850"/>
            <w:vAlign w:val="top"/>
            <w:tcMar>
              <w:top w:w="80" w:type="dxa"/>
              <w:start w:w="120" w:type="dxa"/>
              <w:bottom w:w="80" w:type="dxa"/>
              <w:end w:w="120" w:type="dxa"/>
            </w:tcMar>
          </w:tcPr>
          <w:p>
            <w:pPr>
              <w:spacing w:before="0" w:after="40" w:line="240" w:lineRule="auto"/>
            </w:pPr>
            <w:r>
              <w:rPr>
                <w:rFonts w:ascii="Calibri" w:hAnsi="Calibri"/>
                <w:b w:val="0"/>
                <w:color w:val="1F2328"/>
                <w:sz w:val="14"/>
              </w:rPr>
              <w:t>Controlled pilot and commercial launch</w:t>
            </w:r>
          </w:p>
        </w:tc>
        <w:tc>
          <w:tcPr>
            <w:tcW w:type="dxa" w:w="3190"/>
            <w:vAlign w:val="top"/>
            <w:tcMar>
              <w:top w:w="80" w:type="dxa"/>
              <w:start w:w="120" w:type="dxa"/>
              <w:bottom w:w="80" w:type="dxa"/>
              <w:end w:w="120" w:type="dxa"/>
            </w:tcMar>
          </w:tcPr>
          <w:p>
            <w:pPr>
              <w:spacing w:before="0" w:after="40" w:line="240" w:lineRule="auto"/>
            </w:pPr>
            <w:r>
              <w:rPr>
                <w:rFonts w:ascii="Calibri" w:hAnsi="Calibri"/>
                <w:b w:val="0"/>
                <w:color w:val="1F2328"/>
                <w:sz w:val="14"/>
              </w:rPr>
              <w:t>Two rooftops complete agreed acquisition-to-delivery volume with no critical defects and signed acceptance</w:t>
            </w:r>
          </w:p>
        </w:tc>
      </w:tr>
    </w:tbl>
    <w:p>
      <w:pPr>
        <w:spacing w:after="0"/>
      </w:pPr>
    </w:p>
    <w:p>
      <w:pPr>
        <w:pStyle w:val="Heading2"/>
      </w:pPr>
      <w:r>
        <w:t>13.3 Commercial V1 finish line</w:t>
      </w:r>
    </w:p>
    <w:p>
      <w:pPr>
        <w:pStyle w:val="ListNumber"/>
        <w:keepLines/>
        <w:numPr>
          <w:ilvl w:val="0"/>
          <w:numId w:val="902"/>
        </w:numPr>
      </w:pPr>
      <w:r>
        <w:t>Configure dealership, rooftops, departments, staff, roles and operating policies.</w:t>
      </w:r>
    </w:p>
    <w:p>
      <w:pPr>
        <w:pStyle w:val="ListNumber"/>
        <w:keepLines/>
        <w:numPr>
          <w:ilvl w:val="0"/>
          <w:numId w:val="902"/>
        </w:numPr>
      </w:pPr>
      <w:r>
        <w:t>Acquire a vehicle; establish canonical vehicle and stock identity; record location, costs, documents and retail readiness.</w:t>
      </w:r>
    </w:p>
    <w:p>
      <w:pPr>
        <w:pStyle w:val="ListNumber"/>
        <w:keepLines/>
        <w:numPr>
          <w:ilvl w:val="0"/>
          <w:numId w:val="902"/>
        </w:numPr>
      </w:pPr>
      <w:r>
        <w:t>Price, photograph, merchandise, publish and reconcile the listing.</w:t>
      </w:r>
    </w:p>
    <w:p>
      <w:pPr>
        <w:pStyle w:val="ListNumber"/>
        <w:keepLines/>
        <w:numPr>
          <w:ilvl w:val="0"/>
          <w:numId w:val="902"/>
        </w:numPr>
      </w:pPr>
      <w:r>
        <w:t>Capture, deduplicate, assign and work a lead through compliant CRM/BDC and marketing follow-up.</w:t>
      </w:r>
    </w:p>
    <w:p>
      <w:pPr>
        <w:pStyle w:val="ListNumber"/>
        <w:keepLines/>
        <w:numPr>
          <w:ilvl w:val="0"/>
          <w:numId w:val="902"/>
        </w:numPr>
      </w:pPr>
      <w:r>
        <w:t>Schedule and manage the showroom journey, vehicle selection, demo, trade appraisal and negotiation.</w:t>
      </w:r>
    </w:p>
    <w:p>
      <w:pPr>
        <w:pStyle w:val="ListNumber"/>
        <w:keepLines/>
        <w:numPr>
          <w:ilvl w:val="0"/>
          <w:numId w:val="902"/>
        </w:numPr>
      </w:pPr>
      <w:r>
        <w:t>Create deterministic deal scenarios and freeze one manager-approved version.</w:t>
      </w:r>
    </w:p>
    <w:p>
      <w:pPr>
        <w:pStyle w:val="ListNumber"/>
        <w:keepLines/>
        <w:numPr>
          <w:ilvl w:val="0"/>
          <w:numId w:val="902"/>
        </w:numPr>
      </w:pPr>
      <w:r>
        <w:t>Continue any online journey in-store without rekeying customer, vehicle, trade, pricing or deal facts.</w:t>
      </w:r>
    </w:p>
    <w:p>
      <w:pPr>
        <w:pStyle w:val="ListNumber"/>
        <w:keepLines/>
        <w:numPr>
          <w:ilvl w:val="0"/>
          <w:numId w:val="902"/>
        </w:numPr>
      </w:pPr>
      <w:r>
        <w:t>Generate, review, sign and retain the versioned deal jacket.</w:t>
      </w:r>
    </w:p>
    <w:p>
      <w:pPr>
        <w:pStyle w:val="ListNumber"/>
        <w:keepLines/>
        <w:numPr>
          <w:ilvl w:val="0"/>
          <w:numId w:val="902"/>
        </w:numPr>
      </w:pPr>
      <w:r>
        <w:t>Coordinate credit, lender, F&amp;I products, conditions and required notices through certified providers.</w:t>
      </w:r>
    </w:p>
    <w:p>
      <w:pPr>
        <w:pStyle w:val="ListNumber"/>
        <w:keepLines/>
        <w:numPr>
          <w:ilvl w:val="0"/>
          <w:numId w:val="902"/>
        </w:numPr>
      </w:pPr>
      <w:r>
        <w:t>Collect and reconcile deposits/payments; satisfy funding, title and registration requirements; deliver the vehicle.</w:t>
      </w:r>
    </w:p>
    <w:p>
      <w:pPr>
        <w:pStyle w:val="ListNumber"/>
        <w:keepLines/>
        <w:numPr>
          <w:ilvl w:val="0"/>
          <w:numId w:val="902"/>
        </w:numPr>
      </w:pPr>
      <w:r>
        <w:t>Mark the stock sold and reconcile gross, attribution, salesperson, inventory and executive performance reporting.</w:t>
      </w:r>
    </w:p>
    <w:tbl>
      <w:tblPr>
        <w:tblW w:type="dxa" w:w="9360"/>
        <w:jc w:val="left"/>
        <w:tblLayout w:type="fixed"/>
        <w:tblLook w:firstColumn="1" w:firstRow="1" w:lastColumn="0" w:lastRow="0" w:noHBand="0" w:noVBand="1" w:val="04A0"/>
        <w:tblInd w:w="120" w:type="dxa"/>
        <w:tblBorders>
          <w:top w:val="single" w:sz="6" w:space="0" w:color="1F5D42"/>
          <w:left w:val="single" w:sz="6" w:space="0" w:color="1F5D42"/>
          <w:bottom w:val="single" w:sz="6" w:space="0" w:color="1F5D42"/>
          <w:right w:val="single" w:sz="6" w:space="0" w:color="1F5D42"/>
          <w:insideH w:val="single" w:sz="6" w:space="0" w:color="1F5D42"/>
          <w:insideV w:val="single" w:sz="6" w:space="0" w:color="1F5D42"/>
        </w:tblBorders>
      </w:tblPr>
      <w:tblGrid>
        <w:gridCol w:w="9360"/>
      </w:tblGrid>
      <w:tr>
        <w:trPr>
          <w:cantSplit/>
        </w:trPr>
        <w:tc>
          <w:tcPr>
            <w:tcW w:type="dxa" w:w="9360"/>
            <w:tcMar>
              <w:top w:w="80" w:type="dxa"/>
              <w:start w:w="120" w:type="dxa"/>
              <w:bottom w:w="80" w:type="dxa"/>
              <w:end w:w="120" w:type="dxa"/>
            </w:tcMar>
            <w:shd w:fill="E6F4EA"/>
            <w:vAlign w:val="center"/>
          </w:tcPr>
          <w:p>
            <w:pPr>
              <w:spacing w:after="60"/>
            </w:pPr>
            <w:r>
              <w:rPr>
                <w:rFonts w:ascii="Calibri" w:hAnsi="Calibri"/>
                <w:b/>
                <w:color w:val="1F5D42"/>
                <w:sz w:val="21"/>
              </w:rPr>
              <w:t>Definition of commercially complete</w:t>
            </w:r>
          </w:p>
          <w:p>
            <w:pPr>
              <w:spacing w:after="0" w:line="264" w:lineRule="auto"/>
            </w:pPr>
            <w:r>
              <w:rPr>
                <w:rFonts w:ascii="Calibri" w:hAnsi="Calibri"/>
                <w:color w:val="1F2328"/>
                <w:sz w:val="21"/>
              </w:rPr>
              <w:t>A real dealership employee must complete the entire acquisition-to-delivery and lead-to-sale journey through production interfaces without spreadsheet work or duplicate entry, except a documented temporary fallback for an external provider. FBL-190 is not full Tekion/CDK/Reynolds/Dealertrack parity; management-focused DMS parity requires FBL-200 through FBL-220.</w:t>
            </w:r>
          </w:p>
        </w:tc>
      </w:tr>
    </w:tbl>
    <w:p>
      <w:pPr>
        <w:spacing w:after="0"/>
      </w:pPr>
    </w:p>
    <w:p>
      <w:pPr>
        <w:pStyle w:val="Heading2"/>
      </w:pPr>
      <w:r>
        <w:t>13.4 Enterprise expansion after V1</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500"/>
        <w:gridCol w:w="7860"/>
      </w:tblGrid>
      <w:tr>
        <w:trPr>
          <w:cantSplit/>
          <w:tblHeader w:val="true"/>
        </w:trPr>
        <w:tc>
          <w:tcPr>
            <w:tcW w:type="dxa" w:w="1500"/>
            <w:tcMar>
              <w:top w:w="80" w:type="dxa"/>
              <w:start w:w="120" w:type="dxa"/>
              <w:bottom w:w="80" w:type="dxa"/>
              <w:end w:w="120" w:type="dxa"/>
            </w:tcMar>
            <w:shd w:fill="F2F4F7"/>
            <w:vAlign w:val="center"/>
          </w:tcPr>
          <w:p>
            <w:pPr>
              <w:keepNext/>
              <w:spacing w:after="0"/>
            </w:pPr>
            <w:r>
              <w:rPr>
                <w:rFonts w:ascii="Calibri" w:hAnsi="Calibri"/>
                <w:b/>
                <w:color w:val="0B2545"/>
                <w:sz w:val="17"/>
              </w:rPr>
              <w:t>Phase</w:t>
            </w:r>
          </w:p>
        </w:tc>
        <w:tc>
          <w:tcPr>
            <w:tcW w:type="dxa" w:w="7860"/>
            <w:tcMar>
              <w:top w:w="80" w:type="dxa"/>
              <w:start w:w="120" w:type="dxa"/>
              <w:bottom w:w="80" w:type="dxa"/>
              <w:end w:w="120" w:type="dxa"/>
            </w:tcMar>
            <w:shd w:fill="F2F4F7"/>
            <w:vAlign w:val="center"/>
          </w:tcPr>
          <w:p>
            <w:pPr>
              <w:keepNext/>
              <w:spacing w:after="0"/>
            </w:pPr>
            <w:r>
              <w:rPr>
                <w:rFonts w:ascii="Calibri" w:hAnsi="Calibri"/>
                <w:b/>
                <w:color w:val="0B2545"/>
                <w:sz w:val="17"/>
              </w:rPr>
              <w:t>Outcome</w:t>
            </w:r>
          </w:p>
        </w:tc>
      </w:tr>
      <w:tr>
        <w:trPr>
          <w:trHeight w:hRule="atLeast"/>
          <w:cantSplit/>
          <w:cantSplit/>
        </w:trPr>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7"/>
              </w:rPr>
              <w:t>FBL-200</w:t>
            </w:r>
          </w:p>
        </w:tc>
        <w:tc>
          <w:tcPr>
            <w:tcW w:type="dxa" w:w="7860"/>
            <w:vAlign w:val="top"/>
            <w:tcMar>
              <w:top w:w="80" w:type="dxa"/>
              <w:start w:w="120" w:type="dxa"/>
              <w:bottom w:w="80" w:type="dxa"/>
              <w:end w:w="120" w:type="dxa"/>
            </w:tcMar>
          </w:tcPr>
          <w:p>
            <w:pPr>
              <w:spacing w:before="0" w:after="40" w:line="240" w:lineRule="auto"/>
            </w:pPr>
            <w:r>
              <w:rPr>
                <w:rFonts w:ascii="Calibri" w:hAnsi="Calibri"/>
                <w:b w:val="0"/>
                <w:color w:val="1F2328"/>
                <w:sz w:val="17"/>
              </w:rPr>
              <w:t>Native dealership accounting: GL, AR, AP, cashiering, floorplan, bank reconciliation, commissions and month-end close</w:t>
            </w:r>
          </w:p>
        </w:tc>
      </w:tr>
      <w:tr>
        <w:trPr>
          <w:trHeight w:hRule="atLeast"/>
          <w:cantSplit/>
          <w:cantSplit/>
        </w:trPr>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7"/>
              </w:rPr>
              <w:t>FBL-210</w:t>
            </w:r>
          </w:p>
        </w:tc>
        <w:tc>
          <w:tcPr>
            <w:tcW w:type="dxa" w:w="7860"/>
            <w:vAlign w:val="top"/>
            <w:tcMar>
              <w:top w:w="80" w:type="dxa"/>
              <w:start w:w="120" w:type="dxa"/>
              <w:bottom w:w="80" w:type="dxa"/>
              <w:end w:w="120" w:type="dxa"/>
            </w:tcMar>
          </w:tcPr>
          <w:p>
            <w:pPr>
              <w:spacing w:before="0" w:after="40" w:line="240" w:lineRule="auto"/>
            </w:pPr>
            <w:r>
              <w:rPr>
                <w:rFonts w:ascii="Calibri" w:hAnsi="Calibri"/>
                <w:b w:val="0"/>
                <w:color w:val="1F2328"/>
                <w:sz w:val="17"/>
              </w:rPr>
              <w:t>Enterprise multi-rooftop controls, shared services, consolidated reporting and close</w:t>
            </w:r>
          </w:p>
        </w:tc>
      </w:tr>
      <w:tr>
        <w:trPr>
          <w:trHeight w:hRule="atLeast"/>
          <w:cantSplit/>
          <w:cantSplit/>
        </w:trPr>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7"/>
              </w:rPr>
              <w:t>FBL-220</w:t>
            </w:r>
          </w:p>
        </w:tc>
        <w:tc>
          <w:tcPr>
            <w:tcW w:type="dxa" w:w="7860"/>
            <w:vAlign w:val="top"/>
            <w:tcMar>
              <w:top w:w="80" w:type="dxa"/>
              <w:start w:w="120" w:type="dxa"/>
              <w:bottom w:w="80" w:type="dxa"/>
              <w:end w:w="120" w:type="dxa"/>
            </w:tcMar>
          </w:tcPr>
          <w:p>
            <w:pPr>
              <w:spacing w:before="0" w:after="40" w:line="240" w:lineRule="auto"/>
            </w:pPr>
            <w:r>
              <w:rPr>
                <w:rFonts w:ascii="Calibri" w:hAnsi="Calibri"/>
                <w:b w:val="0"/>
                <w:color w:val="1F2328"/>
                <w:sz w:val="17"/>
              </w:rPr>
              <w:t>Expanded OEM, lender, DMV/title, tax, valuation, marketplace and compliance certifications</w:t>
            </w:r>
          </w:p>
        </w:tc>
      </w:tr>
      <w:tr>
        <w:trPr>
          <w:trHeight w:hRule="atLeast"/>
          <w:cantSplit/>
          <w:cantSplit/>
        </w:trPr>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7"/>
              </w:rPr>
              <w:t>FBL-230</w:t>
            </w:r>
          </w:p>
        </w:tc>
        <w:tc>
          <w:tcPr>
            <w:tcW w:type="dxa" w:w="7860"/>
            <w:vAlign w:val="top"/>
            <w:tcMar>
              <w:top w:w="80" w:type="dxa"/>
              <w:start w:w="120" w:type="dxa"/>
              <w:bottom w:w="80" w:type="dxa"/>
              <w:end w:w="120" w:type="dxa"/>
            </w:tcMar>
          </w:tcPr>
          <w:p>
            <w:pPr>
              <w:spacing w:before="0" w:after="40" w:line="240" w:lineRule="auto"/>
            </w:pPr>
            <w:r>
              <w:rPr>
                <w:rFonts w:ascii="Calibri" w:hAnsi="Calibri"/>
                <w:b w:val="0"/>
                <w:color w:val="1F2328"/>
                <w:sz w:val="17"/>
              </w:rPr>
              <w:t>Partner/developer platform, sandbox, marketplace, connector certification and monetization</w:t>
            </w:r>
          </w:p>
        </w:tc>
      </w:tr>
      <w:tr>
        <w:trPr>
          <w:trHeight w:hRule="atLeast"/>
          <w:cantSplit/>
          <w:cantSplit/>
        </w:trPr>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7"/>
              </w:rPr>
              <w:t>FBL-240</w:t>
            </w:r>
          </w:p>
        </w:tc>
        <w:tc>
          <w:tcPr>
            <w:tcW w:type="dxa" w:w="7860"/>
            <w:vAlign w:val="top"/>
            <w:tcMar>
              <w:top w:w="80" w:type="dxa"/>
              <w:start w:w="120" w:type="dxa"/>
              <w:bottom w:w="80" w:type="dxa"/>
              <w:end w:w="120" w:type="dxa"/>
            </w:tcMar>
          </w:tcPr>
          <w:p>
            <w:pPr>
              <w:spacing w:before="0" w:after="40" w:line="240" w:lineRule="auto"/>
            </w:pPr>
            <w:r>
              <w:rPr>
                <w:rFonts w:ascii="Calibri" w:hAnsi="Calibri"/>
                <w:b w:val="0"/>
                <w:color w:val="1F2328"/>
                <w:sz w:val="17"/>
              </w:rPr>
              <w:t>Governed AI for inventory, CRM, marketing, sales, management forecasting and exception guidance</w:t>
            </w:r>
          </w:p>
        </w:tc>
      </w:tr>
      <w:tr>
        <w:trPr>
          <w:trHeight w:hRule="atLeast"/>
          <w:cantSplit/>
          <w:cantSplit/>
        </w:trPr>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7"/>
              </w:rPr>
              <w:t>FBL-300+</w:t>
            </w:r>
          </w:p>
        </w:tc>
        <w:tc>
          <w:tcPr>
            <w:tcW w:type="dxa" w:w="7860"/>
            <w:vAlign w:val="top"/>
            <w:tcMar>
              <w:top w:w="80" w:type="dxa"/>
              <w:start w:w="120" w:type="dxa"/>
              <w:bottom w:w="80" w:type="dxa"/>
              <w:end w:w="120" w:type="dxa"/>
            </w:tcMar>
          </w:tcPr>
          <w:p>
            <w:pPr>
              <w:spacing w:before="0" w:after="40" w:line="240" w:lineRule="auto"/>
            </w:pPr>
            <w:r>
              <w:rPr>
                <w:rFonts w:ascii="Calibri" w:hAnsi="Calibri"/>
                <w:b w:val="0"/>
                <w:color w:val="1F2328"/>
                <w:sz w:val="17"/>
              </w:rPr>
              <w:t>Fixed Ops/repairs only after a separate product-owner authorization and independently locked roadmap</w:t>
            </w:r>
          </w:p>
        </w:tc>
      </w:tr>
    </w:tbl>
    <w:p>
      <w:pPr>
        <w:spacing w:after="0"/>
      </w:pPr>
    </w:p>
    <w:p>
      <w:pPr>
        <w:pStyle w:val="Heading2"/>
      </w:pPr>
      <w:r>
        <w:t>13.5 Existing-code and data transition</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400"/>
        <w:gridCol w:w="6960"/>
      </w:tblGrid>
      <w:tr>
        <w:trPr>
          <w:cantSplit/>
          <w:tblHeader w:val="true"/>
        </w:trPr>
        <w:tc>
          <w:tcPr>
            <w:tcW w:type="dxa" w:w="2400"/>
            <w:tcMar>
              <w:top w:w="80" w:type="dxa"/>
              <w:start w:w="120" w:type="dxa"/>
              <w:bottom w:w="80" w:type="dxa"/>
              <w:end w:w="120" w:type="dxa"/>
            </w:tcMar>
            <w:shd w:fill="F2F4F7"/>
            <w:vAlign w:val="center"/>
          </w:tcPr>
          <w:p>
            <w:pPr>
              <w:keepNext/>
              <w:spacing w:after="0"/>
            </w:pPr>
            <w:r>
              <w:rPr>
                <w:rFonts w:ascii="Calibri" w:hAnsi="Calibri"/>
                <w:b/>
                <w:color w:val="0B2545"/>
                <w:sz w:val="17"/>
              </w:rPr>
              <w:t>Asset</w:t>
            </w:r>
          </w:p>
        </w:tc>
        <w:tc>
          <w:tcPr>
            <w:tcW w:type="dxa" w:w="6960"/>
            <w:tcMar>
              <w:top w:w="80" w:type="dxa"/>
              <w:start w:w="120" w:type="dxa"/>
              <w:bottom w:w="80" w:type="dxa"/>
              <w:end w:w="120" w:type="dxa"/>
            </w:tcMar>
            <w:shd w:fill="F2F4F7"/>
            <w:vAlign w:val="center"/>
          </w:tcPr>
          <w:p>
            <w:pPr>
              <w:keepNext/>
              <w:spacing w:after="0"/>
            </w:pPr>
            <w:r>
              <w:rPr>
                <w:rFonts w:ascii="Calibri" w:hAnsi="Calibri"/>
                <w:b/>
                <w:color w:val="0B2545"/>
                <w:sz w:val="17"/>
              </w:rPr>
              <w:t>Binding transition rule</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Inherited Fixed Ops module</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Freeze behind its module boundary; permit only security, compatibility, migration and regression fixes before FBL-300+</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Current service tables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Preserve by forward migration and compatibility repositories; do not make them dependencies of management-and-sales contexts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Existing IDs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Preserve as legacy external IDs; issue canonical IDs and maintain explicit mappings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Audit events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Preserve historical evidence; new events use the durable envelope and remain append-only</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Routes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Preserve characterized inherited behavior; publish new /api/v1 management-and-sales contracts through FBL-040 onward</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Tests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Keep inherited characterization tests green; new phases add real PostgreSQL, security-negative, contract and end-to-end proofs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Dealer imports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Stage, normalize, match, validate, reconcile, obtain business signoff, cut over, and retain source snapshots</w:t>
            </w:r>
          </w:p>
        </w:tc>
      </w:tr>
    </w:tbl>
    <w:p>
      <w:pPr>
        <w:spacing w:after="0"/>
      </w:pPr>
    </w:p>
    <w:p>
      <w:pPr>
        <w:pStyle w:val="Heading2"/>
      </w:pPr>
      <w:r>
        <w:t>13.6 No-loop execution law</w:t>
      </w:r>
    </w:p>
    <w:p>
      <w:pPr>
        <w:pageBreakBefore w:val="0"/>
        <w:ind w:left="504" w:hanging="360"/>
      </w:pPr>
      <w:r>
        <w:t>1. SO-001 governs every order, chat, implementation, review, and handoff.</w:t>
      </w:r>
    </w:p>
    <w:p>
      <w:pPr>
        <w:pageBreakBefore w:val="0"/>
        <w:ind w:left="504" w:hanging="360"/>
      </w:pPr>
      <w:r>
        <w:t>2. Only one release train and one consolidated gate are active. Scope locks before coding with no more than ten outcome-level acceptance rows.</w:t>
      </w:r>
    </w:p>
    <w:p>
      <w:pPr>
        <w:pageBreakBefore w:val="0"/>
        <w:ind w:left="504" w:hanging="360"/>
      </w:pPr>
      <w:r>
        <w:t>3. Criteria do not expand after coding begins except for an owner change or a reproducible S0/S1 defect.</w:t>
      </w:r>
    </w:p>
    <w:p>
      <w:pPr>
        <w:pageBreakBefore w:val="0"/>
        <w:ind w:left="504" w:hanging="360"/>
      </w:pPr>
      <w:r>
        <w:t>4. Every business release ends in a working UI demonstration using persisted data.</w:t>
      </w:r>
    </w:p>
    <w:p>
      <w:pPr>
        <w:pageBreakBefore w:val="0"/>
        <w:ind w:left="504" w:hanging="360"/>
      </w:pPr>
      <w:r>
        <w:t>5. One consolidated review returns ACCEPTED, BOUNDED CORRECTION, or OWNER DECISION REQUIRED.</w:t>
      </w:r>
    </w:p>
    <w:p>
      <w:pPr>
        <w:pageBreakBefore w:val="0"/>
        <w:ind w:left="504" w:hanging="360"/>
      </w:pPr>
      <w:r>
        <w:t>6. One bounded correction cycle is permitted. Re-review covers only failed rows and direct regressions.</w:t>
      </w:r>
    </w:p>
    <w:p>
      <w:pPr>
        <w:pageBreakBefore w:val="0"/>
        <w:ind w:left="504" w:hanging="360"/>
      </w:pPr>
      <w:r>
        <w:t>7. Closed phases never reopen; later defects use forward-numbered patches, migrations, or hotfixes.</w:t>
      </w:r>
    </w:p>
    <w:p>
      <w:pPr>
        <w:pageBreakBefore w:val="0"/>
        <w:ind w:left="504" w:hanging="360"/>
      </w:pPr>
      <w:r>
        <w:t>8. Verification is proportional. Arbitrary test, suite, mutation, document, hash, commit, and evidence-file counts are prohibited as velocity or acceptance targets.</w:t>
      </w:r>
    </w:p>
    <w:p>
      <w:pPr>
        <w:pageBreakBefore w:val="0"/>
        <w:ind w:left="504" w:hanging="360"/>
      </w:pPr>
      <w:r>
        <w:t>9. Documentation updates once after implementation stabilizes; external readiness items are tracked separately from code closure.</w:t>
      </w:r>
    </w:p>
    <w:p>
      <w:pPr>
        <w:pageBreakBefore w:val="0"/>
        <w:ind w:left="504" w:hanging="360"/>
      </w:pPr>
      <w:r>
        <w:t>10. The next release starts after the active gate closes. No additional audit or research phase may be inserted without explicit owner approval.</w:t>
      </w:r>
    </w:p>
    <w:p>
      <w:pPr>
        <w:pStyle w:val="Heading1"/>
      </w:pPr>
      <w:r>
        <w:t>14. Fable Implementation Orders</w:t>
      </w:r>
    </w:p>
    <w:p>
      <w:pPr>
        <w:pStyle w:val="Heading2"/>
      </w:pPr>
      <w:r>
        <w:t>14.1 Execution contract</w:t>
      </w:r>
    </w:p>
    <w:tbl>
      <w:tblPr>
        <w:tblW w:type="dxa" w:w="9360"/>
        <w:jc w:val="left"/>
        <w:tblLayout w:type="fixed"/>
        <w:tblLook w:firstColumn="1" w:firstRow="1" w:lastColumn="0" w:lastRow="0" w:noHBand="0" w:noVBand="1" w:val="04A0"/>
        <w:tblInd w:w="120" w:type="dxa"/>
        <w:tblBorders>
          <w:top w:val="single" w:sz="6" w:space="0" w:color="1F4D78"/>
          <w:left w:val="single" w:sz="6" w:space="0" w:color="1F4D78"/>
          <w:bottom w:val="single" w:sz="6" w:space="0" w:color="1F4D78"/>
          <w:right w:val="single" w:sz="6" w:space="0" w:color="1F4D78"/>
          <w:insideH w:val="single" w:sz="6" w:space="0" w:color="1F4D78"/>
          <w:insideV w:val="single" w:sz="6" w:space="0" w:color="1F4D78"/>
        </w:tblBorders>
      </w:tblPr>
      <w:tblGrid>
        <w:gridCol w:w="9360"/>
      </w:tblGrid>
      <w:tr>
        <w:trPr>
          <w:cantSplit/>
        </w:trPr>
        <w:tc>
          <w:tcPr>
            <w:tcW w:type="dxa" w:w="9360"/>
            <w:tcMar>
              <w:top w:w="80" w:type="dxa"/>
              <w:start w:w="120" w:type="dxa"/>
              <w:bottom w:w="80" w:type="dxa"/>
              <w:end w:w="120" w:type="dxa"/>
            </w:tcMar>
            <w:shd w:fill="EAF2F8"/>
            <w:vAlign w:val="center"/>
            <w:tcBorders>
              <w:top w:val="single" w:sz="10" w:color="1F4E78"/>
              <w:left w:val="single" w:sz="10" w:color="1F4E78"/>
              <w:bottom w:val="single" w:sz="10" w:color="1F4E78"/>
              <w:right w:val="single" w:sz="10" w:color="1F4E78"/>
              <w:insideH w:val="single" w:sz="10" w:color="1F4E78"/>
              <w:insideV w:val="single" w:sz="10" w:color="1F4E78"/>
            </w:tcBorders>
          </w:tcPr>
          <w:p>
            <w:r>
              <w:t>Instruction to Fable</w:t>
              <w:br/>
              <w:t>Follow Section 14.3 only: close the seven named RT4 finish-line gaps, merge PR #16 when the objective proof is green, and continue immediately into FBL-120 Appraisal and Desking. Do not reopen passed work, search for new findings, or stop between the two parts.</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700"/>
        <w:gridCol w:w="6660"/>
      </w:tblGrid>
      <w:tr>
        <w:trPr>
          <w:cantSplit/>
          <w:tblHeader w:val="true"/>
        </w:trPr>
        <w:tc>
          <w:tcPr>
            <w:tcW w:type="dxa" w:w="2700"/>
            <w:tcMar>
              <w:top w:w="80" w:type="dxa"/>
              <w:start w:w="120" w:type="dxa"/>
              <w:bottom w:w="80" w:type="dxa"/>
              <w:end w:w="120" w:type="dxa"/>
            </w:tcMar>
            <w:shd w:fill="F2F4F7"/>
            <w:vAlign w:val="center"/>
          </w:tcPr>
          <w:p>
            <w:pPr>
              <w:keepNext/>
              <w:spacing w:after="0"/>
            </w:pPr>
            <w:r>
              <w:rPr>
                <w:rFonts w:ascii="Calibri" w:hAnsi="Calibri"/>
                <w:b/>
                <w:color w:val="0B2545"/>
                <w:sz w:val="17"/>
              </w:rPr>
              <w:t>Packet field</w:t>
            </w:r>
          </w:p>
        </w:tc>
        <w:tc>
          <w:tcPr>
            <w:tcW w:type="dxa" w:w="6660"/>
            <w:tcMar>
              <w:top w:w="80" w:type="dxa"/>
              <w:start w:w="120" w:type="dxa"/>
              <w:bottom w:w="80" w:type="dxa"/>
              <w:end w:w="120" w:type="dxa"/>
            </w:tcMar>
            <w:shd w:fill="F2F4F7"/>
            <w:vAlign w:val="center"/>
          </w:tcPr>
          <w:p>
            <w:pPr>
              <w:keepNext/>
              <w:spacing w:after="0"/>
            </w:pPr>
            <w:r>
              <w:rPr>
                <w:rFonts w:ascii="Calibri" w:hAnsi="Calibri"/>
                <w:b/>
                <w:color w:val="0B2545"/>
                <w:sz w:val="17"/>
              </w:rPr>
              <w:t>Required content</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Order ID and objective</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One measurable outcome</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Inputs and dependencies</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Approved ADRs, prior artifacts, provider contracts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In scope / non-goals</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Explicit boundary against opportunistic work</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Design obligations</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Domain invariants, data ownership, security, API/event contracts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Deliverables</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Code, schema, docs, migrations, dashboards, runbooks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Verification</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Exact commands/suites and required negative cases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Evidence pack</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Diff summary, schemas, OpenAPI diff, migration proof, screenshots/results, risks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Exit gate</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Binary acceptance conditions and approval owner</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Rollback</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How a failed release or migration is reversed/contained</w:t>
            </w:r>
          </w:p>
        </w:tc>
      </w:tr>
    </w:tbl>
    <w:p>
      <w:pPr>
        <w:spacing w:after="0"/>
      </w:pPr>
    </w:p>
    <w:p>
      <w:pPr>
        <w:pStyle w:val="Heading2"/>
      </w:pPr>
      <w:r>
        <w:t>14.2 Ordered backlog</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150"/>
        <w:gridCol w:w="1880"/>
        <w:gridCol w:w="950"/>
        <w:gridCol w:w="3740"/>
        <w:gridCol w:w="1640"/>
      </w:tblGrid>
      <w:tr>
        <w:trPr>
          <w:cantSplit/>
          <w:tblHeader w:val="true"/>
        </w:trPr>
        <w:tc>
          <w:tcPr>
            <w:tcW w:type="dxa" w:w="1150"/>
            <w:tcMar>
              <w:top w:w="80" w:type="dxa"/>
              <w:start w:w="120" w:type="dxa"/>
              <w:bottom w:w="80" w:type="dxa"/>
              <w:end w:w="120" w:type="dxa"/>
            </w:tcMar>
            <w:shd w:fill="F2F4F7"/>
            <w:vAlign w:val="center"/>
          </w:tcPr>
          <w:p>
            <w:pPr>
              <w:keepNext/>
              <w:spacing w:after="0"/>
            </w:pPr>
            <w:r>
              <w:rPr>
                <w:rFonts w:ascii="Calibri" w:hAnsi="Calibri"/>
                <w:b/>
                <w:color w:val="0B2545"/>
                <w:sz w:val="14"/>
              </w:rPr>
              <w:t>Order</w:t>
            </w:r>
          </w:p>
        </w:tc>
        <w:tc>
          <w:tcPr>
            <w:tcW w:type="dxa" w:w="1880"/>
            <w:tcMar>
              <w:top w:w="80" w:type="dxa"/>
              <w:start w:w="120" w:type="dxa"/>
              <w:bottom w:w="80" w:type="dxa"/>
              <w:end w:w="120" w:type="dxa"/>
            </w:tcMar>
            <w:shd w:fill="F2F4F7"/>
            <w:vAlign w:val="center"/>
          </w:tcPr>
          <w:p>
            <w:pPr>
              <w:keepNext/>
              <w:spacing w:after="0"/>
            </w:pPr>
            <w:r>
              <w:rPr>
                <w:rFonts w:ascii="Calibri" w:hAnsi="Calibri"/>
                <w:b/>
                <w:color w:val="0B2545"/>
                <w:sz w:val="14"/>
              </w:rPr>
              <w:t>Objective</w:t>
            </w:r>
          </w:p>
        </w:tc>
        <w:tc>
          <w:tcPr>
            <w:tcW w:type="dxa" w:w="950"/>
            <w:tcMar>
              <w:top w:w="80" w:type="dxa"/>
              <w:start w:w="120" w:type="dxa"/>
              <w:bottom w:w="80" w:type="dxa"/>
              <w:end w:w="120" w:type="dxa"/>
            </w:tcMar>
            <w:shd w:fill="F2F4F7"/>
            <w:vAlign w:val="center"/>
          </w:tcPr>
          <w:p>
            <w:pPr>
              <w:keepNext/>
              <w:spacing w:after="0"/>
            </w:pPr>
            <w:r>
              <w:rPr>
                <w:rFonts w:ascii="Calibri" w:hAnsi="Calibri"/>
                <w:b/>
                <w:color w:val="0B2545"/>
                <w:sz w:val="14"/>
              </w:rPr>
              <w:t>Status</w:t>
            </w:r>
          </w:p>
        </w:tc>
        <w:tc>
          <w:tcPr>
            <w:tcW w:type="dxa" w:w="3740"/>
            <w:tcMar>
              <w:top w:w="80" w:type="dxa"/>
              <w:start w:w="120" w:type="dxa"/>
              <w:bottom w:w="80" w:type="dxa"/>
              <w:end w:w="120" w:type="dxa"/>
            </w:tcMar>
            <w:shd w:fill="F2F4F7"/>
            <w:vAlign w:val="center"/>
          </w:tcPr>
          <w:p>
            <w:pPr>
              <w:keepNext/>
              <w:spacing w:after="0"/>
            </w:pPr>
            <w:r>
              <w:rPr>
                <w:rFonts w:ascii="Calibri" w:hAnsi="Calibri"/>
                <w:b/>
                <w:color w:val="0B2545"/>
                <w:sz w:val="14"/>
              </w:rPr>
              <w:t>Scope</w:t>
            </w:r>
          </w:p>
        </w:tc>
        <w:tc>
          <w:tcPr>
            <w:tcW w:type="dxa" w:w="1640"/>
            <w:tcMar>
              <w:top w:w="80" w:type="dxa"/>
              <w:start w:w="120" w:type="dxa"/>
              <w:bottom w:w="80" w:type="dxa"/>
              <w:end w:w="120" w:type="dxa"/>
            </w:tcMar>
            <w:shd w:fill="F2F4F7"/>
            <w:vAlign w:val="center"/>
          </w:tcPr>
          <w:p>
            <w:pPr>
              <w:keepNext/>
              <w:spacing w:after="0"/>
            </w:pPr>
            <w:r>
              <w:rPr>
                <w:rFonts w:ascii="Calibri" w:hAnsi="Calibri"/>
                <w:b/>
                <w:color w:val="0B2545"/>
                <w:sz w:val="14"/>
              </w:rPr>
              <w:t>Gate</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FBL-000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Reproducible baseline</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CLOSED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Accepted and permanently closed</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Never reopen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FBL-010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Architecture shell</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CLOSED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Accepted and permanently closed</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Never reopen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FBL-020 (R7-C2)</w:t>
            </w:r>
          </w:p>
        </w:tc>
        <w:tc>
          <w:tcPr>
            <w:tcW w:type="dxa" w:w="188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Managed identity boundary</w:t>
            </w:r>
          </w:p>
        </w:tc>
        <w:tc>
          <w:tcPr>
            <w:tcW w:type="dxa" w:w="9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CLOSED</w:t>
            </w:r>
          </w:p>
        </w:tc>
        <w:tc>
          <w:tcPr>
            <w:tcW w:type="dxa" w:w="37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Accepted at df45d9e; exact-head CI #70 green; PR #12 merged</w:t>
            </w:r>
          </w:p>
        </w:tc>
        <w:tc>
          <w:tcPr>
            <w:tcW w:type="dxa" w:w="16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Never reopen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FBL-030</w:t>
            </w:r>
          </w:p>
        </w:tc>
        <w:tc>
          <w:tcPr>
            <w:tcW w:type="dxa" w:w="188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Database tenant enforcement</w:t>
            </w:r>
          </w:p>
        </w:tc>
        <w:tc>
          <w:tcPr>
            <w:tcW w:type="dxa" w:w="9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CLOSED - TRAIN 1</w:t>
            </w:r>
          </w:p>
        </w:tc>
        <w:tc>
          <w:tcPr>
            <w:tcW w:type="dxa" w:w="37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Accepted administration tenancy controls</w:t>
            </w:r>
          </w:p>
        </w:tc>
        <w:tc>
          <w:tcPr>
            <w:tcW w:type="dxa" w:w="16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Never reopen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FBL-040</w:t>
            </w:r>
          </w:p>
        </w:tc>
        <w:tc>
          <w:tcPr>
            <w:tcW w:type="dxa" w:w="188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Administration contract and durability</w:t>
            </w:r>
          </w:p>
        </w:tc>
        <w:tc>
          <w:tcPr>
            <w:tcW w:type="dxa" w:w="9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CLOSED - TRAIN 1</w:t>
            </w:r>
          </w:p>
        </w:tc>
        <w:tc>
          <w:tcPr>
            <w:tcW w:type="dxa" w:w="37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Accepted API, idempotency, audit, correlation, and outbox behavior</w:t>
            </w:r>
          </w:p>
        </w:tc>
        <w:tc>
          <w:tcPr>
            <w:tcW w:type="dxa" w:w="16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Never reopen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FBL-050</w:t>
            </w:r>
          </w:p>
        </w:tc>
        <w:tc>
          <w:tcPr>
            <w:tcW w:type="dxa" w:w="188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Staff shell and administration</w:t>
            </w:r>
          </w:p>
        </w:tc>
        <w:tc>
          <w:tcPr>
            <w:tcW w:type="dxa" w:w="9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CLOSED - TRAIN 1</w:t>
            </w:r>
          </w:p>
        </w:tc>
        <w:tc>
          <w:tcPr>
            <w:tcW w:type="dxa" w:w="37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Accepted owner journey; PR #13 merged at 371819c</w:t>
            </w:r>
          </w:p>
        </w:tc>
        <w:tc>
          <w:tcPr>
            <w:tcW w:type="dxa" w:w="16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Never reopen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FBL-060</w:t>
            </w:r>
          </w:p>
        </w:tc>
        <w:tc>
          <w:tcPr>
            <w:tcW w:type="dxa" w:w="188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Customer and acquisition-party identity</w:t>
            </w:r>
          </w:p>
        </w:tc>
        <w:tc>
          <w:tcPr>
            <w:tcW w:type="dxa" w:w="9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CLOSED - TRAIN 2</w:t>
            </w:r>
          </w:p>
        </w:tc>
        <w:tc>
          <w:tcPr>
            <w:tcW w:type="dxa" w:w="37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Consent, dedupe, merge, search, imports, and acquisition linkage</w:t>
            </w:r>
          </w:p>
        </w:tc>
        <w:tc>
          <w:tcPr>
            <w:tcW w:type="dxa" w:w="16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Accepted and merged at 516cc86; never reopen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FBL-070</w:t>
            </w:r>
          </w:p>
        </w:tc>
        <w:tc>
          <w:tcPr>
            <w:tcW w:type="dxa" w:w="188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Vehicle master and acquisition</w:t>
            </w:r>
          </w:p>
        </w:tc>
        <w:tc>
          <w:tcPr>
            <w:tcW w:type="dxa" w:w="9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CLOSED - TRAIN 2</w:t>
            </w:r>
          </w:p>
        </w:tc>
        <w:tc>
          <w:tcPr>
            <w:tcW w:type="dxa" w:w="37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Canonical vehicle and stock, location, documents, costs, and readiness</w:t>
            </w:r>
          </w:p>
        </w:tc>
        <w:tc>
          <w:tcPr>
            <w:tcW w:type="dxa" w:w="16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Accepted and merged at 516cc86; never reopen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FBL-080</w:t>
            </w:r>
          </w:p>
        </w:tc>
        <w:tc>
          <w:tcPr>
            <w:tcW w:type="dxa" w:w="188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Inventory and merchandising</w:t>
            </w:r>
          </w:p>
        </w:tc>
        <w:tc>
          <w:tcPr>
            <w:tcW w:type="dxa" w:w="9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CLOSED - TRAIN 2</w:t>
            </w:r>
          </w:p>
        </w:tc>
        <w:tc>
          <w:tcPr>
            <w:tcW w:type="dxa" w:w="37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Pricing, media, holds, transfers, listing, and resource resolution</w:t>
            </w:r>
          </w:p>
        </w:tc>
        <w:tc>
          <w:tcPr>
            <w:tcW w:type="dxa" w:w="16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Accepted and merged at 516cc86; never reopen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FBL-090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CRM and BDC</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CLOSED - RT3</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Accepted owner path and exact-scope behavior</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Merged at f2a4f60; never reopen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FBL-100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Sales and showroom</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BOUNDED CLOSURE - RT4 C1</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Preserve implementation; correct only seven named finish-line gaps</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Section 14.3 Part A</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FBL-110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Marketing and attribution</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CLOSED - RT3</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Accepted consent, delivery and revenue-boundary behavior</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Merged at f2a4f60; never reopen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FBL-120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Appraisal and desking</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NEXT</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Pre-authorized trade and deterministic manager-approved deal versions</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Section 14.3 Part B frozen scenario</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FBL-130</w:t>
            </w:r>
          </w:p>
        </w:tc>
        <w:tc>
          <w:tcPr>
            <w:tcW w:type="dxa" w:w="188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Online-to-store continuity</w:t>
            </w:r>
          </w:p>
        </w:tc>
        <w:tc>
          <w:tcPr>
            <w:tcW w:type="dxa" w:w="9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POST-PILOT</w:t>
            </w:r>
          </w:p>
        </w:tc>
        <w:tc>
          <w:tcPr>
            <w:tcW w:type="dxa" w:w="37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Advanced digital retail follows the one-account pilot unless the owner explicitly activates it.</w:t>
            </w:r>
          </w:p>
        </w:tc>
        <w:tc>
          <w:tcPr>
            <w:tcW w:type="dxa" w:w="16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Owner activation</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FBL-140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Deal jacket and e-sign</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Versioned documents, checklist, signatures and retention</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Signed package</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FBL-150</w:t>
            </w:r>
          </w:p>
        </w:tc>
        <w:tc>
          <w:tcPr>
            <w:tcW w:type="dxa" w:w="188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F&amp;I provider handoff</w:t>
            </w:r>
          </w:p>
        </w:tc>
        <w:tc>
          <w:tcPr>
            <w:tcW w:type="dxa" w:w="95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LIMITED</w:t>
            </w:r>
          </w:p>
        </w:tc>
        <w:tc>
          <w:tcPr>
            <w:tcW w:type="dxa" w:w="37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Basic provider handoff may support the pilot; deep certified F&amp;I integration follows owner authorization.</w:t>
            </w:r>
          </w:p>
        </w:tc>
        <w:tc>
          <w:tcPr>
            <w:tcW w:type="dxa" w:w="1640"/>
            <w:vAlign w:val="top"/>
            <w:tcMar>
              <w:top w:w="80" w:type="dxa"/>
              <w:start w:w="120" w:type="dxa"/>
              <w:bottom w:w="80" w:type="dxa"/>
              <w:end w:w="120" w:type="dxa"/>
            </w:tcMar>
          </w:tcPr>
          <w:p>
            <w:pPr>
              <w:spacing w:before="0" w:after="40" w:line="240" w:lineRule="auto"/>
              <w:jc w:val="left"/>
            </w:pPr>
            <w:r>
              <w:rPr>
                <w:rFonts w:ascii="Calibri" w:hAnsi="Calibri"/>
                <w:b w:val="0"/>
                <w:color w:val="1F2328"/>
                <w:sz w:val="14"/>
              </w:rPr>
              <w:t>Pilot handoff</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FBL-160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Funding, title and delivery</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Payment, funding, title, registration, delivery and sold reconcile</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Funded delivery</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FBL-170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Workforce and executive management</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Goals, commissions, approvals, alerts and scorecards</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Source reconcile</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FBL-180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Production hardening</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SaaS operations, security, accessibility, load, restore, DR and training</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Readiness gate</w:t>
            </w:r>
          </w:p>
        </w:tc>
      </w:tr>
      <w:tr>
        <w:trPr>
          <w:trHeight w:hRule="atLeast"/>
          <w:cantSplit/>
          <w:cantSplit/>
          <w:cantSplit/>
          <w:cantSplit/>
          <w:cantSplit/>
        </w:trPr>
        <w:tc>
          <w:tcPr>
            <w:tcW w:type="dxa" w:w="1150"/>
            <w:vAlign w:val="top"/>
            <w:tcMar>
              <w:top w:w="80" w:type="dxa"/>
              <w:start w:w="120" w:type="dxa"/>
              <w:bottom w:w="80" w:type="dxa"/>
              <w:end w:w="120" w:type="dxa"/>
            </w:tcMar>
          </w:tcPr>
          <w:p>
            <w:pPr>
              <w:spacing w:before="0" w:after="40" w:line="240" w:lineRule="auto"/>
            </w:pPr>
            <w:r>
              <w:rPr>
                <w:rFonts w:ascii="Calibri" w:hAnsi="Calibri"/>
                <w:b w:val="0"/>
                <w:color w:val="1F2328"/>
                <w:sz w:val="14"/>
              </w:rPr>
              <w:t>FBL-190</w:t>
            </w:r>
          </w:p>
        </w:tc>
        <w:tc>
          <w:tcPr>
            <w:tcW w:type="dxa" w:w="1880"/>
            <w:vAlign w:val="top"/>
            <w:tcMar>
              <w:top w:w="80" w:type="dxa"/>
              <w:start w:w="120" w:type="dxa"/>
              <w:bottom w:w="80" w:type="dxa"/>
              <w:end w:w="120" w:type="dxa"/>
            </w:tcMar>
          </w:tcPr>
          <w:p>
            <w:pPr>
              <w:spacing w:before="0" w:after="40" w:line="240" w:lineRule="auto"/>
            </w:pPr>
            <w:r>
              <w:rPr>
                <w:rFonts w:ascii="Calibri" w:hAnsi="Calibri"/>
                <w:b w:val="0"/>
                <w:color w:val="1F2328"/>
                <w:sz w:val="14"/>
              </w:rPr>
              <w:t>Controlled pilot and launch</w:t>
            </w:r>
          </w:p>
        </w:tc>
        <w:tc>
          <w:tcPr>
            <w:tcW w:type="dxa" w:w="950"/>
            <w:vAlign w:val="top"/>
            <w:tcMar>
              <w:top w:w="80" w:type="dxa"/>
              <w:start w:w="120" w:type="dxa"/>
              <w:bottom w:w="80" w:type="dxa"/>
              <w:end w:w="120" w:type="dxa"/>
            </w:tcMar>
          </w:tcPr>
          <w:p>
            <w:pPr>
              <w:spacing w:before="0" w:after="40" w:line="240" w:lineRule="auto"/>
            </w:pPr>
            <w:r>
              <w:rPr>
                <w:rFonts w:ascii="Calibri" w:hAnsi="Calibri"/>
                <w:b w:val="0"/>
                <w:color w:val="1F2328"/>
                <w:sz w:val="14"/>
              </w:rPr>
              <w:t>PLANNED</w:t>
            </w:r>
          </w:p>
        </w:tc>
        <w:tc>
          <w:tcPr>
            <w:tcW w:type="dxa" w:w="3740"/>
            <w:vAlign w:val="top"/>
            <w:tcMar>
              <w:top w:w="80" w:type="dxa"/>
              <w:start w:w="120" w:type="dxa"/>
              <w:bottom w:w="80" w:type="dxa"/>
              <w:end w:w="120" w:type="dxa"/>
            </w:tcMar>
          </w:tcPr>
          <w:p>
            <w:pPr>
              <w:spacing w:before="0" w:after="40" w:line="240" w:lineRule="auto"/>
            </w:pPr>
            <w:r>
              <w:rPr>
                <w:rFonts w:ascii="Calibri" w:hAnsi="Calibri"/>
                <w:b w:val="0"/>
                <w:color w:val="1F2328"/>
                <w:sz w:val="14"/>
              </w:rPr>
              <w:t>Two-rooftop acquisition-to-delivery pilot</w:t>
            </w:r>
          </w:p>
        </w:tc>
        <w:tc>
          <w:tcPr>
            <w:tcW w:type="dxa" w:w="1640"/>
            <w:vAlign w:val="top"/>
            <w:tcMar>
              <w:top w:w="80" w:type="dxa"/>
              <w:start w:w="120" w:type="dxa"/>
              <w:bottom w:w="80" w:type="dxa"/>
              <w:end w:w="120" w:type="dxa"/>
            </w:tcMar>
          </w:tcPr>
          <w:p>
            <w:pPr>
              <w:spacing w:before="0" w:after="40" w:line="240" w:lineRule="auto"/>
            </w:pPr>
            <w:r>
              <w:rPr>
                <w:rFonts w:ascii="Calibri" w:hAnsi="Calibri"/>
                <w:b w:val="0"/>
                <w:color w:val="1F2328"/>
                <w:sz w:val="14"/>
              </w:rPr>
              <w:t>Signed acceptance</w:t>
            </w:r>
          </w:p>
        </w:tc>
      </w:tr>
    </w:tbl>
    <w:p>
      <w:pPr>
        <w:spacing w:after="0"/>
      </w:pPr>
    </w:p>
    <w:p>
      <w:pPr>
        <w:pStyle w:val="Heading2"/>
        <w:pageBreakBefore/>
      </w:pPr>
      <w:r>
        <w:t>14.3 Current active instruction - RT4 bounded closure, then FBL-120</w:t>
      </w:r>
    </w:p>
    <w:tbl>
      <w:tblPr>
        <w:tblW w:type="dxa" w:w="9360"/>
        <w:jc w:val="left"/>
        <w:tblLayout w:type="fixed"/>
        <w:tblLook w:firstColumn="1" w:firstRow="1" w:lastColumn="0" w:lastRow="0" w:noHBand="0" w:noVBand="1" w:val="04A0"/>
        <w:tblInd w:type="dxa" w:w="120"/>
      </w:tblPr>
      <w:tblGrid>
        <w:gridCol w:w="9360"/>
      </w:tblGrid>
      <w:tr>
        <w:trPr/>
        <w:tc>
          <w:tcPr>
            <w:tcW w:type="dxa" w:w="9360"/>
            <w:shd w:fill="EAF2F8"/>
            <w:tcBorders>
              <w:top w:val="single" w:sz="10" w:color="1F4E78"/>
              <w:left w:val="single" w:sz="10" w:color="1F4E78"/>
              <w:bottom w:val="single" w:sz="10" w:color="1F4E78"/>
              <w:right w:val="single" w:sz="10" w:color="1F4E78"/>
              <w:insideH w:val="single" w:sz="10" w:color="1F4E78"/>
              <w:insideV w:val="single" w:sz="10" w:color="1F4E78"/>
            </w:tcBorders>
            <w:tcMar>
              <w:top w:w="80" w:type="dxa"/>
              <w:bottom w:w="80" w:type="dxa"/>
              <w:start w:w="120" w:type="dxa"/>
              <w:end w:w="120" w:type="dxa"/>
            </w:tcMar>
          </w:tcPr>
          <w:p>
            <w:r>
              <w:t>Governing position</w:t>
              <w:br/>
              <w:t>RT3 is accepted, merged at f2a4f60, and frozen. PR #16 at 6a8c149 has genuine green evidence but is not architect-acceptable because the seven locked RT4 rows do not meet their finish-line outcomes. Correct those seven outcomes only. Their objective pass pre-authorizes RT4 merge and immediate FBL-120 activation without another architect loop.</w:t>
            </w:r>
          </w:p>
        </w:tc>
      </w:tr>
    </w:tbl>
    <w:p>
      <w:pPr>
        <w:pStyle w:val="Heading3"/>
      </w:pPr>
      <w:r>
        <w:t>Part A - RT4 C1: Sales and Showroom Finish-Line Closure</w:t>
      </w:r>
    </w:p>
    <w:p>
      <w:pPr/>
      <w:r>
        <w:rPr>
          <w:b/>
        </w:rPr>
        <w:t>Disposition.</w:t>
      </w:r>
      <w:r>
        <w:t xml:space="preserve"> PR #16 remains Draft. Its exact head 6a8c1498bac62dbb7f4f39b907a1901d0f00bb22 and CI run 33409799429 are genuine green evidence, not acceptance. RT3 is accepted and merged at f2a4f60b94c93583b3d6983b9c2fe9454b2f023b; migrations 000-063 are frozen byte-for-byte. Preserve all sound RT4 work and correct only the seven outcomes below in migration 064 and directly related Sales code, UI, and tests. Do not reopen prior trains, redesign the platform, or start another audit.</w:t>
      </w:r>
    </w:p>
    <w:p>
      <w:pPr/>
      <w:r>
        <w:rPr>
          <w:b/>
        </w:rPr>
        <w:t>Fixed evidence and pace.</w:t>
      </w:r>
      <w:r>
        <w:t xml:space="preserve"> Keep the verified 829-test / 83-suite floor, 74/74 runtime mutations, 72/72 database-control mutations, clean upgrade convergence, and all already-passing isolation, authorization, audit, outbox, and non-money controls. Existing green proof may be reused unless a named correction directly changes it. Review and rework are limited to the seven rows and their direct regressions.</w:t>
      </w:r>
    </w:p>
    <w:p>
      <w:pPr>
        <w:pStyle w:val="Heading4"/>
      </w:pPr>
      <w:r>
        <w:rPr>
          <w:b/>
        </w:rPr>
        <w:t>Seven bounded corrections</w:t>
      </w:r>
    </w:p>
    <w:p>
      <w:pPr>
        <w:pStyle w:val="ListBullet"/>
      </w:pPr>
      <w:r>
        <w:rPr>
          <w:b/>
        </w:rPr>
        <w:t>Row 1 - Canonical sales intake.</w:t>
      </w:r>
      <w:r>
        <w:t xml:space="preserve"> Make handoff receipt atomic under true concurrency so overlapping delivery and retry converge on one opportunity without a raw unique-key failure. Consume RT3's frozen handoff snapshot and carry its canonical party, lead, appointment, rooftop, and stock references. Provide a sales-authorized walk-in flow through the existing party search/create/deduplication seam; the operator must select visible records rather than type internal IDs.</w:t>
      </w:r>
    </w:p>
    <w:p>
      <w:pPr>
        <w:pStyle w:val="ListBullet"/>
      </w:pPr>
      <w:r>
        <w:rPr>
          <w:b/>
        </w:rPr>
        <w:t>Row 2 - Pipeline, ownership, and lifecycle.</w:t>
      </w:r>
      <w:r>
        <w:t xml:space="preserve"> Establish one eligible audited owner on receipt or explicit acceptance, retain controlled reassignment history, and make assignment and stage commands idempotently replayable. Expose the earliest open due action in reads and UI, with create, complete, and cancel behavior. Stale versions refuse and terminal states remain absorbing.</w:t>
      </w:r>
    </w:p>
    <w:p>
      <w:pPr>
        <w:pStyle w:val="ListBullet"/>
      </w:pPr>
      <w:r>
        <w:rPr>
          <w:b/>
        </w:rPr>
        <w:t>Row 3 - Arrival and showroom operations.</w:t>
      </w:r>
      <w:r>
        <w:t xml:space="preserve"> Enforce one active visit for the applicable customer/appointment context at the database and service layers; repeated and concurrent check-in under distinct request keys converge on that visit. Lock and validate an appointment while atomically recording it kept, refuse completed/cancelled/no-show misuse, implement explicit salesperson acceptance, and expose check-in, reschedule, cancellation, and no-show through the shipped UI.</w:t>
      </w:r>
    </w:p>
    <w:p>
      <w:pPr>
        <w:pStyle w:val="ListBullet"/>
      </w:pPr>
      <w:r>
        <w:rPr>
          <w:b/>
        </w:rPr>
        <w:t>Row 4 - Vehicle selection and demo.</w:t>
      </w:r>
      <w:r>
        <w:t xml:space="preserve"> Give ordinary sales roles a rooftop-filtered canonical inventory chooser. Retain append-only vehicle-selection history in the opportunity timeline. Model bounded demo issue, start, return, cancellation, and exception facts; define and enforce incompatible active-demo combinations. Foreign stock and collisions refuse without confirming foreign existence or returning another demo identifier.</w:t>
      </w:r>
    </w:p>
    <w:p>
      <w:pPr>
        <w:pStyle w:val="ListBullet"/>
      </w:pPr>
      <w:r>
        <w:rPr>
          <w:b/>
        </w:rPr>
        <w:t>Row 5 - Follow-up, negotiation, and the desking boundary.</w:t>
      </w:r>
      <w:r>
        <w:t xml:space="preserve"> Remove the RT4 won/sold endpoint. Lost and follow-up remain valid bounded outcomes; a positive disposition emits exactly one idempotent ready_for_appraisal_desking fact for FBL-120. It must not create a sale, sold-inventory transition, deal, delivery, revenue, or money fact.</w:t>
      </w:r>
    </w:p>
    <w:p>
      <w:pPr>
        <w:pStyle w:val="ListBullet"/>
      </w:pPr>
      <w:r>
        <w:rPr>
          <w:b/>
        </w:rPr>
        <w:t>Row 6 - Manager oversight.</w:t>
      </w:r>
      <w:r>
        <w:t xml:space="preserve"> Complete one permission-filtered reconciled view of appointments, arrivals, waits, owners, stages, aging, selected vehicles, demos, next actions, negotiation state, dispositions, and actionable exceptions across permitted rooftops. Revenue, ROI, gross, commission, close, pricing, and deal values remain NOT_YET_AVAILABLE.</w:t>
      </w:r>
    </w:p>
    <w:p>
      <w:pPr>
        <w:pStyle w:val="ListBullet"/>
      </w:pPr>
      <w:r>
        <w:rPr>
          <w:b/>
        </w:rPr>
        <w:t>Row 7 - Integrity and the real owner journey.</w:t>
      </w:r>
      <w:r>
        <w:t xml:space="preserve"> Replace raw handoff, customer, appointment, stock, salesperson, and manager ID entry with authorized discovery and selection. Prove the complete workflow with role-appropriate salesperson and manager identities, including a successful assignment/turnover and the positive ready_for_appraisal_desking handoff. Preserve exact-parent binding, non-leaking refusals, audit, concurrency, idempotency, terminal integrity, outbox replay, and fresh/upgrade convergence.</w:t>
      </w:r>
    </w:p>
    <w:p>
      <w:pPr>
        <w:pStyle w:val="Heading4"/>
      </w:pPr>
      <w:r>
        <w:t>Binary proof for RT4 C1</w:t>
      </w:r>
    </w:p>
    <w:p>
      <w:pPr>
        <w:pStyle w:val="ListBullet"/>
      </w:pPr>
      <w:r>
        <w:t>Two genuinely concurrent handoff receipts with distinct transports converge on one canonical opportunity and return a stable business result; the opportunity is built from the frozen handoff snapshot and retains its canonical references.</w:t>
      </w:r>
    </w:p>
    <w:p>
      <w:pPr>
        <w:pStyle w:val="ListBullet"/>
      </w:pPr>
      <w:r>
        <w:rPr>
          <w:b/>
        </w:rPr>
        <w:t>A salesperson-only identity completes both visible intake paths: selecting an eligible handoff and creating an authorized walk-in through canonical customer discovery/deduplication.</w:t>
      </w:r>
      <w:r>
        <w:t xml:space="preserve"> No step asks for an internal UUID and no parallel customer is created.</w:t>
      </w:r>
    </w:p>
    <w:p>
      <w:pPr>
        <w:pStyle w:val="ListBullet"/>
      </w:pPr>
      <w:r>
        <w:rPr>
          <w:b/>
        </w:rPr>
        <w:t>Receipt or acceptance produces one eligible audited owner.</w:t>
      </w:r>
      <w:r>
        <w:t xml:space="preserve"> Reassignment, stage movement, and next-action create/complete/cancel replay idempotently; stale versions and post-terminal writes refuse without partial business, audit, or outbox evidence.</w:t>
      </w:r>
    </w:p>
    <w:p>
      <w:pPr>
        <w:pStyle w:val="ListBullet"/>
      </w:pPr>
      <w:r>
        <w:rPr>
          <w:b/>
        </w:rPr>
        <w:t>Appointment, walk-in, repeat, and true concurrent check-in probes yield one active visit.</w:t>
      </w:r>
      <w:r>
        <w:t xml:space="preserve"> A valid appointment is atomically kept; invalid terminal appointment states refuse; reschedule, cancel, no-show, salesperson acceptance, wait, and departure are visible and coherent.</w:t>
      </w:r>
    </w:p>
    <w:p>
      <w:pPr>
        <w:pStyle w:val="ListBullet"/>
      </w:pPr>
      <w:r>
        <w:rPr>
          <w:b/>
        </w:rPr>
        <w:t>A sales-role inventory chooser returns only visible stock.</w:t>
      </w:r>
      <w:r>
        <w:t xml:space="preserve"> Selection changes remain in history. Demo issue/start/return/cancel/exception and every defined incompatible concurrency case behave deterministically, while foreign or colliding objects produce neutral non-enumerating refusals.</w:t>
      </w:r>
    </w:p>
    <w:p>
      <w:pPr>
        <w:pStyle w:val="ListBullet"/>
      </w:pPr>
      <w:r>
        <w:rPr>
          <w:b/>
        </w:rPr>
        <w:t>A positive disposition creates one and only one ready_for_appraisal_desking fact under retry and concurrency.</w:t>
      </w:r>
      <w:r>
        <w:t xml:space="preserve"> Database and ordinary runtime probes prove that RT4 still cannot create a sale, sold inventory, deal, delivery, revenue, or monetary negotiation fact.</w:t>
      </w:r>
    </w:p>
    <w:p>
      <w:pPr>
        <w:pStyle w:val="ListBullet"/>
      </w:pPr>
      <w:r>
        <w:rPr>
          <w:b/>
        </w:rPr>
        <w:t>The manager view reconciles every named operational element and exception across exactly the permitted rooftops.</w:t>
      </w:r>
      <w:r>
        <w:t xml:space="preserve"> A persisted real-UI journey under separate eligible roles completes intake through the desking-ready boundary, including successful assignment or turnover, with no raw internal identifiers.</w:t>
      </w:r>
    </w:p>
    <w:p>
      <w:pPr>
        <w:pStyle w:val="Heading4"/>
      </w:pPr>
      <w:r>
        <w:t>One verification and automatic RT4 closure</w:t>
      </w:r>
    </w:p>
    <w:p>
      <w:pPr/>
      <w:r>
        <w:rPr>
          <w:b/>
        </w:rPr>
        <w:t>Use focused tests while correcting only the named outcomes.</w:t>
      </w:r>
      <w:r>
        <w:t xml:space="preserve"> Once they pass, run one complete local battery at or above 829 tests / 83 suites with zero failed, cancelled, skipped, or todo tests; run every declared mutation registry with complete declarations and zero survivors; run the populated upgrade drill, fresh/upgraded convergence, and the persisted real-UI journey; then obtain one green CI run on the exact final SHA. Do not chase counts, build an evidence ZIP, perform a document sweep, or search for new RT4 findings.</w:t>
      </w:r>
    </w:p>
    <w:p>
      <w:pPr/>
      <w:r>
        <w:rPr>
          <w:b/>
        </w:rPr>
        <w:t>If every named proof passes, this order pre-authorizes RT4 acceptance: mark PR #16 Ready, merge the exact tested head into main without source drift, record FBL-100 and RT4 CLOSED, freeze migration 064, and continue immediately to Part B.</w:t>
      </w:r>
      <w:r>
        <w:t xml:space="preserve"> Do not stop for another RT4 architect review. If a named external dependency alone blocks proof, report only that blocker and preserve the branch.</w:t>
      </w:r>
    </w:p>
    <w:p>
      <w:pPr>
        <w:pStyle w:val="Heading3"/>
      </w:pPr>
      <w:r>
        <w:t>Part B - Next authorized phase: FBL-120 Appraisal, Trade, Pricing, and Desking</w:t>
      </w:r>
    </w:p>
    <w:p>
      <w:pPr/>
      <w:r>
        <w:rPr>
          <w:b/>
        </w:rPr>
        <w:t>Begin from the verified RT4 merge on main.</w:t>
      </w:r>
      <w:r>
        <w:t xml:space="preserve"> Preserve migrations 000-064 byte-for-byte and begin new schema work at migration 065. Consume exactly one ready_for_appraisal_desking fact; do not reopen CRM, inventory, or showroom behavior.</w:t>
      </w:r>
    </w:p>
    <w:p>
      <w:pPr/>
      <w:r>
        <w:rPr>
          <w:b/>
        </w:rPr>
        <w:t>Owner-visible finish line.</w:t>
      </w:r>
      <w:r>
        <w:t xml:space="preserve"> A salesperson or desk manager opens the canonical customer, selected vehicle, opportunity, and trade context without rekeying; records a structured appraisal; builds and compares deterministic, versioned desking scenarios; obtains an attributable manager decision; and freezes one exact approved version. The phase ends with that immutable approved version ready for the later deal-jacket phase - never a sale, contract, funded deal, delivery, or sold vehicle.</w:t>
      </w:r>
    </w:p>
    <w:p>
      <w:pPr>
        <w:pStyle w:val="Heading4"/>
      </w:pPr>
      <w:r>
        <w:rPr>
          <w:b/>
        </w:rPr>
        <w:t>Seven locked FBL-120 acceptance rows</w:t>
      </w:r>
    </w:p>
    <w:p>
      <w:pPr>
        <w:pStyle w:val="ListBullet"/>
      </w:pPr>
      <w:r>
        <w:rPr>
          <w:b/>
        </w:rPr>
        <w:t>Row 1 - Canonical intake.</w:t>
      </w:r>
      <w:r>
        <w:t xml:space="preserve"> Consume the desking-ready fact exactly once and preserve the canonical opportunity, customer, rooftop, selected stock, and optional trade vehicle. Repeated or concurrent intake converges; foreign or mismatched references refuse without disclosure.</w:t>
      </w:r>
    </w:p>
    <w:p>
      <w:pPr>
        <w:pStyle w:val="ListBullet"/>
      </w:pPr>
      <w:r>
        <w:rPr>
          <w:b/>
        </w:rPr>
        <w:t>Row 2 - Appraisal evidence.</w:t>
      </w:r>
      <w:r>
        <w:t xml:space="preserve"> Record structured trade identity, ownership/relationship, odometer, condition, equipment, damage, inspection observations, attachments, source quotations, timestamps, and provenance. Changes are versioned and attributable; unavailable external valuation data is explicit rather than fabricated.</w:t>
      </w:r>
    </w:p>
    <w:p>
      <w:pPr>
        <w:pStyle w:val="ListBullet"/>
      </w:pPr>
      <w:r>
        <w:rPr>
          <w:b/>
        </w:rPr>
        <w:t>Row 3 - Deterministic scenarios.</w:t>
      </w:r>
      <w:r>
        <w:t xml:space="preserve"> Calculate each scenario from explicit versioned inputs using fixed decimal and currency rules. Include vehicle price, trade allowance/payoff/equity, configured taxes and fees, documented incentives, cash/down-payment, and financing assumptions only to the extent required for desking; identical inputs reproduce identical outputs.</w:t>
      </w:r>
    </w:p>
    <w:p>
      <w:pPr>
        <w:pStyle w:val="ListBullet"/>
      </w:pPr>
      <w:r>
        <w:rPr>
          <w:b/>
        </w:rPr>
        <w:t>Row 4 - Rule and source truth.</w:t>
      </w:r>
      <w:r>
        <w:t xml:space="preserve"> Every tax, fee, incentive, valuation, and policy input names its source, jurisdiction or rooftop scope, effective interval, and version. Expired, overlapping, missing, or inapplicable rules refuse or remain NOT_YET_AVAILABLE; deterministic simulators may stand in for uncertified providers without pretending to be live data.</w:t>
      </w:r>
    </w:p>
    <w:p>
      <w:pPr>
        <w:pStyle w:val="ListBullet"/>
      </w:pPr>
      <w:r>
        <w:rPr>
          <w:b/>
        </w:rPr>
        <w:t>Row 5 - Manager approval and freeze.</w:t>
      </w:r>
      <w:r>
        <w:t xml:space="preserve"> Approval binds an eligible manager, the exact scenario version reviewed, any required limit or override reason, and one immutable decision time. Approved versions cannot be edited; rejection, expiry, and explicit audited supersession are modeled without rewriting history.</w:t>
      </w:r>
    </w:p>
    <w:p>
      <w:pPr>
        <w:pStyle w:val="ListBullet"/>
      </w:pPr>
      <w:r>
        <w:rPr>
          <w:b/>
        </w:rPr>
        <w:t>Row 6 - Lifecycle and oversight.</w:t>
      </w:r>
      <w:r>
        <w:t xml:space="preserve"> Support draft, revise, compare, submit, approve, reject, expire, and supersede with one current approved version per opportunity. The manager view reconciles appraisal variance, scenario versions, pending approvals, exceptions, and source freshness across permitted rooftops without inventing gross or sale facts.</w:t>
      </w:r>
    </w:p>
    <w:p>
      <w:pPr>
        <w:pStyle w:val="ListBullet"/>
      </w:pPr>
      <w:r>
        <w:rPr>
          <w:b/>
        </w:rPr>
        <w:t>Row 7 - Integrity, UI journey, and delivery proof.</w:t>
      </w:r>
      <w:r>
        <w:t xml:space="preserve"> Enforce tenant/rooftop isolation, exact-parent binding, non-leaking authorization, idempotency, optimistic concurrency, audit, outbox replay, append-only approval history, and safe upgrade. Demonstrate appraisal through frozen approval in the real shipped salesperson and manager UI without raw internal IDs; fresh install and forward upgrade converge.</w:t>
      </w:r>
    </w:p>
    <w:p>
      <w:pPr/>
      <w:r>
        <w:rPr>
          <w:b/>
        </w:rPr>
        <w:t>FBL-120 exclusions.</w:t>
      </w:r>
      <w:r>
        <w:t xml:space="preserve"> Do not implement digital retail, deal-jacket generation, e-sign, credit application or underwriting, lender decisions, payment collection, funding, title, registration, delivery, sold inventory, authoritative revenue, accounting, fixed operations, or autonomous binding decisions. Those remain later phases.</w:t>
      </w:r>
    </w:p>
    <w:p>
      <w:pPr/>
      <w:r>
        <w:rPr>
          <w:b/>
        </w:rPr>
        <w:t>FBL-120 binary proof.</w:t>
      </w:r>
      <w:r>
        <w:t xml:space="preserve"> Two concurrent consumers create one desking case; the same versioned inputs reproduce the same scenario totals; stale, foreign, expired, overlapping, or unauthorized inputs refuse without partial writes; manager approval freezes the exact reviewed version; and a later revision creates an attributable successor without changing approved history.</w:t>
      </w:r>
    </w:p>
    <w:p>
      <w:pPr/>
      <w:r>
        <w:rPr>
          <w:b/>
        </w:rPr>
        <w:t>FBL-120 verification and forward motion.</w:t>
      </w:r>
      <w:r>
        <w:t xml:space="preserve"> Lock these seven rows before coding, use focused tests while building, and run one final complete battery, all declared mutations with zero survivors, populated upgrade/fresh convergence, a persisted real-UI journey, and exact-final-SHA CI. Return once at the FBL-120 finish line with a seven-row checklist. If accepted, merge the exact reviewed SHA, record FBL-120 CLOSED, and activate FBL-140 without a second closure review.</w:t>
      </w:r>
    </w:p>
    <w:p>
      <w:pPr>
        <w:pStyle w:val="Heading2"/>
      </w:pPr>
      <w:r>
        <w:t>14.4 Accepted historical order FBL-000 — Reproducible Baseline</w:t>
      </w:r>
    </w:p>
    <w:p>
      <w:pPr>
        <w:spacing w:before="0" w:after="120" w:line="264" w:lineRule="auto"/>
      </w:pPr>
      <w:r>
        <w:rPr>
          <w:rFonts w:ascii="Calibri" w:hAnsi="Calibri"/>
          <w:b/>
          <w:color w:val="0B2545"/>
        </w:rPr>
        <w:t xml:space="preserve">Objective. </w:t>
      </w:r>
      <w:r>
        <w:rPr>
          <w:rFonts w:ascii="Calibri" w:hAnsi="Calibri"/>
          <w:color w:val="1F2328"/>
        </w:rPr>
        <w:t>Make the current repository reproducible and continuously verifiable without changing business behavior.</w:t>
      </w:r>
    </w:p>
    <w:p>
      <w:pPr>
        <w:pStyle w:val="Heading3"/>
      </w:pPr>
      <w:r>
        <w:t>Scope</w:t>
      </w:r>
    </w:p>
    <w:p>
      <w:pPr>
        <w:pStyle w:val="ListBullet"/>
        <w:keepLines/>
      </w:pPr>
      <w:r>
        <w:t>Add a CI workflow with locked install, typecheck, build, lint/format, unit tests, real PostgreSQL integration/route tests, dependency scan, secret scan, SBOM, and container build.</w:t>
      </w:r>
    </w:p>
    <w:p>
      <w:pPr>
        <w:pStyle w:val="ListBullet"/>
        <w:keepLines/>
      </w:pPr>
      <w:r>
        <w:t>Start PostgreSQL ephemerally in CI, apply migrations from an empty database, and run every database-backed suite. Eliminate conditional skips for required suites.</w:t>
      </w:r>
    </w:p>
    <w:p>
      <w:pPr>
        <w:pStyle w:val="ListBullet"/>
        <w:keepLines/>
      </w:pPr>
      <w:r>
        <w:t>Enable TypeScript strictness reporting. Do not mass-fix unrelated typing in this order; produce a ratcheted baseline and block new violations.</w:t>
      </w:r>
    </w:p>
    <w:p>
      <w:pPr>
        <w:pStyle w:val="ListBullet"/>
        <w:keepLines/>
      </w:pPr>
      <w:r>
        <w:t>Pin supported Node and PostgreSQL versions. Pin container base by digest through an approved update mechanism.</w:t>
      </w:r>
    </w:p>
    <w:p>
      <w:pPr>
        <w:pStyle w:val="ListBullet"/>
        <w:keepLines/>
      </w:pPr>
      <w:r>
        <w:t>Capture test counts, duration, schema fingerprint, image digest, audit results, and tool versions as build artifacts.</w:t>
      </w:r>
    </w:p>
    <w:p>
      <w:pPr>
        <w:pStyle w:val="ListBullet"/>
        <w:keepLines/>
      </w:pPr>
      <w:r>
        <w:t>Document local one-command setup, test, migration, seed, and teardown using non-destructive commands.</w:t>
      </w:r>
    </w:p>
    <w:p>
      <w:pPr>
        <w:pStyle w:val="Heading3"/>
      </w:pPr>
      <w:r>
        <w:t>Non-goals</w:t>
      </w:r>
    </w:p>
    <w:p>
      <w:pPr>
        <w:spacing w:before="0" w:after="120" w:line="264" w:lineRule="auto"/>
      </w:pPr>
      <w:r>
        <w:rPr>
          <w:rFonts w:ascii="Calibri" w:hAnsi="Calibri"/>
          <w:b w:val="0"/>
          <w:i w:val="0"/>
          <w:color w:val="1F2328"/>
        </w:rPr>
        <w:t>No product features, framework rewrite, schema redesign, endpoint redesign, or cleanup whose behavior cannot be proven unchanged.</w:t>
      </w:r>
    </w:p>
    <w:p>
      <w:pPr>
        <w:pStyle w:val="Heading3"/>
      </w:pPr>
      <w:r>
        <w:t>Acceptance gate</w:t>
      </w:r>
    </w:p>
    <w:p>
      <w:pPr>
        <w:pStyle w:val="ListBullet"/>
        <w:keepLines/>
      </w:pPr>
      <w:r>
        <w:t>CI passes from a clean clone with zero skipped required tests.</w:t>
      </w:r>
    </w:p>
    <w:p>
      <w:pPr>
        <w:pStyle w:val="ListBullet"/>
        <w:keepLines/>
      </w:pPr>
      <w:r>
        <w:t>All current migrations apply to an empty database and the application starts/readiness succeeds.</w:t>
      </w:r>
    </w:p>
    <w:p>
      <w:pPr>
        <w:pStyle w:val="ListBullet"/>
        <w:keepLines/>
      </w:pPr>
      <w:r>
        <w:t>A second CI job exercises an upgrade from the earliest retained schema fixture.</w:t>
      </w:r>
    </w:p>
    <w:p>
      <w:pPr>
        <w:pStyle w:val="ListBullet"/>
        <w:keepLines/>
      </w:pPr>
      <w:r>
        <w:t>Build artifacts include test results, SBOM, container digest, and migration/schema fingerprints.</w:t>
      </w:r>
    </w:p>
    <w:p>
      <w:pPr>
        <w:pStyle w:val="ListBullet"/>
        <w:keepLines/>
      </w:pPr>
      <w:r>
        <w:t>Fable returns a baseline report of warnings, flaky tests, typing debt, package findings, and unresolved environment assumptions.</w:t>
      </w:r>
    </w:p>
    <w:p>
      <w:pPr>
        <w:pStyle w:val="Heading2"/>
      </w:pPr>
      <w:r>
        <w:t>14.5 Accepted historical order FBL-010 — Architecture Shell</w:t>
      </w:r>
    </w:p>
    <w:p>
      <w:pPr>
        <w:spacing w:before="0" w:after="120" w:line="264" w:lineRule="auto"/>
      </w:pPr>
      <w:r>
        <w:rPr>
          <w:rFonts w:ascii="Calibri" w:hAnsi="Calibri"/>
          <w:b/>
          <w:color w:val="0B2545"/>
        </w:rPr>
        <w:t xml:space="preserve">Objective. </w:t>
      </w:r>
      <w:r>
        <w:rPr>
          <w:rFonts w:ascii="Calibri" w:hAnsi="Calibri"/>
          <w:color w:val="1F2328"/>
        </w:rPr>
        <w:t>Create enforceable module and contract boundaries while preserving the running service.</w:t>
      </w:r>
    </w:p>
    <w:p>
      <w:pPr>
        <w:pStyle w:val="ListBullet"/>
        <w:keepLines/>
      </w:pPr>
      <w:r>
        <w:t>Create the approved monorepo layout: deployable API/worker/web shells plus platform, fixed-ops, contracts, database, test-kit, and UI packages.</w:t>
      </w:r>
    </w:p>
    <w:p>
      <w:pPr>
        <w:pStyle w:val="ListBullet"/>
        <w:keepLines/>
      </w:pPr>
      <w:r>
        <w:t>Write ADR-001 modular monolith, ADR-002 module ownership, ADR-003 API/event compatibility, ADR-004 migration policy, and ADR-005 technology selections.</w:t>
      </w:r>
    </w:p>
    <w:p>
      <w:pPr>
        <w:pStyle w:val="ListBullet"/>
        <w:keepLines/>
      </w:pPr>
      <w:r>
        <w:t>Define dependency rules: domain depends on no transport/database; application depends on ports; adapters implement ports; modules cannot access each other’s repositories.</w:t>
      </w:r>
    </w:p>
    <w:p>
      <w:pPr>
        <w:pStyle w:val="ListBullet"/>
        <w:keepLines/>
      </w:pPr>
      <w:r>
        <w:t>Introduce standard request context, typed Problem Details, configuration validation, request IDs, and structured logging with a PII-safe field policy.</w:t>
      </w:r>
    </w:p>
    <w:p>
      <w:pPr>
        <w:pStyle w:val="ListBullet"/>
        <w:keepLines/>
      </w:pPr>
      <w:r>
        <w:t>Move code only in small behavior-preserving slices with characterization tests. The 3,279-line service file may shrink, but no big-bang replacement is permitted.</w:t>
      </w:r>
    </w:p>
    <w:p>
      <w:pPr>
        <w:pStyle w:val="ListBullet"/>
        <w:keepLines/>
      </w:pPr>
      <w:r>
        <w:t>Add architecture-lint checks to CI and a module ownership map.</w:t>
      </w:r>
    </w:p>
    <w:p>
      <w:pPr>
        <w:pStyle w:val="Heading3"/>
      </w:pPr>
      <w:r>
        <w:t>Acceptance gate</w:t>
      </w:r>
    </w:p>
    <w:p>
      <w:pPr>
        <w:pStyle w:val="ListBullet"/>
        <w:keepLines/>
      </w:pPr>
      <w:r>
        <w:t>All FBL-000 evidence remains green.</w:t>
      </w:r>
    </w:p>
    <w:p>
      <w:pPr>
        <w:pStyle w:val="ListBullet"/>
        <w:keepLines/>
      </w:pPr>
      <w:r>
        <w:t>A dependency-rule test fails when a module imports another module’s persistence adapter.</w:t>
      </w:r>
    </w:p>
    <w:p>
      <w:pPr>
        <w:pStyle w:val="ListBullet"/>
        <w:keepLines/>
      </w:pPr>
      <w:r>
        <w:t>Current HTTP behavior remains contract-characterized.</w:t>
      </w:r>
    </w:p>
    <w:p>
      <w:pPr>
        <w:pStyle w:val="ListBullet"/>
        <w:keepLines/>
      </w:pPr>
      <w:r>
        <w:t>Every new top-level package has an owner, purpose, allowed dependencies, and public API.</w:t>
      </w:r>
    </w:p>
    <w:p>
      <w:pPr>
        <w:pStyle w:val="ListBullet"/>
        <w:keepLines/>
      </w:pPr>
      <w:r>
        <w:t>No duplicate source-of-truth model is introduced.</w:t>
      </w:r>
    </w:p>
    <w:p>
      <w:pPr>
        <w:pStyle w:val="Heading2"/>
      </w:pPr>
      <w:r>
        <w:t>14.6 Original FBL-020 scope — retained context only</w:t>
      </w:r>
    </w:p>
    <w:tbl>
      <w:tblPr>
        <w:tblW w:type="dxa" w:w="9360"/>
        <w:jc w:val="left"/>
        <w:tblLayout w:type="fixed"/>
        <w:tblLook w:firstColumn="1" w:firstRow="1" w:lastColumn="0" w:lastRow="0" w:noHBand="0" w:noVBand="1" w:val="04A0"/>
        <w:tblInd w:w="120" w:type="dxa"/>
        <w:tblBorders>
          <w:top w:val="single" w:sz="6" w:space="0" w:color="9B1C1C"/>
          <w:left w:val="single" w:sz="6" w:space="0" w:color="9B1C1C"/>
          <w:bottom w:val="single" w:sz="6" w:space="0" w:color="9B1C1C"/>
          <w:right w:val="single" w:sz="6" w:space="0" w:color="9B1C1C"/>
          <w:insideH w:val="single" w:sz="6" w:space="0" w:color="9B1C1C"/>
          <w:insideV w:val="single" w:sz="6" w:space="0" w:color="9B1C1C"/>
        </w:tblBorders>
      </w:tblPr>
      <w:tblGrid>
        <w:gridCol w:w="9360"/>
      </w:tblGrid>
      <w:tr>
        <w:trPr>
          <w:cantSplit/>
        </w:trPr>
        <w:tc>
          <w:tcPr>
            <w:tcW w:type="dxa" w:w="9360"/>
            <w:tcMar>
              <w:top w:w="80" w:type="dxa"/>
              <w:start w:w="120" w:type="dxa"/>
              <w:bottom w:w="80" w:type="dxa"/>
              <w:end w:w="120" w:type="dxa"/>
            </w:tcMar>
            <w:shd w:fill="EAF2F8"/>
            <w:vAlign w:val="center"/>
            <w:tcBorders>
              <w:top w:val="single" w:sz="10" w:color="1F4E78"/>
              <w:left w:val="single" w:sz="10" w:color="1F4E78"/>
              <w:bottom w:val="single" w:sz="10" w:color="1F4E78"/>
              <w:right w:val="single" w:sz="10" w:color="1F4E78"/>
              <w:insideH w:val="single" w:sz="10" w:color="1F4E78"/>
              <w:insideV w:val="single" w:sz="10" w:color="1F4E78"/>
            </w:tcBorders>
          </w:tcPr>
          <w:p>
            <w:r>
              <w:t>Status warning</w:t>
              <w:br/>
              <w:t>Historical orders remain reference only. Section 14.3 is the sole active code-bearing instruction. Green CI #88 proves the submitted tree, not the missing RT4 finish-line outcomes; the bounded RT4 C1 proof is the only remaining RT4 gate.</w:t>
            </w:r>
          </w:p>
        </w:tc>
      </w:tr>
    </w:tbl>
    <w:p>
      <w:pPr>
        <w:spacing w:after="0"/>
      </w:pPr>
    </w:p>
    <w:p>
      <w:pPr>
        <w:spacing w:before="0" w:after="120" w:line="264" w:lineRule="auto"/>
      </w:pPr>
      <w:r>
        <w:rPr>
          <w:rFonts w:ascii="Calibri" w:hAnsi="Calibri"/>
          <w:b/>
          <w:color w:val="0B2545"/>
        </w:rPr>
        <w:t xml:space="preserve">Objective. </w:t>
      </w:r>
      <w:r>
        <w:rPr>
          <w:rFonts w:ascii="Calibri" w:hAnsi="Calibri"/>
          <w:color w:val="1F2328"/>
        </w:rPr>
        <w:t>Replace custom production trust with a real organization and identity boundary.</w:t>
      </w:r>
    </w:p>
    <w:p>
      <w:pPr>
        <w:pStyle w:val="ListBullet"/>
        <w:keepLines/>
      </w:pPr>
      <w:r>
        <w:t>Implement Tenant, DealerGroup, LegalEntity, Rooftop, Department, UserLink, RoleBinding, and PolicyDecision records with effective status and audit fields.</w:t>
      </w:r>
    </w:p>
    <w:p>
      <w:pPr>
        <w:pStyle w:val="ListBullet"/>
        <w:keepLines/>
      </w:pPr>
      <w:r>
        <w:t>Integrate one managed OIDC provider using issuer/audience/JWKS validation, key rotation, clock-skew policy, logout/session semantics, and MFA assurance claims.</w:t>
      </w:r>
    </w:p>
    <w:p>
      <w:pPr>
        <w:pStyle w:val="ListBullet"/>
        <w:keepLines/>
      </w:pPr>
      <w:r>
        <w:t>Support role scope by tenant, entity, rooftop, department, and resource. Define a policy API rather than role checks scattered through routes.</w:t>
      </w:r>
    </w:p>
    <w:p>
      <w:pPr>
        <w:pStyle w:val="ListBullet"/>
        <w:keepLines/>
      </w:pPr>
      <w:r>
        <w:t>Create an explicit, approved support-access flow with reason, time limit, visible indicator, and audit evidence.</w:t>
      </w:r>
    </w:p>
    <w:p>
      <w:pPr>
        <w:pStyle w:val="ListBullet"/>
        <w:keepLines/>
      </w:pPr>
      <w:r>
        <w:t>Remove the custom JWT signer from production paths. Preserve only a clearly isolated test-token facility.</w:t>
      </w:r>
    </w:p>
    <w:p>
      <w:pPr>
        <w:pStyle w:val="ListBullet"/>
        <w:keepLines/>
      </w:pPr>
      <w:r>
        <w:t>Define, but do not yet enable, SAML/SCIM enterprise adapters behind interfaces.</w:t>
      </w:r>
    </w:p>
    <w:p>
      <w:pPr>
        <w:pStyle w:val="Heading3"/>
      </w:pPr>
      <w:r>
        <w:t>Required negative tests</w:t>
      </w:r>
    </w:p>
    <w:p>
      <w:pPr>
        <w:pStyle w:val="ListBullet"/>
        <w:keepLines/>
      </w:pPr>
      <w:r>
        <w:t>Wrong issuer, audience, algorithm, signature, tenant, disabled user, expired session, insufficient MFA assurance, and stale role binding are denied.</w:t>
      </w:r>
    </w:p>
    <w:p>
      <w:pPr>
        <w:pStyle w:val="ListBullet"/>
        <w:keepLines/>
      </w:pPr>
      <w:r>
        <w:t>A user in one rooftop cannot access another without an explicit group role.</w:t>
      </w:r>
    </w:p>
    <w:p>
      <w:pPr>
        <w:pStyle w:val="ListBullet"/>
        <w:keepLines/>
      </w:pPr>
      <w:r>
        <w:t>Support cannot enter a tenant without an active approval and cannot suppress the audit record.</w:t>
      </w:r>
    </w:p>
    <w:p>
      <w:pPr>
        <w:pStyle w:val="ListBullet"/>
        <w:keepLines/>
      </w:pPr>
      <w:r>
        <w:t>Resource IDs do not reveal existence when access is denied.</w:t>
      </w:r>
    </w:p>
    <w:p>
      <w:pPr>
        <w:pStyle w:val="Heading3"/>
      </w:pPr>
      <w:r>
        <w:t>Acceptance gate</w:t>
      </w:r>
    </w:p>
    <w:p>
      <w:pPr>
        <w:spacing w:before="0" w:after="120" w:line="264" w:lineRule="auto"/>
      </w:pPr>
      <w:r>
        <w:rPr>
          <w:rFonts w:ascii="Calibri" w:hAnsi="Calibri"/>
          <w:b w:val="0"/>
          <w:i w:val="0"/>
          <w:color w:val="1F2328"/>
        </w:rPr>
        <w:t>This gate passed under FBL-020. FBL-020 is accepted and permanently closed. Any later defect uses a forward-numbered migration or hotfix and must not reopen the phase.</w:t>
      </w:r>
    </w:p>
    <w:p>
      <w:pPr>
        <w:pStyle w:val="Heading2"/>
      </w:pPr>
      <w:r>
        <w:t>14.7 Definition of done for every later order</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800"/>
        <w:gridCol w:w="7560"/>
      </w:tblGrid>
      <w:tr>
        <w:trPr>
          <w:cantSplit/>
          <w:tblHeader w:val="true"/>
        </w:trPr>
        <w:tc>
          <w:tcPr>
            <w:tcW w:type="dxa" w:w="1800"/>
            <w:tcMar>
              <w:top w:w="80" w:type="dxa"/>
              <w:start w:w="120" w:type="dxa"/>
              <w:bottom w:w="80" w:type="dxa"/>
              <w:end w:w="120" w:type="dxa"/>
            </w:tcMar>
            <w:shd w:fill="F2F4F7"/>
            <w:vAlign w:val="center"/>
          </w:tcPr>
          <w:p>
            <w:pPr>
              <w:keepNext/>
              <w:spacing w:after="0"/>
            </w:pPr>
            <w:r>
              <w:rPr>
                <w:rFonts w:ascii="Calibri" w:hAnsi="Calibri"/>
                <w:b/>
                <w:color w:val="0B2545"/>
                <w:sz w:val="17"/>
              </w:rPr>
              <w:t>Dimension</w:t>
            </w:r>
          </w:p>
        </w:tc>
        <w:tc>
          <w:tcPr>
            <w:tcW w:type="dxa" w:w="7560"/>
            <w:tcMar>
              <w:top w:w="80" w:type="dxa"/>
              <w:start w:w="120" w:type="dxa"/>
              <w:bottom w:w="80" w:type="dxa"/>
              <w:end w:w="120" w:type="dxa"/>
            </w:tcMar>
            <w:shd w:fill="F2F4F7"/>
            <w:vAlign w:val="center"/>
          </w:tcPr>
          <w:p>
            <w:pPr>
              <w:keepNext/>
              <w:spacing w:after="0"/>
            </w:pPr>
            <w:r>
              <w:rPr>
                <w:rFonts w:ascii="Calibri" w:hAnsi="Calibri"/>
                <w:b/>
                <w:color w:val="0B2545"/>
                <w:sz w:val="17"/>
              </w:rPr>
              <w:t>Required proof</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Acceptance examples passed with dealership-domain owner; non-goals remain untouched</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Architecture</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ADR compliance; ownership respected; no cross-module table writes</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Data</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Forward migration, compatibility window, backfill/reconciliation, recovery path</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Contract</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OpenAPI/event diff reviewed; generated client and compatibility tests pass</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Security</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Threat-model changes, authorization negatives, PII classification, audit evidence</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Quality</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Unit/integration/contract/E2E/concurrency suites as applicable; no unjustified skips</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Operations</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SLO signals, dashboards, alerts, runbook, capacity impact, rollout/rollback</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Documentation</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User/admin/API docs and release notes updated</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Evidence</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Machine-readable results and human summary attached to the order</w:t>
            </w:r>
          </w:p>
        </w:tc>
      </w:tr>
    </w:tbl>
    <w:p>
      <w:pPr>
        <w:spacing w:after="0"/>
      </w:pPr>
    </w:p>
    <w:p>
      <w:r>
        <w:br w:type="page"/>
      </w:r>
    </w:p>
    <w:p>
      <w:pPr>
        <w:pStyle w:val="Heading1"/>
      </w:pPr>
      <w:r>
        <w:t>15. Program Model, Economics, and Risks</w:t>
      </w:r>
    </w:p>
    <w:p>
      <w:pPr>
        <w:pStyle w:val="Heading2"/>
      </w:pPr>
      <w:r>
        <w:t>15.1 Minimum product organization</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400"/>
        <w:gridCol w:w="6960"/>
      </w:tblGrid>
      <w:tr>
        <w:trPr>
          <w:cantSplit/>
          <w:tblHeader w:val="true"/>
        </w:trPr>
        <w:tc>
          <w:tcPr>
            <w:tcW w:type="dxa" w:w="2400"/>
            <w:tcMar>
              <w:top w:w="80" w:type="dxa"/>
              <w:start w:w="120" w:type="dxa"/>
              <w:bottom w:w="80" w:type="dxa"/>
              <w:end w:w="120" w:type="dxa"/>
            </w:tcMar>
            <w:shd w:fill="F2F4F7"/>
            <w:vAlign w:val="center"/>
          </w:tcPr>
          <w:p>
            <w:pPr>
              <w:keepNext/>
              <w:spacing w:after="0"/>
            </w:pPr>
            <w:r>
              <w:rPr>
                <w:rFonts w:ascii="Calibri" w:hAnsi="Calibri"/>
                <w:b/>
                <w:color w:val="0B2545"/>
                <w:sz w:val="17"/>
              </w:rPr>
              <w:t>Role</w:t>
            </w:r>
          </w:p>
        </w:tc>
        <w:tc>
          <w:tcPr>
            <w:tcW w:type="dxa" w:w="6960"/>
            <w:tcMar>
              <w:top w:w="80" w:type="dxa"/>
              <w:start w:w="120" w:type="dxa"/>
              <w:bottom w:w="80" w:type="dxa"/>
              <w:end w:w="120" w:type="dxa"/>
            </w:tcMar>
            <w:shd w:fill="F2F4F7"/>
            <w:vAlign w:val="center"/>
          </w:tcPr>
          <w:p>
            <w:pPr>
              <w:keepNext/>
              <w:spacing w:after="0"/>
            </w:pPr>
            <w:r>
              <w:rPr>
                <w:rFonts w:ascii="Calibri" w:hAnsi="Calibri"/>
                <w:b/>
                <w:color w:val="0B2545"/>
                <w:sz w:val="17"/>
              </w:rPr>
              <w:t>Accountability</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 owner</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Market wedge, scope, economics, customer commitments, acceptance</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Dealership SMEs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Inventory, marketing/BDC, sales/desk, F&amp;I, title/delivery, controller/accounting and compliance; recurring design reviews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Architecture/technical lead</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Boundaries, ADRs, NFRs, security, implementation orders and gates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Implementation engineers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Platform/backend, web/mobile, integrations/data; ownership by context</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UX/product design</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Workflow research, design system, accessibility, customer journeys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Quality engineering</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Test systems, data fixtures, E2E, performance, release evidence</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Platform/SRE/security</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Cloud, delivery, observability, incident response, threat/control engineering</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Implementation/customer success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Dealer conversion, training, configuration, adoption, support</w:t>
            </w:r>
          </w:p>
        </w:tc>
      </w:tr>
    </w:tbl>
    <w:p>
      <w:pPr>
        <w:spacing w:after="0"/>
      </w:pPr>
    </w:p>
    <w:p>
      <w:pPr>
        <w:pStyle w:val="Heading2"/>
      </w:pPr>
      <w:r>
        <w:t>15.2 Highest program risks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10"/>
        <w:gridCol w:w="800"/>
        <w:gridCol w:w="3180"/>
        <w:gridCol w:w="3670"/>
      </w:tblGrid>
      <w:tr>
        <w:trPr>
          <w:cantSplit/>
          <w:tblHeader w:val="true"/>
        </w:trPr>
        <w:tc>
          <w:tcPr>
            <w:tcW w:type="dxa" w:w="1710"/>
            <w:tcMar>
              <w:top w:w="80" w:type="dxa"/>
              <w:start w:w="120" w:type="dxa"/>
              <w:bottom w:w="80" w:type="dxa"/>
              <w:end w:w="120" w:type="dxa"/>
            </w:tcMar>
            <w:shd w:fill="FCE8E6"/>
            <w:vAlign w:val="center"/>
          </w:tcPr>
          <w:p>
            <w:pPr>
              <w:keepNext/>
              <w:spacing w:after="0"/>
            </w:pPr>
            <w:r>
              <w:rPr>
                <w:rFonts w:ascii="Calibri" w:hAnsi="Calibri"/>
                <w:b/>
                <w:color w:val="0B2545"/>
                <w:sz w:val="15"/>
              </w:rPr>
              <w:t>Risk</w:t>
            </w:r>
          </w:p>
        </w:tc>
        <w:tc>
          <w:tcPr>
            <w:tcW w:type="dxa" w:w="800"/>
            <w:tcMar>
              <w:top w:w="80" w:type="dxa"/>
              <w:start w:w="120" w:type="dxa"/>
              <w:bottom w:w="80" w:type="dxa"/>
              <w:end w:w="120" w:type="dxa"/>
            </w:tcMar>
            <w:shd w:fill="FCE8E6"/>
            <w:vAlign w:val="center"/>
          </w:tcPr>
          <w:p>
            <w:pPr>
              <w:keepNext/>
              <w:spacing w:after="0"/>
            </w:pPr>
            <w:r>
              <w:rPr>
                <w:rFonts w:ascii="Calibri" w:hAnsi="Calibri"/>
                <w:b/>
                <w:color w:val="0B2545"/>
                <w:sz w:val="15"/>
              </w:rPr>
              <w:t>Level</w:t>
            </w:r>
          </w:p>
        </w:tc>
        <w:tc>
          <w:tcPr>
            <w:tcW w:type="dxa" w:w="3180"/>
            <w:tcMar>
              <w:top w:w="80" w:type="dxa"/>
              <w:start w:w="120" w:type="dxa"/>
              <w:bottom w:w="80" w:type="dxa"/>
              <w:end w:w="120" w:type="dxa"/>
            </w:tcMar>
            <w:shd w:fill="FCE8E6"/>
            <w:vAlign w:val="center"/>
          </w:tcPr>
          <w:p>
            <w:pPr>
              <w:keepNext/>
              <w:spacing w:after="0"/>
            </w:pPr>
            <w:r>
              <w:rPr>
                <w:rFonts w:ascii="Calibri" w:hAnsi="Calibri"/>
                <w:b/>
                <w:color w:val="0B2545"/>
                <w:sz w:val="15"/>
              </w:rPr>
              <w:t>Consequence</w:t>
            </w:r>
          </w:p>
        </w:tc>
        <w:tc>
          <w:tcPr>
            <w:tcW w:type="dxa" w:w="3670"/>
            <w:tcMar>
              <w:top w:w="80" w:type="dxa"/>
              <w:start w:w="120" w:type="dxa"/>
              <w:bottom w:w="80" w:type="dxa"/>
              <w:end w:w="120" w:type="dxa"/>
            </w:tcMar>
            <w:shd w:fill="FCE8E6"/>
            <w:vAlign w:val="center"/>
          </w:tcPr>
          <w:p>
            <w:pPr>
              <w:keepNext/>
              <w:spacing w:after="0"/>
            </w:pPr>
            <w:r>
              <w:rPr>
                <w:rFonts w:ascii="Calibri" w:hAnsi="Calibri"/>
                <w:b/>
                <w:color w:val="0B2545"/>
                <w:sz w:val="15"/>
              </w:rPr>
              <w:t>Control</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Domain under-specification</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Inventory, CRM, marketing, sales, accounting, F&amp;I, title and OEM edge cases can invalidate late architecture</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Embed SMEs; example-driven specs; shadow real workflows</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One-engineer bottleneck</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Serial delivery and weak review create schedule and quality risk</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Constrain V1; add independent QA/security/domain review</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Integration certification</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Lender/OEM/DMV/provider access and certification are external critical paths</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Start commercial/technical discovery early; adapters and simulators</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Dealer data conversion</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Dirty duplicates, legacy codes, balances, documents, and history can derail launch</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Migration factory, profiling, rehearsal, reconciliation, signoff</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Accounting correctness</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A plausible UI can hide irreconcilable books</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Controller-led design; ledger invariants; parallel close</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Security/privacy incident</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Sensitive consumer and finance data creates severe operational and trust impact</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Safeguards program, minimized scope, independent testing</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Scope imitation</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Copying competitor feature lists yields a broad but unusable product</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Outcome KPIs and wedge discipline</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Microservice overreach</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Complexity exceeds team capacity</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Enforced modular monolith; extraction criteria</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AI overreach</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Opaque or autonomous decisions create legal and trust risk</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Human approval, evidence, evals, exclusions</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Migration/release failure</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Schema drift or irrecoverable deploy can stop dealer operations</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Expand/contract, PITR, restore tests, progressive delivery</w:t>
            </w:r>
          </w:p>
        </w:tc>
      </w:tr>
    </w:tbl>
    <w:p>
      <w:pPr>
        <w:spacing w:after="0"/>
      </w:pPr>
    </w:p>
    <w:p>
      <w:pPr>
        <w:pStyle w:val="Heading2"/>
      </w:pPr>
      <w:r>
        <w:t>15.3 Commercial metrics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900"/>
        <w:gridCol w:w="7460"/>
      </w:tblGrid>
      <w:tr>
        <w:trPr>
          <w:cantSplit/>
          <w:tblHeader w:val="true"/>
        </w:trPr>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7"/>
              </w:rPr>
              <w:t>Stage</w:t>
            </w:r>
          </w:p>
        </w:tc>
        <w:tc>
          <w:tcPr>
            <w:tcW w:type="dxa" w:w="7460"/>
            <w:tcMar>
              <w:top w:w="80" w:type="dxa"/>
              <w:start w:w="120" w:type="dxa"/>
              <w:bottom w:w="80" w:type="dxa"/>
              <w:end w:w="120" w:type="dxa"/>
            </w:tcMar>
            <w:shd w:fill="F2F4F7"/>
            <w:vAlign w:val="center"/>
          </w:tcPr>
          <w:p>
            <w:pPr>
              <w:keepNext/>
              <w:spacing w:after="0"/>
            </w:pPr>
            <w:r>
              <w:rPr>
                <w:rFonts w:ascii="Calibri" w:hAnsi="Calibri"/>
                <w:b/>
                <w:color w:val="0B2545"/>
                <w:sz w:val="17"/>
              </w:rPr>
              <w:t>Required evidence</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Problem validation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At least 10 dealership workflow interviews across owner, general manager, inventory, marketing/BDC, sales, desk, F&amp;I, title and controller roles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Design partner</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2–3 rooftops commit data, SMEs, weekly review, and measurable baseline outcomes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Private pilot</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Complete vehicle-acquisition-to-delivery and lead-to-sale flow with reconciliation and support runbook</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Paid V1</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SLOs met; security/compliance gate; migration repeatable; user adoption and ROI documented</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Expansion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Management-and-sales retention and unit economics justify native accounting and enterprise integration investment</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Enterprise</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Multi-rooftop controls, provider certifications, migration factory, 24/7 operations, audit readiness</w:t>
            </w:r>
          </w:p>
        </w:tc>
      </w:tr>
    </w:tbl>
    <w:p>
      <w:pPr>
        <w:spacing w:after="0"/>
      </w:pPr>
    </w:p>
    <w:p>
      <w:r>
        <w:br w:type="page"/>
      </w:r>
    </w:p>
    <w:p>
      <w:pPr>
        <w:pStyle w:val="Heading1"/>
      </w:pPr>
      <w:r>
        <w:t>16. Acceptance Scorecard and Next Decisions</w:t>
      </w:r>
    </w:p>
    <w:p>
      <w:pPr>
        <w:pStyle w:val="Heading2"/>
      </w:pPr>
      <w:r>
        <w:t>16.1 “Industrial SaaS” acceptance scorecard</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00"/>
        <w:gridCol w:w="7060"/>
      </w:tblGrid>
      <w:tr>
        <w:trPr>
          <w:cantSplit/>
          <w:tblHeader w:val="true"/>
        </w:trPr>
        <w:tc>
          <w:tcPr>
            <w:tcW w:type="dxa" w:w="2300"/>
            <w:tcMar>
              <w:top w:w="80" w:type="dxa"/>
              <w:start w:w="120" w:type="dxa"/>
              <w:bottom w:w="80" w:type="dxa"/>
              <w:end w:w="120" w:type="dxa"/>
            </w:tcMar>
            <w:shd w:fill="F2F4F7"/>
            <w:vAlign w:val="center"/>
          </w:tcPr>
          <w:p>
            <w:pPr>
              <w:keepNext/>
              <w:spacing w:after="0"/>
            </w:pPr>
            <w:r>
              <w:rPr>
                <w:rFonts w:ascii="Calibri" w:hAnsi="Calibri"/>
                <w:b/>
                <w:color w:val="0B2545"/>
                <w:sz w:val="17"/>
              </w:rPr>
              <w:t>Dimension</w:t>
            </w:r>
          </w:p>
        </w:tc>
        <w:tc>
          <w:tcPr>
            <w:tcW w:type="dxa" w:w="7060"/>
            <w:tcMar>
              <w:top w:w="80" w:type="dxa"/>
              <w:start w:w="120" w:type="dxa"/>
              <w:bottom w:w="80" w:type="dxa"/>
              <w:end w:w="120" w:type="dxa"/>
            </w:tcMar>
            <w:shd w:fill="F2F4F7"/>
            <w:vAlign w:val="center"/>
          </w:tcPr>
          <w:p>
            <w:pPr>
              <w:keepNext/>
              <w:spacing w:after="0"/>
            </w:pPr>
            <w:r>
              <w:rPr>
                <w:rFonts w:ascii="Calibri" w:hAnsi="Calibri"/>
                <w:b/>
                <w:color w:val="0B2545"/>
                <w:sz w:val="17"/>
              </w:rPr>
              <w:t>Pass condition</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 completeness</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A complete paid journey has no spreadsheet/manual rekey except intentional provider fallbacks</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trust</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Database denies cross-tenant access even when application predicates are deliberately removed</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Financial integrity</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Every quantity/money movement reconciles; every posting balances and traces to evidence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 evidence</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Authorization, signatures, notices, consent, documents, and payments are version-bound and retrievable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Reliability</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SLO, restore, migration, queue replay, and incident exercises meet targets</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Operability</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Support can diagnose safely without direct production edits; every intervention is audited</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Ecosystem</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Documented APIs/webhooks, sandbox, connector health, replay, versioning, and certification process</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User experience</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Role-specific journeys are accessible, localized, mobile/resilient, and measured</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Security/compliance</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Control owners, evidence, testing, provider oversight, and incident duties are operational</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AI governance</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No high-impact autonomy; evidence, evaluation, human decisions, and rollback are present</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Commercial readiness</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Provisioning, entitlements, billing, migration, training, support, and data portability work</w:t>
            </w:r>
          </w:p>
        </w:tc>
      </w:tr>
    </w:tbl>
    <w:p>
      <w:pPr>
        <w:spacing w:after="0"/>
      </w:pPr>
    </w:p>
    <w:p>
      <w:pPr>
        <w:pStyle w:val="Heading2"/>
      </w:pPr>
      <w:r>
        <w:t>16.2 Governing decisions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700"/>
        <w:gridCol w:w="5070"/>
        <w:gridCol w:w="3590"/>
      </w:tblGrid>
      <w:tr>
        <w:trPr>
          <w:cantSplit/>
          <w:tblHeader w:val="true"/>
        </w:trPr>
        <w:tc>
          <w:tcPr>
            <w:tcW w:type="dxa" w:w="700"/>
            <w:tcMar>
              <w:top w:w="80" w:type="dxa"/>
              <w:start w:w="120" w:type="dxa"/>
              <w:bottom w:w="80" w:type="dxa"/>
              <w:end w:w="120" w:type="dxa"/>
            </w:tcMar>
            <w:shd w:fill="F2F4F7"/>
            <w:vAlign w:val="center"/>
          </w:tcPr>
          <w:p>
            <w:pPr>
              <w:keepNext/>
              <w:spacing w:after="0"/>
            </w:pPr>
            <w:r>
              <w:rPr>
                <w:rFonts w:ascii="Calibri" w:hAnsi="Calibri"/>
                <w:b/>
                <w:color w:val="0B2545"/>
                <w:sz w:val="17"/>
              </w:rPr>
              <w:t>ID</w:t>
            </w:r>
          </w:p>
        </w:tc>
        <w:tc>
          <w:tcPr>
            <w:tcW w:type="dxa" w:w="5070"/>
            <w:tcMar>
              <w:top w:w="80" w:type="dxa"/>
              <w:start w:w="120" w:type="dxa"/>
              <w:bottom w:w="80" w:type="dxa"/>
              <w:end w:w="120" w:type="dxa"/>
            </w:tcMar>
            <w:shd w:fill="F2F4F7"/>
            <w:vAlign w:val="center"/>
          </w:tcPr>
          <w:p>
            <w:pPr>
              <w:keepNext/>
              <w:spacing w:after="0"/>
            </w:pPr>
            <w:r>
              <w:rPr>
                <w:rFonts w:ascii="Calibri" w:hAnsi="Calibri"/>
                <w:b/>
                <w:color w:val="0B2545"/>
                <w:sz w:val="17"/>
              </w:rPr>
              <w:t>Decision</w:t>
            </w:r>
          </w:p>
        </w:tc>
        <w:tc>
          <w:tcPr>
            <w:tcW w:type="dxa" w:w="3590"/>
            <w:tcMar>
              <w:top w:w="80" w:type="dxa"/>
              <w:start w:w="120" w:type="dxa"/>
              <w:bottom w:w="80" w:type="dxa"/>
              <w:end w:w="120" w:type="dxa"/>
            </w:tcMar>
            <w:shd w:fill="F2F4F7"/>
            <w:vAlign w:val="center"/>
          </w:tcPr>
          <w:p>
            <w:pPr>
              <w:keepNext/>
              <w:spacing w:after="0"/>
            </w:pPr>
            <w:r>
              <w:rPr>
                <w:rFonts w:ascii="Calibri" w:hAnsi="Calibri"/>
                <w:b/>
                <w:color w:val="0B2545"/>
                <w:sz w:val="17"/>
              </w:rPr>
              <w:t>Architect recommendation</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D1</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Approve Dealership Management &amp; Sales Cloud as the initial paid wedge</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APPROVED — governing product scope</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D2</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Select first dealer segment</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Recommended: independent and small multi-rooftop groups before franchise certification</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D3</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Preserve architecture disposition</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APPROVED — evolutionary replacement / modular monolith</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D4</w:t>
            </w:r>
          </w:p>
        </w:tc>
        <w:tc>
          <w:tcPr>
            <w:tcW w:type="dxa" w:w="5070"/>
            <w:vAlign w:val="top"/>
            <w:tcMar>
              <w:top w:w="80" w:type="dxa"/>
              <w:start w:w="120" w:type="dxa"/>
              <w:bottom w:w="80" w:type="dxa"/>
              <w:end w:w="120" w:type="dxa"/>
            </w:tcMar>
          </w:tcPr>
          <w:p>
            <w:pPr>
              <w:spacing w:before="0" w:after="40" w:line="240" w:lineRule="auto"/>
              <w:jc w:val="left"/>
            </w:pPr>
            <w:r>
              <w:rPr>
                <w:rFonts w:ascii="Calibri" w:hAnsi="Calibri"/>
                <w:b w:val="0"/>
                <w:color w:val="1F2328"/>
                <w:sz w:val="17"/>
              </w:rPr>
              <w:t>Close the managed identity boundary once</w:t>
            </w:r>
          </w:p>
        </w:tc>
        <w:tc>
          <w:tcPr>
            <w:tcW w:type="dxa" w:w="3590"/>
            <w:vAlign w:val="top"/>
            <w:tcMar>
              <w:top w:w="80" w:type="dxa"/>
              <w:start w:w="120" w:type="dxa"/>
              <w:bottom w:w="80" w:type="dxa"/>
              <w:end w:w="120" w:type="dxa"/>
            </w:tcMar>
          </w:tcPr>
          <w:p>
            <w:pPr>
              <w:spacing w:before="0" w:after="40" w:line="240" w:lineRule="auto"/>
              <w:jc w:val="left"/>
            </w:pPr>
            <w:r>
              <w:rPr>
                <w:rFonts w:ascii="Calibri" w:hAnsi="Calibri"/>
                <w:b w:val="0"/>
                <w:color w:val="1F2328"/>
                <w:sz w:val="17"/>
              </w:rPr>
              <w:t>COMPLETED - FBL-020 accepted at df45d9e; exact-head CI #70 passed and PR #12 merged.</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D5</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Name accountable dealership SMEs</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Inventory, marketing/BDC, sales, desk, F&amp;I, title, controller and compliance</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D6</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Set delivery capacity and budget</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Do not commit full-DMS dates based on a one-engineer plan</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D7</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Approve pilot outcome metrics</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Inventory days-to-live, lead response, appointment/show/close, gross, attribution, funding time, delivery, adoption and support burden</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D8</w:t>
            </w:r>
          </w:p>
        </w:tc>
        <w:tc>
          <w:tcPr>
            <w:tcW w:type="dxa" w:w="5070"/>
            <w:vAlign w:val="top"/>
            <w:tcMar>
              <w:top w:w="80" w:type="dxa"/>
              <w:start w:w="120" w:type="dxa"/>
              <w:bottom w:w="80" w:type="dxa"/>
              <w:end w:w="120" w:type="dxa"/>
            </w:tcMar>
          </w:tcPr>
          <w:p>
            <w:pPr>
              <w:spacing w:before="0" w:after="40" w:line="240" w:lineRule="auto"/>
              <w:jc w:val="left"/>
            </w:pPr>
            <w:r>
              <w:rPr>
                <w:rFonts w:ascii="Calibri" w:hAnsi="Calibri"/>
                <w:b w:val="0"/>
                <w:color w:val="1F2328"/>
                <w:sz w:val="17"/>
              </w:rPr>
              <w:t>Enforce SO-001 finite gates with automatic forward motion</w:t>
            </w:r>
          </w:p>
        </w:tc>
        <w:tc>
          <w:tcPr>
            <w:tcW w:type="dxa" w:w="3590"/>
            <w:vAlign w:val="top"/>
            <w:tcMar>
              <w:top w:w="80" w:type="dxa"/>
              <w:start w:w="120" w:type="dxa"/>
              <w:bottom w:w="80" w:type="dxa"/>
              <w:end w:w="120" w:type="dxa"/>
            </w:tcMar>
          </w:tcPr>
          <w:p>
            <w:pPr>
              <w:spacing w:before="0" w:after="40" w:line="240" w:lineRule="auto"/>
              <w:jc w:val="left"/>
            </w:pPr>
            <w:r>
              <w:rPr>
                <w:rFonts w:ascii="Calibri" w:hAnsi="Calibri"/>
                <w:b w:val="0"/>
                <w:color w:val="1F2328"/>
                <w:sz w:val="17"/>
              </w:rPr>
              <w:t>Freeze passed rows. Correct only the named failing outcome. A predeclared binary proof plus exact-head CI authorizes merge and immediate activation of the next train without another general review cycle.</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1F5D42"/>
          <w:left w:val="single" w:sz="6" w:space="0" w:color="1F5D42"/>
          <w:bottom w:val="single" w:sz="6" w:space="0" w:color="1F5D42"/>
          <w:right w:val="single" w:sz="6" w:space="0" w:color="1F5D42"/>
          <w:insideH w:val="single" w:sz="6" w:space="0" w:color="1F5D42"/>
          <w:insideV w:val="single" w:sz="6" w:space="0" w:color="1F5D42"/>
        </w:tblBorders>
      </w:tblPr>
      <w:tblGrid>
        <w:gridCol w:w="9360"/>
      </w:tblGrid>
      <w:tr>
        <w:trPr>
          <w:cantSplit/>
        </w:trPr>
        <w:tc>
          <w:tcPr>
            <w:tcW w:type="dxa" w:w="9360"/>
            <w:tcMar>
              <w:top w:w="80" w:type="dxa"/>
              <w:start w:w="120" w:type="dxa"/>
              <w:bottom w:w="80" w:type="dxa"/>
              <w:end w:w="120" w:type="dxa"/>
            </w:tcMar>
            <w:shd w:fill="EAF2F8"/>
            <w:vAlign w:val="center"/>
            <w:tcBorders>
              <w:top w:val="single" w:sz="10" w:color="1F4E78"/>
              <w:left w:val="single" w:sz="10" w:color="1F4E78"/>
              <w:bottom w:val="single" w:sz="10" w:color="1F4E78"/>
              <w:right w:val="single" w:sz="10" w:color="1F4E78"/>
              <w:insideH w:val="single" w:sz="10" w:color="1F4E78"/>
              <w:insideV w:val="single" w:sz="10" w:color="1F4E78"/>
            </w:tcBorders>
          </w:tcPr>
          <w:p>
            <w:r>
              <w:t>Immediate next move</w:t>
              <w:br/>
              <w:t>Give Fable Section 14.3 as one continuous order. Close RT4 C1 once, run final verification once, merge PR #16 under the pre-authorized binary gate, then start FBL-120 from merged main without another RT4 handoff, audit, or research cycle.</w:t>
            </w:r>
          </w:p>
        </w:tc>
      </w:tr>
    </w:tbl>
    <w:p>
      <w:pPr>
        <w:spacing w:after="0"/>
      </w:pPr>
    </w:p>
    <w:p>
      <w:r>
        <w:br w:type="page"/>
      </w:r>
    </w:p>
    <w:p>
      <w:pPr>
        <w:pStyle w:val="Heading1"/>
      </w:pPr>
      <w:r>
        <w:t>Appendix A — Repository Evidence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650"/>
        <w:gridCol w:w="5710"/>
      </w:tblGrid>
      <w:tr>
        <w:trPr>
          <w:cantSplit/>
          <w:tblHeader w:val="true"/>
        </w:trPr>
        <w:tc>
          <w:tcPr>
            <w:tcW w:type="dxa" w:w="3650"/>
            <w:tcMar>
              <w:top w:w="80" w:type="dxa"/>
              <w:start w:w="120" w:type="dxa"/>
              <w:bottom w:w="80" w:type="dxa"/>
              <w:end w:w="120" w:type="dxa"/>
            </w:tcMar>
            <w:shd w:fill="F2F4F7"/>
            <w:vAlign w:val="center"/>
          </w:tcPr>
          <w:p>
            <w:pPr>
              <w:keepNext/>
              <w:spacing w:after="0"/>
            </w:pPr>
            <w:r>
              <w:rPr>
                <w:rFonts w:ascii="Calibri" w:hAnsi="Calibri"/>
                <w:b/>
                <w:color w:val="0B2545"/>
                <w:sz w:val="17"/>
              </w:rPr>
              <w:t>Evidence</w:t>
            </w:r>
          </w:p>
        </w:tc>
        <w:tc>
          <w:tcPr>
            <w:tcW w:type="dxa" w:w="5710"/>
            <w:tcMar>
              <w:top w:w="80" w:type="dxa"/>
              <w:start w:w="120" w:type="dxa"/>
              <w:bottom w:w="80" w:type="dxa"/>
              <w:end w:w="120" w:type="dxa"/>
            </w:tcMar>
            <w:shd w:fill="F2F4F7"/>
            <w:vAlign w:val="center"/>
          </w:tcPr>
          <w:p>
            <w:pPr>
              <w:keepNext/>
              <w:spacing w:after="0"/>
            </w:pPr>
            <w:r>
              <w:rPr>
                <w:rFonts w:ascii="Calibri" w:hAnsi="Calibri"/>
                <w:b/>
                <w:color w:val="0B2545"/>
                <w:sz w:val="17"/>
              </w:rPr>
              <w:t>Architectural use</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package.json</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Runtime scripts and dependency set; no application framework beyond one Node/Express service</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src/index.ts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HTTP bootstrap, health/readiness, metrics, request handling</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src/modules/service-cockpit/routes.ts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44 route handlers and role checks for the available product surface</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src/modules/service-cockpit/service.ts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3,279-line application/service layer containing most business use cases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src/modules/service-cockpit/domain.ts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Repair-order states and transition rules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src/modules/service-cockpit/metrics.ts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Fixed-ops counters/gauges/histograms and location-label design</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src/db/migrate.ts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Filename-based migration runner without checksums/dirty state/advisory locking</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migrations/000_*.sql through 054_*.sql</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Tenant-tagged service schema, global UUID references, audit/queue additions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tests/*.test.ts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Portable domain/security/doc tests and database-backed integration/route suites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docs/PLATFORM-CONTEXT.md</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Confirms the broader generated platform is not the delivered repository and records prior tenancy concerns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Dockerfile / docker-compose.yml</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Single API and PostgreSQL local topology</w:t>
            </w:r>
          </w:p>
        </w:tc>
      </w:tr>
    </w:tbl>
    <w:p>
      <w:pPr>
        <w:spacing w:after="0"/>
      </w:pPr>
    </w:p>
    <w:p>
      <w:r>
        <w:br w:type="page"/>
      </w:r>
    </w:p>
    <w:p>
      <w:pPr>
        <w:pStyle w:val="Heading1"/>
      </w:pPr>
      <w:r>
        <w:t>Appendix B — Architecture Decision Register</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100"/>
        <w:gridCol w:w="2450"/>
        <w:gridCol w:w="1850"/>
        <w:gridCol w:w="3960"/>
      </w:tblGrid>
      <w:tr>
        <w:trPr>
          <w:cantSplit/>
          <w:tblHeader w:val="true"/>
        </w:trPr>
        <w:tc>
          <w:tcPr>
            <w:tcW w:type="dxa" w:w="1100"/>
            <w:tcMar>
              <w:top w:w="80" w:type="dxa"/>
              <w:start w:w="120" w:type="dxa"/>
              <w:bottom w:w="80" w:type="dxa"/>
              <w:end w:w="120" w:type="dxa"/>
            </w:tcMar>
            <w:shd w:fill="F2F4F7"/>
            <w:vAlign w:val="center"/>
          </w:tcPr>
          <w:p>
            <w:pPr>
              <w:keepNext/>
              <w:spacing w:after="0"/>
            </w:pPr>
            <w:r>
              <w:rPr>
                <w:rFonts w:ascii="Calibri" w:hAnsi="Calibri"/>
                <w:b/>
                <w:color w:val="0B2545"/>
                <w:sz w:val="16"/>
              </w:rPr>
              <w:t>ADR</w:t>
            </w:r>
          </w:p>
        </w:tc>
        <w:tc>
          <w:tcPr>
            <w:tcW w:type="dxa" w:w="2450"/>
            <w:tcMar>
              <w:top w:w="80" w:type="dxa"/>
              <w:start w:w="120" w:type="dxa"/>
              <w:bottom w:w="80" w:type="dxa"/>
              <w:end w:w="120" w:type="dxa"/>
            </w:tcMar>
            <w:shd w:fill="F2F4F7"/>
            <w:vAlign w:val="center"/>
          </w:tcPr>
          <w:p>
            <w:pPr>
              <w:keepNext/>
              <w:spacing w:after="0"/>
            </w:pPr>
            <w:r>
              <w:rPr>
                <w:rFonts w:ascii="Calibri" w:hAnsi="Calibri"/>
                <w:b/>
                <w:color w:val="0B2545"/>
                <w:sz w:val="16"/>
              </w:rPr>
              <w:t>Decision</w:t>
            </w:r>
          </w:p>
        </w:tc>
        <w:tc>
          <w:tcPr>
            <w:tcW w:type="dxa" w:w="1850"/>
            <w:tcMar>
              <w:top w:w="80" w:type="dxa"/>
              <w:start w:w="120" w:type="dxa"/>
              <w:bottom w:w="80" w:type="dxa"/>
              <w:end w:w="120" w:type="dxa"/>
            </w:tcMar>
            <w:shd w:fill="F2F4F7"/>
            <w:vAlign w:val="center"/>
          </w:tcPr>
          <w:p>
            <w:pPr>
              <w:keepNext/>
              <w:spacing w:after="0"/>
            </w:pPr>
            <w:r>
              <w:rPr>
                <w:rFonts w:ascii="Calibri" w:hAnsi="Calibri"/>
                <w:b/>
                <w:color w:val="0B2545"/>
                <w:sz w:val="16"/>
              </w:rPr>
              <w:t>Status</w:t>
            </w:r>
          </w:p>
        </w:tc>
        <w:tc>
          <w:tcPr>
            <w:tcW w:type="dxa" w:w="3960"/>
            <w:tcMar>
              <w:top w:w="80" w:type="dxa"/>
              <w:start w:w="120" w:type="dxa"/>
              <w:bottom w:w="80" w:type="dxa"/>
              <w:end w:w="120" w:type="dxa"/>
            </w:tcMar>
            <w:shd w:fill="F2F4F7"/>
            <w:vAlign w:val="center"/>
          </w:tcPr>
          <w:p>
            <w:pPr>
              <w:keepNext/>
              <w:spacing w:after="0"/>
            </w:pPr>
            <w:r>
              <w:rPr>
                <w:rFonts w:ascii="Calibri" w:hAnsi="Calibri"/>
                <w:b/>
                <w:color w:val="0B2545"/>
                <w:sz w:val="16"/>
              </w:rPr>
              <w:t>Rationale</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ADR-001</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Evolutionary replacement</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Preserve proven fixed-ops behavior while replacing platform deficiencies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ADR-002</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Modular monolith first</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Minimize distributed complexity; enforce extraction-ready module seams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ADR-003</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PostgreSQL/RLS tenancy</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Database-enforced isolation and tenant-qualified referential integrity</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ADR-004</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Transactional outbox</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No business-state/event dual-write gap</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ADR-005</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Managed enterprise identity</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OIDC/SAML/SCIM and assurance instead of custom trust</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ADR-006</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Typed ledgers and immutable versions</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Financial, inventory, and evidence correctness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ADR-007</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Regulated rails via partners</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Accelerate certification-heavy capabilities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ADR-008</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Contract-first API/events</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Versioning, generated clients, partner ecosystem</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ADR-009</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Governed copilot AI</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Human control over high-impact decisions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ADR-010</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Initial cloud/provider choices</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Open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Select with cost, region, managed services, team experience, and controls</w:t>
            </w:r>
          </w:p>
        </w:tc>
      </w:tr>
    </w:tbl>
    <w:p>
      <w:pPr>
        <w:spacing w:after="0"/>
      </w:pPr>
    </w:p>
    <w:p>
      <w:r>
        <w:br w:type="page"/>
      </w:r>
    </w:p>
    <w:p>
      <w:pPr>
        <w:pStyle w:val="Heading1"/>
      </w:pPr>
      <w:r>
        <w:t>Appendix C — Primary Market and Regulatory Sources</w:t>
      </w:r>
    </w:p>
    <w:p>
      <w:pPr>
        <w:spacing w:before="0" w:after="120" w:line="264" w:lineRule="auto"/>
      </w:pPr>
      <w:r>
        <w:rPr>
          <w:rFonts w:ascii="Calibri" w:hAnsi="Calibri"/>
          <w:b w:val="0"/>
          <w:i/>
          <w:color w:val="5B6573"/>
          <w:sz w:val="19"/>
        </w:rPr>
        <w:t>Sources were accessed July 30, 2026. Product pages establish current marketed scope; they do not independently prove implementation quality. Regulatory sources are primary guidance/regulation entry points and must be interpreted with counsel.</w:t>
      </w:r>
    </w:p>
    <w:p>
      <w:pPr>
        <w:spacing w:after="80"/>
      </w:pPr>
      <w:r>
        <w:rPr>
          <w:rFonts w:ascii="Calibri" w:hAnsi="Calibri"/>
          <w:b/>
          <w:color w:val="0B2545"/>
          <w:sz w:val="19"/>
        </w:rPr>
        <w:t xml:space="preserve">M1  Tekion Automotive Retail Cloud. </w:t>
      </w:r>
      <w:hyperlink r:id="rId11">
        <w:r>
          <w:rPr>
            <w:color w:val="2E74B5"/>
            <w:u w:val="single"/>
            <w:rFonts w:ascii="Calibri" w:hAnsi="Calibri"/>
          </w:rPr>
          <w:t>https://tekion.com/products/arc</w:t>
        </w:r>
      </w:hyperlink>
      <w:r>
        <w:rPr>
          <w:rFonts w:ascii="Calibri" w:hAnsi="Calibri"/>
          <w:color w:val="5B6573"/>
          <w:sz w:val="19"/>
        </w:rPr>
        <w:t xml:space="preserve"> — Unified DMS, sales, service, parts, F&amp;I, accounting and adjacent cloud products.</w:t>
      </w:r>
    </w:p>
    <w:p>
      <w:pPr>
        <w:spacing w:after="80"/>
      </w:pPr>
      <w:r>
        <w:rPr>
          <w:rFonts w:ascii="Calibri" w:hAnsi="Calibri"/>
          <w:b/>
          <w:color w:val="0B2545"/>
          <w:sz w:val="19"/>
        </w:rPr>
        <w:t xml:space="preserve">M2  Tekion. </w:t>
      </w:r>
      <w:hyperlink r:id="rId12">
        <w:r>
          <w:rPr>
            <w:color w:val="2E74B5"/>
            <w:u w:val="single"/>
            <w:rFonts w:ascii="Calibri" w:hAnsi="Calibri"/>
          </w:rPr>
          <w:t>https://tekion.com/</w:t>
        </w:r>
      </w:hyperlink>
      <w:r>
        <w:rPr>
          <w:rFonts w:ascii="Calibri" w:hAnsi="Calibri"/>
          <w:color w:val="5B6573"/>
          <w:sz w:val="19"/>
        </w:rPr>
        <w:t xml:space="preserve"> — AI-native platform positioning across DMS, CRM, digital retail, and service.</w:t>
      </w:r>
    </w:p>
    <w:p>
      <w:pPr>
        <w:spacing w:after="80"/>
      </w:pPr>
      <w:r>
        <w:rPr>
          <w:rFonts w:ascii="Calibri" w:hAnsi="Calibri"/>
          <w:b/>
          <w:color w:val="0B2545"/>
          <w:sz w:val="19"/>
        </w:rPr>
        <w:t xml:space="preserve">M3  CDK Global. </w:t>
      </w:r>
      <w:hyperlink r:id="rId13">
        <w:r>
          <w:rPr>
            <w:color w:val="2E74B5"/>
            <w:u w:val="single"/>
            <w:rFonts w:ascii="Calibri" w:hAnsi="Calibri"/>
          </w:rPr>
          <w:t>https://www.cdkglobal.com/</w:t>
        </w:r>
      </w:hyperlink>
      <w:r>
        <w:rPr>
          <w:rFonts w:ascii="Calibri" w:hAnsi="Calibri"/>
          <w:color w:val="5B6573"/>
          <w:sz w:val="19"/>
        </w:rPr>
        <w:t xml:space="preserve"> — Digital retail, CRM, F&amp;I, DMS, fixed operations, and intelligence product scope.</w:t>
      </w:r>
    </w:p>
    <w:p>
      <w:pPr>
        <w:spacing w:after="80"/>
      </w:pPr>
      <w:r>
        <w:rPr>
          <w:rFonts w:ascii="Calibri" w:hAnsi="Calibri"/>
          <w:b/>
          <w:color w:val="0B2545"/>
          <w:sz w:val="19"/>
        </w:rPr>
        <w:t xml:space="preserve">M4  CDK Dealer Management System. </w:t>
      </w:r>
      <w:hyperlink r:id="rId14">
        <w:r>
          <w:rPr>
            <w:color w:val="2E74B5"/>
            <w:u w:val="single"/>
            <w:rFonts w:ascii="Calibri" w:hAnsi="Calibri"/>
          </w:rPr>
          <w:t>https://www.cdkglobal.com/dms</w:t>
        </w:r>
      </w:hyperlink>
      <w:r>
        <w:rPr>
          <w:rFonts w:ascii="Calibri" w:hAnsi="Calibri"/>
          <w:color w:val="5B6573"/>
          <w:sz w:val="19"/>
        </w:rPr>
        <w:t xml:space="preserve"> — DMS and connected service/payment capabilities.</w:t>
      </w:r>
    </w:p>
    <w:p>
      <w:pPr>
        <w:spacing w:after="80"/>
      </w:pPr>
      <w:r>
        <w:rPr>
          <w:rFonts w:ascii="Calibri" w:hAnsi="Calibri"/>
          <w:b/>
          <w:color w:val="0B2545"/>
          <w:sz w:val="19"/>
        </w:rPr>
        <w:t xml:space="preserve">M5  Dealertrack Dealer Management Solutions. </w:t>
      </w:r>
      <w:hyperlink r:id="rId15">
        <w:r>
          <w:rPr>
            <w:color w:val="2E74B5"/>
            <w:u w:val="single"/>
            <w:rFonts w:ascii="Calibri" w:hAnsi="Calibri"/>
          </w:rPr>
          <w:t>https://us.dealertrack.com/content/dealertrack/en/dealer-management-solutions.html</w:t>
        </w:r>
      </w:hyperlink>
      <w:r>
        <w:rPr>
          <w:rFonts w:ascii="Calibri" w:hAnsi="Calibri"/>
          <w:color w:val="5B6573"/>
          <w:sz w:val="19"/>
        </w:rPr>
        <w:t xml:space="preserve"> — Cloud DMS and integration positioning.</w:t>
      </w:r>
    </w:p>
    <w:p>
      <w:pPr>
        <w:spacing w:after="80"/>
      </w:pPr>
      <w:r>
        <w:rPr>
          <w:rFonts w:ascii="Calibri" w:hAnsi="Calibri"/>
          <w:b/>
          <w:color w:val="0B2545"/>
          <w:sz w:val="19"/>
        </w:rPr>
        <w:t xml:space="preserve">M6  Dealertrack. </w:t>
      </w:r>
      <w:hyperlink r:id="rId16">
        <w:r>
          <w:rPr>
            <w:color w:val="2E74B5"/>
            <w:u w:val="single"/>
            <w:rFonts w:ascii="Calibri" w:hAnsi="Calibri"/>
          </w:rPr>
          <w:t>https://us.dealertrack.com/</w:t>
        </w:r>
      </w:hyperlink>
      <w:r>
        <w:rPr>
          <w:rFonts w:ascii="Calibri" w:hAnsi="Calibri"/>
          <w:color w:val="5B6573"/>
          <w:sz w:val="19"/>
        </w:rPr>
        <w:t xml:space="preserve"> — DMS/F&amp;I/lender ecosystem and contracting surface.</w:t>
      </w:r>
    </w:p>
    <w:p>
      <w:pPr>
        <w:spacing w:after="80"/>
      </w:pPr>
      <w:r>
        <w:rPr>
          <w:rFonts w:ascii="Calibri" w:hAnsi="Calibri"/>
          <w:b/>
          <w:color w:val="0B2545"/>
          <w:sz w:val="19"/>
        </w:rPr>
        <w:t xml:space="preserve">M7  Reynolds ERA-IGNITE. </w:t>
      </w:r>
      <w:hyperlink r:id="rId17">
        <w:r>
          <w:rPr>
            <w:color w:val="2E74B5"/>
            <w:u w:val="single"/>
            <w:rFonts w:ascii="Calibri" w:hAnsi="Calibri"/>
          </w:rPr>
          <w:t>https://www.reyrey.com/solutions/retail-management-system/era-ignite</w:t>
        </w:r>
      </w:hyperlink>
      <w:r>
        <w:rPr>
          <w:rFonts w:ascii="Calibri" w:hAnsi="Calibri"/>
          <w:color w:val="5B6573"/>
          <w:sz w:val="19"/>
        </w:rPr>
        <w:t xml:space="preserve"> — Connected customer, vehicle, and transaction record positioning.</w:t>
      </w:r>
    </w:p>
    <w:p>
      <w:pPr>
        <w:spacing w:after="80"/>
      </w:pPr>
      <w:r>
        <w:rPr>
          <w:rFonts w:ascii="Calibri" w:hAnsi="Calibri"/>
          <w:b/>
          <w:color w:val="0B2545"/>
          <w:sz w:val="19"/>
        </w:rPr>
        <w:t xml:space="preserve">M8  Auto/Mate DMS. </w:t>
      </w:r>
      <w:hyperlink r:id="rId18">
        <w:r>
          <w:rPr>
            <w:color w:val="2E74B5"/>
            <w:u w:val="single"/>
            <w:rFonts w:ascii="Calibri" w:hAnsi="Calibri"/>
          </w:rPr>
          <w:t>https://automate.com/dms/</w:t>
        </w:r>
      </w:hyperlink>
      <w:r>
        <w:rPr>
          <w:rFonts w:ascii="Calibri" w:hAnsi="Calibri"/>
          <w:color w:val="5B6573"/>
          <w:sz w:val="19"/>
        </w:rPr>
        <w:t xml:space="preserve"> — Integrated accounting, sales, F&amp;I, parts, and service scope.</w:t>
      </w:r>
    </w:p>
    <w:p>
      <w:pPr>
        <w:spacing w:after="80"/>
      </w:pPr>
      <w:r>
        <w:rPr>
          <w:rFonts w:ascii="Calibri" w:hAnsi="Calibri"/>
          <w:b/>
          <w:color w:val="0B2545"/>
          <w:sz w:val="19"/>
        </w:rPr>
        <w:t xml:space="preserve">M9  Fortellis. </w:t>
      </w:r>
      <w:hyperlink r:id="rId19">
        <w:r>
          <w:rPr>
            <w:color w:val="2E74B5"/>
            <w:u w:val="single"/>
            <w:rFonts w:ascii="Calibri" w:hAnsi="Calibri"/>
          </w:rPr>
          <w:t>https://fortellis.io/</w:t>
        </w:r>
      </w:hyperlink>
      <w:r>
        <w:rPr>
          <w:rFonts w:ascii="Calibri" w:hAnsi="Calibri"/>
          <w:color w:val="5B6573"/>
          <w:sz w:val="19"/>
        </w:rPr>
        <w:t xml:space="preserve"> — Dealership API marketplace and ecosystem scale.</w:t>
      </w:r>
    </w:p>
    <w:p>
      <w:pPr>
        <w:spacing w:after="80"/>
      </w:pPr>
      <w:r>
        <w:rPr>
          <w:rFonts w:ascii="Calibri" w:hAnsi="Calibri"/>
          <w:b/>
          <w:color w:val="0B2545"/>
          <w:sz w:val="19"/>
        </w:rPr>
        <w:t xml:space="preserve">M10  VinSolutions. </w:t>
      </w:r>
      <w:hyperlink r:id="rId20">
        <w:r>
          <w:rPr>
            <w:color w:val="2E74B5"/>
            <w:u w:val="single"/>
            <w:rFonts w:ascii="Calibri" w:hAnsi="Calibri"/>
          </w:rPr>
          <w:t>https://www.vinsolutions.com/</w:t>
        </w:r>
      </w:hyperlink>
      <w:r>
        <w:rPr>
          <w:rFonts w:ascii="Calibri" w:hAnsi="Calibri"/>
          <w:color w:val="5B6573"/>
          <w:sz w:val="19"/>
        </w:rPr>
        <w:t xml:space="preserve"> — CRM, marketing, desking, and AI-assisted retail scope.</w:t>
      </w:r>
    </w:p>
    <w:p>
      <w:pPr>
        <w:spacing w:after="80"/>
      </w:pPr>
      <w:r>
        <w:rPr>
          <w:rFonts w:ascii="Calibri" w:hAnsi="Calibri"/>
          <w:b/>
          <w:color w:val="0B2545"/>
          <w:sz w:val="19"/>
        </w:rPr>
        <w:t xml:space="preserve">M11  RouteOne Credit Application System. </w:t>
      </w:r>
      <w:hyperlink r:id="rId21">
        <w:r>
          <w:rPr>
            <w:color w:val="2E74B5"/>
            <w:u w:val="single"/>
            <w:rFonts w:ascii="Calibri" w:hAnsi="Calibri"/>
          </w:rPr>
          <w:t>https://www.routeone.com/dealers/credit/credit-application-system</w:t>
        </w:r>
      </w:hyperlink>
      <w:r>
        <w:rPr>
          <w:rFonts w:ascii="Calibri" w:hAnsi="Calibri"/>
          <w:color w:val="5B6573"/>
          <w:sz w:val="19"/>
        </w:rPr>
        <w:t xml:space="preserve"> — Dealer credit, contracting, and compliance workflow.</w:t>
      </w:r>
    </w:p>
    <w:p>
      <w:pPr>
        <w:spacing w:after="80"/>
      </w:pPr>
      <w:r>
        <w:rPr>
          <w:rFonts w:ascii="Calibri" w:hAnsi="Calibri"/>
          <w:b/>
          <w:color w:val="0B2545"/>
          <w:sz w:val="19"/>
        </w:rPr>
        <w:t xml:space="preserve">C1  FTC: Automobile Dealers and the Safeguards Rule FAQ. </w:t>
      </w:r>
      <w:hyperlink r:id="rId22">
        <w:r>
          <w:rPr>
            <w:color w:val="2E74B5"/>
            <w:u w:val="single"/>
            <w:rFonts w:ascii="Calibri" w:hAnsi="Calibri"/>
          </w:rPr>
          <w:t>https://www.ftc.gov/business-guidance/resources/automobile-dealers-ftcs-safeguards-rule-frequently-asked-questions</w:t>
        </w:r>
      </w:hyperlink>
      <w:r>
        <w:rPr>
          <w:rFonts w:ascii="Calibri" w:hAnsi="Calibri"/>
          <w:color w:val="5B6573"/>
          <w:sz w:val="19"/>
        </w:rPr>
        <w:t xml:space="preserve"> — Dealer-specific Safeguards Rule and breach-notification guidance.</w:t>
      </w:r>
    </w:p>
    <w:p>
      <w:pPr>
        <w:spacing w:after="80"/>
      </w:pPr>
      <w:r>
        <w:rPr>
          <w:rFonts w:ascii="Calibri" w:hAnsi="Calibri"/>
          <w:b/>
          <w:color w:val="0B2545"/>
          <w:sz w:val="19"/>
        </w:rPr>
        <w:t xml:space="preserve">C2  FTC: Safeguards Rule — What Your Business Needs to Know. </w:t>
      </w:r>
      <w:hyperlink r:id="rId23">
        <w:r>
          <w:rPr>
            <w:color w:val="2E74B5"/>
            <w:u w:val="single"/>
            <w:rFonts w:ascii="Calibri" w:hAnsi="Calibri"/>
          </w:rPr>
          <w:t>https://www.ftc.gov/business-guidance/resources/ftc-safeguards-rule-what-your-business-needs-know</w:t>
        </w:r>
      </w:hyperlink>
      <w:r>
        <w:rPr>
          <w:rFonts w:ascii="Calibri" w:hAnsi="Calibri"/>
          <w:color w:val="5B6573"/>
          <w:sz w:val="19"/>
        </w:rPr>
        <w:t xml:space="preserve"> — Security program and control guidance, including MFA.</w:t>
      </w:r>
    </w:p>
    <w:p>
      <w:pPr>
        <w:spacing w:after="80"/>
      </w:pPr>
      <w:r>
        <w:rPr>
          <w:rFonts w:ascii="Calibri" w:hAnsi="Calibri"/>
          <w:b/>
          <w:color w:val="0B2545"/>
          <w:sz w:val="19"/>
        </w:rPr>
        <w:t xml:space="preserve">C3  FTC: Red Flags Rule. </w:t>
      </w:r>
      <w:hyperlink r:id="rId24">
        <w:r>
          <w:rPr>
            <w:color w:val="2E74B5"/>
            <w:u w:val="single"/>
            <w:rFonts w:ascii="Calibri" w:hAnsi="Calibri"/>
          </w:rPr>
          <w:t>https://www.ftc.gov/business-guidance/privacy-security/red-flags-rule</w:t>
        </w:r>
      </w:hyperlink>
      <w:r>
        <w:rPr>
          <w:rFonts w:ascii="Calibri" w:hAnsi="Calibri"/>
          <w:color w:val="5B6573"/>
          <w:sz w:val="19"/>
        </w:rPr>
        <w:t xml:space="preserve"> — Identity theft prevention program guidance.</w:t>
      </w:r>
    </w:p>
    <w:p>
      <w:pPr>
        <w:spacing w:after="80"/>
      </w:pPr>
      <w:r>
        <w:rPr>
          <w:rFonts w:ascii="Calibri" w:hAnsi="Calibri"/>
          <w:b/>
          <w:color w:val="0B2545"/>
          <w:sz w:val="19"/>
        </w:rPr>
        <w:t xml:space="preserve">C4  PCI Security Standards Council: PCI DSS. </w:t>
      </w:r>
      <w:hyperlink r:id="rId25">
        <w:r>
          <w:rPr>
            <w:color w:val="2E74B5"/>
            <w:u w:val="single"/>
            <w:rFonts w:ascii="Calibri" w:hAnsi="Calibri"/>
          </w:rPr>
          <w:t>https://www.pcisecuritystandards.org/standards/pci-dss/</w:t>
        </w:r>
      </w:hyperlink>
      <w:r>
        <w:rPr>
          <w:rFonts w:ascii="Calibri" w:hAnsi="Calibri"/>
          <w:color w:val="5B6573"/>
          <w:sz w:val="19"/>
        </w:rPr>
        <w:t xml:space="preserve"> — Payment account data security standard entry point.</w:t>
      </w:r>
    </w:p>
    <w:p>
      <w:pPr>
        <w:spacing w:after="80"/>
      </w:pPr>
      <w:r>
        <w:rPr>
          <w:rFonts w:ascii="Calibri" w:hAnsi="Calibri"/>
          <w:b/>
          <w:color w:val="0B2545"/>
          <w:sz w:val="19"/>
        </w:rPr>
        <w:t xml:space="preserve">C5  CFPB: Regulation B §1002.9. </w:t>
      </w:r>
      <w:hyperlink r:id="rId26">
        <w:r>
          <w:rPr>
            <w:color w:val="2E74B5"/>
            <w:u w:val="single"/>
            <w:rFonts w:ascii="Calibri" w:hAnsi="Calibri"/>
          </w:rPr>
          <w:t>https://www.consumerfinance.gov/rules-policy/regulations/1002/9</w:t>
        </w:r>
      </w:hyperlink>
      <w:r>
        <w:rPr>
          <w:rFonts w:ascii="Calibri" w:hAnsi="Calibri"/>
          <w:color w:val="5B6573"/>
          <w:sz w:val="19"/>
        </w:rPr>
        <w:t xml:space="preserve"> — Action-taken and adverse-action notification requirements.</w:t>
      </w:r>
    </w:p>
    <w:p>
      <w:pPr>
        <w:spacing w:after="80"/>
      </w:pPr>
      <w:r>
        <w:rPr>
          <w:rFonts w:ascii="Calibri" w:hAnsi="Calibri"/>
          <w:b/>
          <w:color w:val="0B2545"/>
          <w:sz w:val="19"/>
        </w:rPr>
        <w:t xml:space="preserve">C6  FTC: Using Consumer Reports for Credit Decisions. </w:t>
      </w:r>
      <w:hyperlink r:id="rId27">
        <w:r>
          <w:rPr>
            <w:color w:val="2E74B5"/>
            <w:u w:val="single"/>
            <w:rFonts w:ascii="Calibri" w:hAnsi="Calibri"/>
          </w:rPr>
          <w:t>https://www.ftc.gov/business-guidance/resources/using-consumer-reports-credit-decisions-what-know-about-adverse-action-risk-based-pricing-notices</w:t>
        </w:r>
      </w:hyperlink>
      <w:r>
        <w:rPr>
          <w:rFonts w:ascii="Calibri" w:hAnsi="Calibri"/>
          <w:color w:val="5B6573"/>
          <w:sz w:val="19"/>
        </w:rPr>
        <w:t xml:space="preserve"> — Adverse action and risk-based pricing notice guidance.</w:t>
      </w:r>
    </w:p>
    <w:p>
      <w:pPr>
        <w:spacing w:after="80"/>
      </w:pPr>
      <w:r>
        <w:rPr>
          <w:rFonts w:ascii="Calibri" w:hAnsi="Calibri"/>
          <w:b/>
          <w:color w:val="0B2545"/>
          <w:sz w:val="19"/>
        </w:rPr>
        <w:t xml:space="preserve">C7  IRS: Form 8300 Motor Vehicle Dealership Q&amp;A. </w:t>
      </w:r>
      <w:hyperlink r:id="rId28">
        <w:r>
          <w:rPr>
            <w:color w:val="2E74B5"/>
            <w:u w:val="single"/>
            <w:rFonts w:ascii="Calibri" w:hAnsi="Calibri"/>
          </w:rPr>
          <w:t>https://www.irs.gov/businesses/small-businesses-self-employed/report-of-cash-payments-over-10000-received-in-a-trade-or-business-motor-vehicle-dealership-qas</w:t>
        </w:r>
      </w:hyperlink>
      <w:r>
        <w:rPr>
          <w:rFonts w:ascii="Calibri" w:hAnsi="Calibri"/>
          <w:color w:val="5B6573"/>
          <w:sz w:val="19"/>
        </w:rPr>
        <w:t xml:space="preserve"> — Dealer-specific cash reporting guidance.</w:t>
      </w:r>
    </w:p>
    <w:p>
      <w:pPr>
        <w:spacing w:after="80"/>
      </w:pPr>
      <w:r>
        <w:rPr>
          <w:rFonts w:ascii="Calibri" w:hAnsi="Calibri"/>
          <w:b/>
          <w:color w:val="0B2545"/>
          <w:sz w:val="19"/>
        </w:rPr>
        <w:t xml:space="preserve">C8  OFAC Sanctions List Search. </w:t>
      </w:r>
      <w:hyperlink r:id="rId29">
        <w:r>
          <w:rPr>
            <w:color w:val="2E74B5"/>
            <w:u w:val="single"/>
            <w:rFonts w:ascii="Calibri" w:hAnsi="Calibri"/>
          </w:rPr>
          <w:t>https://ofac.treasury.gov/sanctions-list-search-tool</w:t>
        </w:r>
      </w:hyperlink>
      <w:r>
        <w:rPr>
          <w:rFonts w:ascii="Calibri" w:hAnsi="Calibri"/>
          <w:color w:val="5B6573"/>
          <w:sz w:val="19"/>
        </w:rPr>
        <w:t xml:space="preserve"> — Official sanctions search entry point; production use needs a risk-based compliance process.</w:t>
      </w:r>
    </w:p>
    <w:p>
      <w:pPr>
        <w:pStyle w:val="Heading1"/>
      </w:pPr>
      <w:r>
        <w:t>Appendix D — Glossary</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00"/>
        <w:gridCol w:w="7060"/>
      </w:tblGrid>
      <w:tr>
        <w:trPr>
          <w:cantSplit/>
          <w:tblHeader w:val="true"/>
        </w:trPr>
        <w:tc>
          <w:tcPr>
            <w:tcW w:type="dxa" w:w="2300"/>
            <w:tcMar>
              <w:top w:w="80" w:type="dxa"/>
              <w:start w:w="120" w:type="dxa"/>
              <w:bottom w:w="80" w:type="dxa"/>
              <w:end w:w="120" w:type="dxa"/>
            </w:tcMar>
            <w:shd w:fill="F2F4F7"/>
            <w:vAlign w:val="center"/>
          </w:tcPr>
          <w:p>
            <w:pPr>
              <w:keepNext/>
              <w:spacing w:after="0"/>
            </w:pPr>
            <w:r>
              <w:rPr>
                <w:rFonts w:ascii="Calibri" w:hAnsi="Calibri"/>
                <w:b/>
                <w:color w:val="0B2545"/>
                <w:sz w:val="17"/>
              </w:rPr>
              <w:t>Term</w:t>
            </w:r>
          </w:p>
        </w:tc>
        <w:tc>
          <w:tcPr>
            <w:tcW w:type="dxa" w:w="7060"/>
            <w:tcMar>
              <w:top w:w="80" w:type="dxa"/>
              <w:start w:w="120" w:type="dxa"/>
              <w:bottom w:w="80" w:type="dxa"/>
              <w:end w:w="120" w:type="dxa"/>
            </w:tcMar>
            <w:shd w:fill="F2F4F7"/>
            <w:vAlign w:val="center"/>
          </w:tcPr>
          <w:p>
            <w:pPr>
              <w:keepNext/>
              <w:spacing w:after="0"/>
            </w:pPr>
            <w:r>
              <w:rPr>
                <w:rFonts w:ascii="Calibri" w:hAnsi="Calibri"/>
                <w:b/>
                <w:color w:val="0B2545"/>
                <w:sz w:val="17"/>
              </w:rPr>
              <w:t>Meaning</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ABAC</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Attribute-based access control</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ADR</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Architecture Decision Record</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BDC</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Business development center</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CDC</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Change data capture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DMS</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Dealer management system</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DVI / MPI</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Digital or multipoint vehicle inspection</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F&amp;I</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Finance and insurance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GL</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General ledger</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OIDC / SAML / SCIM</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 federation and provisioning standards</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PITR</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Point-in-time database recovery</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RLS</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PostgreSQL Row-Level Security</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RO</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Repair order</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RPO / RTO</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Recovery point / recovery time objective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SLO</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Service-level objective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WIP</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Work in progress</w:t>
            </w:r>
          </w:p>
        </w:tc>
      </w:tr>
    </w:tbl>
    <w:p>
      <w:pPr>
        <w:spacing w:after="0"/>
      </w:pPr>
    </w:p>
    <w:p>
      <w:pPr>
        <w:spacing w:before="480" w:after="0" w:line="264" w:lineRule="auto"/>
        <w:jc w:val="center"/>
      </w:pPr>
      <w:r>
        <w:rPr>
          <w:rFonts w:ascii="Calibri" w:hAnsi="Calibri"/>
          <w:b w:val="0"/>
          <w:i/>
          <w:color w:val="5B6573"/>
          <w:sz w:val="18"/>
        </w:rPr>
        <w:t>End of blueprint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r>
    <w:r>
      <w:rPr>
        <w:rFonts w:ascii="Calibri" w:hAnsi="Calibri"/>
        <w:color w:val="5B65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space="4" w:color="CBD3DC"/>
      </w:pBdr>
    </w:pPr>
    <w:r>
      <w:rPr>
        <w:rFonts w:ascii="Calibri" w:hAnsi="Calibri"/>
        <w:b/>
        <w:color w:val="5B6573"/>
        <w:sz w:val="17"/>
      </w:rPr>
      <w:t>DEALERSHIP MANAGEMENT &amp; SALES CLOUD  |  MASTER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0">
    <w:multiLevelType w:val="singleLevel"/>
    <w:lvl w:ilvl="0">
      <w:start w:val="1"/>
      <w:numFmt w:val="bullet"/>
      <w:lvlText w:val="•"/>
      <w:lvlJc w:val="left"/>
      <w:pPr>
        <w:tabs>
          <w:tab w:val="num" w:pos="720"/>
        </w:tabs>
        <w:ind w:left="720" w:hanging="360"/>
        <w:spacing w:before="0" w:after="160" w:line="280" w:lineRule="auto"/>
      </w:pPr>
    </w:lvl>
  </w:abstractNum>
  <w:num w:numId="900">
    <w:abstractNumId w:val="900"/>
  </w:num>
  <w:abstractNum w:abstractNumId="901">
    <w:multiLevelType w:val="singleLevel"/>
    <w:lvl w:ilvl="0">
      <w:start w:val="1"/>
      <w:numFmt w:val="decimal"/>
      <w:lvlText w:val="%1."/>
      <w:lvlJc w:val="left"/>
      <w:pPr>
        <w:tabs>
          <w:tab w:val="num" w:pos="720"/>
        </w:tabs>
        <w:ind w:left="720" w:hanging="360"/>
        <w:spacing w:before="0" w:after="160" w:line="280" w:lineRule="auto"/>
      </w:pPr>
    </w:lvl>
  </w:abstractNum>
  <w:num w:numId="901">
    <w:abstractNumId w:val="901"/>
  </w:num>
  <w:num w:numId="902">
    <w:abstractNumId w:val="901"/>
    <w:lvlOverride w:ilvl="0">
      <w:startOverride w:val="1"/>
    </w:lvlOverride>
  </w:num>
  <w:num w:numId="903">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ilvl w:val="0"/>
        <w:numId w:val="900"/>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ilvl w:val="0"/>
        <w:numId w:val="901"/>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ekion.com/products/arc" TargetMode="External"/><Relationship Id="rId12" Type="http://schemas.openxmlformats.org/officeDocument/2006/relationships/hyperlink" Target="https://tekion.com/" TargetMode="External"/><Relationship Id="rId13" Type="http://schemas.openxmlformats.org/officeDocument/2006/relationships/hyperlink" Target="https://www.cdkglobal.com/" TargetMode="External"/><Relationship Id="rId14" Type="http://schemas.openxmlformats.org/officeDocument/2006/relationships/hyperlink" Target="https://www.cdkglobal.com/dms" TargetMode="External"/><Relationship Id="rId15" Type="http://schemas.openxmlformats.org/officeDocument/2006/relationships/hyperlink" Target="https://us.dealertrack.com/content/dealertrack/en/dealer-management-solutions.html" TargetMode="External"/><Relationship Id="rId16" Type="http://schemas.openxmlformats.org/officeDocument/2006/relationships/hyperlink" Target="https://us.dealertrack.com/" TargetMode="External"/><Relationship Id="rId17" Type="http://schemas.openxmlformats.org/officeDocument/2006/relationships/hyperlink" Target="https://www.reyrey.com/solutions/retail-management-system/era-ignite" TargetMode="External"/><Relationship Id="rId18" Type="http://schemas.openxmlformats.org/officeDocument/2006/relationships/hyperlink" Target="https://automate.com/dms/" TargetMode="External"/><Relationship Id="rId19" Type="http://schemas.openxmlformats.org/officeDocument/2006/relationships/hyperlink" Target="https://fortellis.io/" TargetMode="External"/><Relationship Id="rId20" Type="http://schemas.openxmlformats.org/officeDocument/2006/relationships/hyperlink" Target="https://www.vinsolutions.com/" TargetMode="External"/><Relationship Id="rId21" Type="http://schemas.openxmlformats.org/officeDocument/2006/relationships/hyperlink" Target="https://www.routeone.com/dealers/credit/credit-application-system" TargetMode="External"/><Relationship Id="rId22" Type="http://schemas.openxmlformats.org/officeDocument/2006/relationships/hyperlink" Target="https://www.ftc.gov/business-guidance/resources/automobile-dealers-ftcs-safeguards-rule-frequently-asked-questions" TargetMode="External"/><Relationship Id="rId23" Type="http://schemas.openxmlformats.org/officeDocument/2006/relationships/hyperlink" Target="https://www.ftc.gov/business-guidance/resources/ftc-safeguards-rule-what-your-business-needs-know" TargetMode="External"/><Relationship Id="rId24" Type="http://schemas.openxmlformats.org/officeDocument/2006/relationships/hyperlink" Target="https://www.ftc.gov/business-guidance/privacy-security/red-flags-rule" TargetMode="External"/><Relationship Id="rId25" Type="http://schemas.openxmlformats.org/officeDocument/2006/relationships/hyperlink" Target="https://www.pcisecuritystandards.org/standards/pci-dss/" TargetMode="External"/><Relationship Id="rId26" Type="http://schemas.openxmlformats.org/officeDocument/2006/relationships/hyperlink" Target="https://www.consumerfinance.gov/rules-policy/regulations/1002/9" TargetMode="External"/><Relationship Id="rId27" Type="http://schemas.openxmlformats.org/officeDocument/2006/relationships/hyperlink" Target="https://www.ftc.gov/business-guidance/resources/using-consumer-reports-credit-decisions-what-know-about-adverse-action-risk-based-pricing-notices" TargetMode="External"/><Relationship Id="rId28" Type="http://schemas.openxmlformats.org/officeDocument/2006/relationships/hyperlink" Target="https://www.irs.gov/businesses/small-businesses-self-employed/report-of-cash-payments-over-10000-received-in-a-trade-or-business-motor-vehicle-dealership-qas" TargetMode="External"/><Relationship Id="rId29" Type="http://schemas.openxmlformats.org/officeDocument/2006/relationships/hyperlink" Target="https://ofac.treasury.gov/sanctions-list-search-t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Dealership Management &amp; Sales Cloud - Master Blueprint and Standing Architect Order</dc:title>
  <dc:subject>Permanent forward-only project governance, architecture, roadmap, and active implementation order</dc:subject>
  <dc:creator>Senior Software Architecture Review</dc:creator>
  <cp:keywords>dealership management, vehicle inventory, CRM, BDC, marketing, sales, F&amp;I, architecture, forward-only roadmap</cp:keywords>
  <dc:description>Operational state refresh: one RT2 resolver gate remains; objective pass pre-authorizes RT2 merge and immediate RT3 execution under unchanged SO-001.</dc:description>
  <cp:lastModifiedBy/>
  <cp:revision>1</cp:revision>
  <dcterms:created xsi:type="dcterms:W3CDTF">2013-12-23T23:15:00Z</dcterms:created>
  <dcterms:modified xsi:type="dcterms:W3CDTF">2013-12-23T23:15:00Z</dcterms:modified>
  <cp:category/>
</cp:coreProperties>
</file>