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after="360" w:line="264" w:lineRule="auto"/>
        <w:jc w:val="center"/>
      </w:pPr>
      <w:r>
        <w:rPr>
          <w:rFonts w:ascii="Calibri" w:hAnsi="Calibri"/>
          <w:b/>
          <w:i w:val="0"/>
          <w:color w:val="7A5A00"/>
          <w:sz w:val="20"/>
        </w:rPr>
        <w:t>ARCHITECTURE &amp; PRODUCT STRATEGY</w:t>
      </w:r>
    </w:p>
    <w:p>
      <w:pPr>
        <w:spacing w:before="0" w:after="100" w:line="264" w:lineRule="auto"/>
        <w:jc w:val="center"/>
      </w:pPr>
      <w:r>
        <w:rPr>
          <w:rFonts w:ascii="Calibri" w:hAnsi="Calibri"/>
          <w:b/>
          <w:i w:val="0"/>
          <w:color w:val="0B2545"/>
          <w:sz w:val="60"/>
        </w:rPr>
        <w:t>Car Dealership SaaS</w:t>
      </w:r>
    </w:p>
    <w:p>
      <w:pPr>
        <w:spacing w:before="0" w:after="560" w:line="264" w:lineRule="auto"/>
        <w:jc w:val="center"/>
      </w:pPr>
      <w:r>
        <w:rPr>
          <w:rFonts w:ascii="Calibri" w:hAnsi="Calibri"/>
          <w:b w:val="0"/>
          <w:i w:val="0"/>
          <w:color w:val="1F4D78"/>
          <w:sz w:val="32"/>
        </w:rPr>
        <w:t>Repository Assessment and Industrial Platform Blueprint</w:t>
      </w:r>
    </w:p>
    <w:p>
      <w:pPr>
        <w:spacing w:before="0" w:after="1520" w:line="264" w:lineRule="auto"/>
        <w:jc w:val="center"/>
      </w:pPr>
      <w:r>
        <w:rPr>
          <w:rFonts w:ascii="Calibri" w:hAnsi="Calibri"/>
          <w:b w:val="0"/>
          <w:i/>
          <w:color w:val="5B6573"/>
          <w:sz w:val="22"/>
        </w:rPr>
        <w:t>A decision-grade plan to turn a hardened service-cockpit slice into a secure, multi-rooftop dealership operating system</w:t>
      </w:r>
    </w:p>
    <w:p>
      <w:pPr>
        <w:spacing w:before="0" w:after="100" w:line="264" w:lineRule="auto"/>
        <w:jc w:val="center"/>
      </w:pPr>
      <w:r>
        <w:rPr>
          <w:rFonts w:ascii="Calibri" w:hAnsi="Calibri"/>
          <w:b/>
          <w:i w:val="0"/>
          <w:color w:val="0B2545"/>
          <w:sz w:val="23"/>
        </w:rPr>
        <w:t>Prepared for product ownership and Fable implementation</w:t>
      </w:r>
    </w:p>
    <w:p>
      <w:pPr>
        <w:spacing w:before="0" w:after="100" w:line="264" w:lineRule="auto"/>
        <w:jc w:val="center"/>
      </w:pPr>
      <w:r>
        <w:rPr>
          <w:rFonts w:ascii="Calibri" w:hAnsi="Calibri"/>
          <w:b w:val="0"/>
          <w:i w:val="0"/>
          <w:color w:val="5B6573"/>
          <w:sz w:val="20"/>
        </w:rPr>
        <w:t>Version 1.0  |  July 30, 2026  |  Architecture baseline</w:t>
      </w:r>
    </w:p>
    <w:p>
      <w:pPr>
        <w:spacing w:before="0" w:after="0" w:line="264" w:lineRule="auto"/>
        <w:jc w:val="center"/>
      </w:pPr>
      <w:r>
        <w:rPr>
          <w:rFonts w:ascii="Calibri" w:hAnsi="Calibri"/>
          <w:b w:val="0"/>
          <w:i w:val="0"/>
          <w:color w:val="5B6573"/>
          <w:sz w:val="15"/>
        </w:rPr>
        <w:t>Source archive SHA-256: 1b8dff3bf159c4bdc45671ee97b839907590df26ea43e7fd14c289f09cd5543d</w:t>
      </w:r>
    </w:p>
    <w:p>
      <w:r>
        <w:br w:type="page"/>
      </w:r>
    </w:p>
    <w:p>
      <w:pPr>
        <w:pStyle w:val="Heading1"/>
      </w:pPr>
      <w:r>
        <w:t>Document Control</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800"/>
        <w:gridCol w:w="7560"/>
      </w:tblGrid>
      <w:tr>
        <w:trPr>
          <w:cantSplit/>
          <w:tblHeader w:val="true"/>
        </w:trPr>
        <w:tc>
          <w:tcPr>
            <w:tcW w:type="dxa" w:w="1800"/>
            <w:tcMar>
              <w:top w:w="80" w:type="dxa"/>
              <w:start w:w="120" w:type="dxa"/>
              <w:bottom w:w="80" w:type="dxa"/>
              <w:end w:w="120" w:type="dxa"/>
            </w:tcMar>
            <w:shd w:fill="F2F4F7"/>
            <w:vAlign w:val="center"/>
          </w:tcPr>
          <w:p>
            <w:pPr>
              <w:keepNext/>
              <w:spacing w:after="0"/>
            </w:pPr>
            <w:r>
              <w:rPr>
                <w:rFonts w:ascii="Calibri" w:hAnsi="Calibri"/>
                <w:b/>
                <w:color w:val="0B2545"/>
                <w:sz w:val="18"/>
              </w:rPr>
              <w:t>Field</w:t>
            </w:r>
          </w:p>
        </w:tc>
        <w:tc>
          <w:tcPr>
            <w:tcW w:type="dxa" w:w="7560"/>
            <w:tcMar>
              <w:top w:w="80" w:type="dxa"/>
              <w:start w:w="120" w:type="dxa"/>
              <w:bottom w:w="80" w:type="dxa"/>
              <w:end w:w="120" w:type="dxa"/>
            </w:tcMar>
            <w:shd w:fill="F2F4F7"/>
            <w:vAlign w:val="center"/>
          </w:tcPr>
          <w:p>
            <w:pPr>
              <w:keepNext/>
              <w:spacing w:after="0"/>
            </w:pPr>
            <w:r>
              <w:rPr>
                <w:rFonts w:ascii="Calibri" w:hAnsi="Calibri"/>
                <w:b/>
                <w:color w:val="0B2545"/>
                <w:sz w:val="18"/>
              </w:rPr>
              <w:t>Value</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8"/>
              </w:rPr>
              <w:t>Purpose</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8"/>
              </w:rPr>
              <w:t>Architecture decision, product scope, implementation sequence, and acceptance contract</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8"/>
              </w:rPr>
              <w:t>Primary implementation reader</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8"/>
              </w:rPr>
              <w:t>Fable, acting as implementation engineer</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8"/>
              </w:rPr>
              <w:t>Repository reviewed</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8"/>
              </w:rPr>
              <w:t>Car-dealership-software-main (1).zip</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8"/>
              </w:rPr>
              <w:t>Assessment basis</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8"/>
              </w:rPr>
              <w:t>Static source review; build/typecheck; dependency audit; non-DB tests; current official market and regulatory sources</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8"/>
              </w:rPr>
              <w:t>Decision status</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8"/>
              </w:rPr>
              <w:t>Recommended baseline; product owner must approve the commercial wedge and delivery capacity</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8"/>
              </w:rPr>
              <w:t>Change rule</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8"/>
              </w:rPr>
              <w:t>Any material divergence requires an Architecture Decision Record (ADR) before implementation</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1F4D78"/>
          <w:left w:val="single" w:sz="6" w:space="0" w:color="1F4D78"/>
          <w:bottom w:val="single" w:sz="6" w:space="0" w:color="1F4D78"/>
          <w:right w:val="single" w:sz="6" w:space="0" w:color="1F4D78"/>
          <w:insideH w:val="single" w:sz="6" w:space="0" w:color="1F4D78"/>
          <w:insideV w:val="single" w:sz="6" w:space="0" w:color="1F4D78"/>
        </w:tblBorders>
      </w:tblPr>
      <w:tblGrid>
        <w:gridCol w:w="9360"/>
      </w:tblGrid>
      <w:tr>
        <w:trPr>
          <w:cantSplit/>
        </w:trPr>
        <w:tc>
          <w:tcPr>
            <w:tcW w:type="dxa" w:w="9360"/>
            <w:tcMar>
              <w:top w:w="80" w:type="dxa"/>
              <w:start w:w="120" w:type="dxa"/>
              <w:bottom w:w="80" w:type="dxa"/>
              <w:end w:w="120" w:type="dxa"/>
            </w:tcMar>
            <w:shd w:fill="E8EEF5"/>
            <w:vAlign w:val="center"/>
          </w:tcPr>
          <w:p>
            <w:pPr>
              <w:spacing w:after="60"/>
            </w:pPr>
            <w:r>
              <w:rPr>
                <w:rFonts w:ascii="Calibri" w:hAnsi="Calibri"/>
                <w:b/>
                <w:color w:val="1F4D78"/>
                <w:sz w:val="21"/>
              </w:rPr>
              <w:t>Core decision</w:t>
            </w:r>
          </w:p>
          <w:p>
            <w:pPr>
              <w:spacing w:after="0" w:line="264" w:lineRule="auto"/>
            </w:pPr>
            <w:r>
              <w:rPr>
                <w:rFonts w:ascii="Calibri" w:hAnsi="Calibri"/>
                <w:color w:val="1F2328"/>
                <w:sz w:val="21"/>
              </w:rPr>
              <w:t>Do not discard the service domain work. Treat it as a reference implementation and migrate its proven invariants into a new platform kernel. Do not extend the current single-module service into a full DMS.</w:t>
            </w:r>
          </w:p>
        </w:tc>
      </w:tr>
    </w:tbl>
    <w:p>
      <w:pPr>
        <w:spacing w:after="0"/>
      </w:pPr>
    </w:p>
    <w:p>
      <w:pPr>
        <w:pStyle w:val="Heading2"/>
      </w:pPr>
      <w:r>
        <w:t>How to Use This Blueprint</w:t>
      </w:r>
    </w:p>
    <w:p>
      <w:pPr>
        <w:pStyle w:val="ListBullet"/>
      </w:pPr>
      <w:r>
        <w:t>The product owner uses Sections 1–5 to approve direction, scope, and market position.</w:t>
      </w:r>
    </w:p>
    <w:p>
      <w:pPr>
        <w:pStyle w:val="ListBullet"/>
      </w:pPr>
      <w:r>
        <w:t>The architect uses Sections 6–13 as the binding target architecture and quality bar.</w:t>
      </w:r>
    </w:p>
    <w:p>
      <w:pPr>
        <w:pStyle w:val="ListBullet"/>
      </w:pPr>
      <w:r>
        <w:t>Fable executes Section 14 in order. Each work order stops at its acceptance gate.</w:t>
      </w:r>
    </w:p>
    <w:p>
      <w:pPr>
        <w:pStyle w:val="ListBullet"/>
      </w:pPr>
      <w:r>
        <w:t>No phase may claim completion with skipped integration tests, unverified tenant isolation, or undocumented schema/API changes.</w:t>
      </w:r>
    </w:p>
    <w:p>
      <w:pPr>
        <w:pStyle w:val="ListBullet"/>
      </w:pPr>
      <w:r>
        <w:t>Regulatory content is an engineering control map, not legal advice; counsel and qualified compliance specialists must validate production obligations.</w:t>
      </w:r>
    </w:p>
    <w:p>
      <w:r>
        <w:br w:type="page"/>
      </w:r>
    </w:p>
    <w:p>
      <w:pPr>
        <w:pStyle w:val="Heading2"/>
      </w:pPr>
      <w:r>
        <w:t>Contents</w:t>
      </w:r>
    </w:p>
    <w:p>
      <w:pPr>
        <w:pStyle w:val="ListBullet"/>
      </w:pPr>
      <w:r>
        <w:t>1. Executive Decision</w:t>
      </w:r>
    </w:p>
    <w:p>
      <w:pPr>
        <w:pStyle w:val="ListBullet"/>
      </w:pPr>
      <w:r>
        <w:t>2. Assessment Scope and Evidence</w:t>
      </w:r>
    </w:p>
    <w:p>
      <w:pPr>
        <w:pStyle w:val="ListBullet"/>
      </w:pPr>
      <w:r>
        <w:t>3. Current-State Repository</w:t>
      </w:r>
    </w:p>
    <w:p>
      <w:pPr>
        <w:pStyle w:val="ListBullet"/>
      </w:pPr>
      <w:r>
        <w:t>4. Findings and Immediate Risks</w:t>
      </w:r>
    </w:p>
    <w:p>
      <w:pPr>
        <w:pStyle w:val="ListBullet"/>
      </w:pPr>
      <w:r>
        <w:t>5. Product Strategy and Market Bar</w:t>
      </w:r>
    </w:p>
    <w:p>
      <w:pPr>
        <w:pStyle w:val="ListBullet"/>
      </w:pPr>
      <w:r>
        <w:t>6. Target Architecture</w:t>
      </w:r>
    </w:p>
    <w:p>
      <w:pPr>
        <w:pStyle w:val="ListBullet"/>
      </w:pPr>
      <w:r>
        <w:t>7. Platform Kernel</w:t>
      </w:r>
    </w:p>
    <w:p>
      <w:pPr>
        <w:pStyle w:val="ListBullet"/>
      </w:pPr>
      <w:r>
        <w:t>8. Dealership Bounded Contexts</w:t>
      </w:r>
    </w:p>
    <w:p>
      <w:pPr>
        <w:pStyle w:val="ListBullet"/>
      </w:pPr>
      <w:r>
        <w:t>9. Data, API, and Event Contracts</w:t>
      </w:r>
    </w:p>
    <w:p>
      <w:pPr>
        <w:pStyle w:val="ListBullet"/>
      </w:pPr>
      <w:r>
        <w:t>10. Security, Privacy, and Compliance</w:t>
      </w:r>
    </w:p>
    <w:p>
      <w:pPr>
        <w:pStyle w:val="ListBullet"/>
      </w:pPr>
      <w:r>
        <w:t>11. Reliability, Operations, and Quality</w:t>
      </w:r>
    </w:p>
    <w:p>
      <w:pPr>
        <w:pStyle w:val="ListBullet"/>
      </w:pPr>
      <w:r>
        <w:t>12. Experience, Analytics, and Governed AI</w:t>
      </w:r>
    </w:p>
    <w:p>
      <w:pPr>
        <w:pStyle w:val="ListBullet"/>
      </w:pPr>
      <w:r>
        <w:t>13. Migration and Product Roadmap</w:t>
      </w:r>
    </w:p>
    <w:p>
      <w:pPr>
        <w:pStyle w:val="ListBullet"/>
      </w:pPr>
      <w:r>
        <w:t>14. Fable Implementation Orders</w:t>
      </w:r>
    </w:p>
    <w:p>
      <w:pPr>
        <w:pStyle w:val="ListBullet"/>
      </w:pPr>
      <w:r>
        <w:t>15. Program Model, Economics, and Risks</w:t>
      </w:r>
    </w:p>
    <w:p>
      <w:pPr>
        <w:pStyle w:val="ListBullet"/>
      </w:pPr>
      <w:r>
        <w:t>16. Acceptance Scorecard and Next Decisions</w:t>
      </w:r>
    </w:p>
    <w:p>
      <w:pPr>
        <w:pStyle w:val="ListBullet"/>
      </w:pPr>
      <w:r>
        <w:t>Appendices: Evidence, Contracts, and Sources</w:t>
      </w:r>
    </w:p>
    <w:p>
      <w:r>
        <w:br w:type="page"/>
      </w:r>
    </w:p>
    <w:p>
      <w:pPr>
        <w:pStyle w:val="Heading1"/>
      </w:pPr>
      <w:r>
        <w:t>1. Executive Decision</w:t>
      </w:r>
    </w:p>
    <w:tbl>
      <w:tblPr>
        <w:tblW w:type="dxa" w:w="9360"/>
        <w:jc w:val="left"/>
        <w:tblLayout w:type="fixed"/>
        <w:tblLook w:firstColumn="1" w:firstRow="1" w:lastColumn="0" w:lastRow="0" w:noHBand="0" w:noVBand="1" w:val="04A0"/>
        <w:tblInd w:w="120" w:type="dxa"/>
        <w:tblBorders>
          <w:top w:val="single" w:sz="6" w:space="0" w:color="1F4D78"/>
          <w:left w:val="single" w:sz="6" w:space="0" w:color="1F4D78"/>
          <w:bottom w:val="single" w:sz="6" w:space="0" w:color="1F4D78"/>
          <w:right w:val="single" w:sz="6" w:space="0" w:color="1F4D78"/>
          <w:insideH w:val="single" w:sz="6" w:space="0" w:color="1F4D78"/>
          <w:insideV w:val="single" w:sz="6" w:space="0" w:color="1F4D78"/>
        </w:tblBorders>
      </w:tblPr>
      <w:tblGrid>
        <w:gridCol w:w="9360"/>
      </w:tblGrid>
      <w:tr>
        <w:trPr>
          <w:cantSplit/>
        </w:trPr>
        <w:tc>
          <w:tcPr>
            <w:tcW w:type="dxa" w:w="9360"/>
            <w:tcMar>
              <w:top w:w="80" w:type="dxa"/>
              <w:start w:w="120" w:type="dxa"/>
              <w:bottom w:w="80" w:type="dxa"/>
              <w:end w:w="120" w:type="dxa"/>
            </w:tcMar>
            <w:shd w:fill="E8EEF5"/>
            <w:vAlign w:val="center"/>
          </w:tcPr>
          <w:p>
            <w:pPr>
              <w:spacing w:after="60"/>
            </w:pPr>
            <w:r>
              <w:rPr>
                <w:rFonts w:ascii="Calibri" w:hAnsi="Calibri"/>
                <w:b/>
                <w:color w:val="1F4D78"/>
                <w:sz w:val="21"/>
              </w:rPr>
              <w:t>Verdict</w:t>
            </w:r>
          </w:p>
          <w:p>
            <w:pPr>
              <w:spacing w:after="0" w:line="264" w:lineRule="auto"/>
            </w:pPr>
            <w:r>
              <w:rPr>
                <w:rFonts w:ascii="Calibri" w:hAnsi="Calibri"/>
                <w:color w:val="1F2328"/>
                <w:sz w:val="21"/>
              </w:rPr>
              <w:t>The repository is a credible fixed-operations engineering spike with several production-minded controls. It is not a complete dealership SaaS, not a DMS replacement, and not ready for multi-tenant production. The correct strategy is fixed-ops-first productization on a new platform foundation, followed by deliberate expansion into inventory, CRM, sales, F&amp;I, accounting, and ecosystem integrations.</w:t>
            </w:r>
          </w:p>
        </w:tc>
      </w:tr>
    </w:tbl>
    <w:p>
      <w:pPr>
        <w:spacing w:after="0"/>
      </w:pPr>
    </w:p>
    <w:p>
      <w:pPr>
        <w:pStyle w:val="Heading2"/>
      </w:pPr>
      <w:r>
        <w:t>1.1 What exists today</w:t>
      </w:r>
    </w:p>
    <w:p>
      <w:pPr>
        <w:spacing w:before="0" w:after="120" w:line="264" w:lineRule="auto"/>
      </w:pPr>
      <w:r>
        <w:rPr>
          <w:rFonts w:ascii="Calibri" w:hAnsi="Calibri"/>
          <w:b w:val="0"/>
          <w:i w:val="0"/>
          <w:color w:val="1F2328"/>
        </w:rPr>
        <w:t>The codebase contains one Express/PostgreSQL service-cockpit module. It covers appointments, repair orders, multipoint inspections, estimates and authorizations, technician dispatch and time, parts-line status, sublet, warranty, comebacks, queues, portal-task records, first-service retention, metrics, and audit events. The repair-order lifecycle is the most developed business model.</w:t>
      </w:r>
    </w:p>
    <w:p>
      <w:pPr>
        <w:spacing w:before="0" w:after="120" w:line="264" w:lineRule="auto"/>
      </w:pPr>
      <w:r>
        <w:rPr>
          <w:rFonts w:ascii="Calibri" w:hAnsi="Calibri"/>
          <w:b w:val="0"/>
          <w:i w:val="0"/>
          <w:color w:val="1F2328"/>
        </w:rPr>
        <w:t>The repository documents a broader generated system, but that larger platform is absent. The checked-in code must therefore be judged on its own. Claims about hundreds of endpoints or dozens of modules are historical context, not delivered capability.</w:t>
      </w:r>
    </w:p>
    <w:p>
      <w:pPr>
        <w:pStyle w:val="Heading2"/>
      </w:pPr>
      <w:r>
        <w:t>1.2 The architectural choice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700"/>
        <w:gridCol w:w="2360"/>
        <w:gridCol w:w="5300"/>
      </w:tblGrid>
      <w:tr>
        <w:trPr>
          <w:cantSplit/>
          <w:tblHeader w:val="true"/>
        </w:trPr>
        <w:tc>
          <w:tcPr>
            <w:tcW w:type="dxa" w:w="1700"/>
            <w:tcMar>
              <w:top w:w="80" w:type="dxa"/>
              <w:start w:w="120" w:type="dxa"/>
              <w:bottom w:w="80" w:type="dxa"/>
              <w:end w:w="120" w:type="dxa"/>
            </w:tcMar>
            <w:shd w:fill="F2F4F7"/>
            <w:vAlign w:val="center"/>
          </w:tcPr>
          <w:p>
            <w:pPr>
              <w:keepNext/>
              <w:spacing w:after="0"/>
            </w:pPr>
            <w:r>
              <w:rPr>
                <w:rFonts w:ascii="Calibri" w:hAnsi="Calibri"/>
                <w:b/>
                <w:color w:val="0B2545"/>
                <w:sz w:val="17"/>
              </w:rPr>
              <w:t>Decision</w:t>
            </w:r>
          </w:p>
        </w:tc>
        <w:tc>
          <w:tcPr>
            <w:tcW w:type="dxa" w:w="2360"/>
            <w:tcMar>
              <w:top w:w="80" w:type="dxa"/>
              <w:start w:w="120" w:type="dxa"/>
              <w:bottom w:w="80" w:type="dxa"/>
              <w:end w:w="120" w:type="dxa"/>
            </w:tcMar>
            <w:shd w:fill="F2F4F7"/>
            <w:vAlign w:val="center"/>
          </w:tcPr>
          <w:p>
            <w:pPr>
              <w:keepNext/>
              <w:spacing w:after="0"/>
            </w:pPr>
            <w:r>
              <w:rPr>
                <w:rFonts w:ascii="Calibri" w:hAnsi="Calibri"/>
                <w:b/>
                <w:color w:val="0B2545"/>
                <w:sz w:val="17"/>
              </w:rPr>
              <w:t>Choice</w:t>
            </w:r>
          </w:p>
        </w:tc>
        <w:tc>
          <w:tcPr>
            <w:tcW w:type="dxa" w:w="5300"/>
            <w:tcMar>
              <w:top w:w="80" w:type="dxa"/>
              <w:start w:w="120" w:type="dxa"/>
              <w:bottom w:w="80" w:type="dxa"/>
              <w:end w:w="120" w:type="dxa"/>
            </w:tcMar>
            <w:shd w:fill="F2F4F7"/>
            <w:vAlign w:val="center"/>
          </w:tcPr>
          <w:p>
            <w:pPr>
              <w:keepNext/>
              <w:spacing w:after="0"/>
            </w:pPr>
            <w:r>
              <w:rPr>
                <w:rFonts w:ascii="Calibri" w:hAnsi="Calibri"/>
                <w:b/>
                <w:color w:val="0B2545"/>
                <w:sz w:val="17"/>
              </w:rPr>
              <w:t>Reason</w:t>
            </w:r>
          </w:p>
        </w:tc>
      </w:tr>
      <w:tr>
        <w:trPr>
          <w:trHeight w:hRule="atLeast"/>
          <w:cantSplit/>
          <w:cantSplit/>
          <w:cantSplit/>
        </w:trPr>
        <w:tc>
          <w:tcPr>
            <w:tcW w:type="dxa" w:w="1700"/>
            <w:vAlign w:val="top"/>
            <w:tcMar>
              <w:top w:w="80" w:type="dxa"/>
              <w:start w:w="120" w:type="dxa"/>
              <w:bottom w:w="80" w:type="dxa"/>
              <w:end w:w="120" w:type="dxa"/>
            </w:tcMar>
          </w:tcPr>
          <w:p>
            <w:pPr>
              <w:spacing w:before="0" w:after="40" w:line="240" w:lineRule="auto"/>
            </w:pPr>
            <w:r>
              <w:rPr>
                <w:rFonts w:ascii="Calibri" w:hAnsi="Calibri"/>
                <w:b w:val="0"/>
                <w:color w:val="1F2328"/>
                <w:sz w:val="17"/>
              </w:rPr>
              <w:t>Disposition</w:t>
            </w:r>
          </w:p>
        </w:tc>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Evolutionary replacement</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7"/>
              </w:rPr>
              <w:t>Preserve proven rules/tests; rebuild the platform around explicit modules and contracts.</w:t>
            </w:r>
          </w:p>
        </w:tc>
      </w:tr>
      <w:tr>
        <w:trPr>
          <w:trHeight w:hRule="atLeast"/>
          <w:cantSplit/>
          <w:cantSplit/>
          <w:cantSplit/>
        </w:trPr>
        <w:tc>
          <w:tcPr>
            <w:tcW w:type="dxa" w:w="1700"/>
            <w:vAlign w:val="top"/>
            <w:tcMar>
              <w:top w:w="80" w:type="dxa"/>
              <w:start w:w="120" w:type="dxa"/>
              <w:bottom w:w="80" w:type="dxa"/>
              <w:end w:w="120" w:type="dxa"/>
            </w:tcMar>
          </w:tcPr>
          <w:p>
            <w:pPr>
              <w:spacing w:before="0" w:after="40" w:line="240" w:lineRule="auto"/>
            </w:pPr>
            <w:r>
              <w:rPr>
                <w:rFonts w:ascii="Calibri" w:hAnsi="Calibri"/>
                <w:b w:val="0"/>
                <w:color w:val="1F2328"/>
                <w:sz w:val="17"/>
              </w:rPr>
              <w:t>Initial deployment</w:t>
            </w:r>
          </w:p>
        </w:tc>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Modular monolith plus workers</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7"/>
              </w:rPr>
              <w:t>Fastest path to coherent transactions and operability; extract services only when load, ownership, or isolation proves the need.</w:t>
            </w:r>
          </w:p>
        </w:tc>
      </w:tr>
      <w:tr>
        <w:trPr>
          <w:trHeight w:hRule="atLeast"/>
          <w:cantSplit/>
          <w:cantSplit/>
          <w:cantSplit/>
        </w:trPr>
        <w:tc>
          <w:tcPr>
            <w:tcW w:type="dxa" w:w="1700"/>
            <w:vAlign w:val="top"/>
            <w:tcMar>
              <w:top w:w="80" w:type="dxa"/>
              <w:start w:w="120" w:type="dxa"/>
              <w:bottom w:w="80" w:type="dxa"/>
              <w:end w:w="120" w:type="dxa"/>
            </w:tcMar>
          </w:tcPr>
          <w:p>
            <w:pPr>
              <w:spacing w:before="0" w:after="40" w:line="240" w:lineRule="auto"/>
            </w:pPr>
            <w:r>
              <w:rPr>
                <w:rFonts w:ascii="Calibri" w:hAnsi="Calibri"/>
                <w:b w:val="0"/>
                <w:color w:val="1F2328"/>
                <w:sz w:val="17"/>
              </w:rPr>
              <w:t>Commercial wedge</w:t>
            </w:r>
          </w:p>
        </w:tc>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Fixed Ops Cloud</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7"/>
              </w:rPr>
              <w:t>A sellable service/parts/customer-experience product creates focus and real dealership feedback.</w:t>
            </w:r>
          </w:p>
        </w:tc>
      </w:tr>
      <w:tr>
        <w:trPr>
          <w:trHeight w:hRule="atLeast"/>
          <w:cantSplit/>
          <w:cantSplit/>
          <w:cantSplit/>
        </w:trPr>
        <w:tc>
          <w:tcPr>
            <w:tcW w:type="dxa" w:w="1700"/>
            <w:vAlign w:val="top"/>
            <w:tcMar>
              <w:top w:w="80" w:type="dxa"/>
              <w:start w:w="120" w:type="dxa"/>
              <w:bottom w:w="80" w:type="dxa"/>
              <w:end w:w="120" w:type="dxa"/>
            </w:tcMar>
          </w:tcPr>
          <w:p>
            <w:pPr>
              <w:spacing w:before="0" w:after="40" w:line="240" w:lineRule="auto"/>
            </w:pPr>
            <w:r>
              <w:rPr>
                <w:rFonts w:ascii="Calibri" w:hAnsi="Calibri"/>
                <w:b w:val="0"/>
                <w:color w:val="1F2328"/>
                <w:sz w:val="17"/>
              </w:rPr>
              <w:t>System of record</w:t>
            </w:r>
          </w:p>
        </w:tc>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PostgreSQL with strict tenant boundaries</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7"/>
              </w:rPr>
              <w:t>RLS, composite tenant keys, typed ledgers, immutable evidence, and point-in-time recovery.</w:t>
            </w:r>
          </w:p>
        </w:tc>
      </w:tr>
      <w:tr>
        <w:trPr>
          <w:trHeight w:hRule="atLeast"/>
          <w:cantSplit/>
          <w:cantSplit/>
          <w:cantSplit/>
        </w:trPr>
        <w:tc>
          <w:tcPr>
            <w:tcW w:type="dxa" w:w="1700"/>
            <w:vAlign w:val="top"/>
            <w:tcMar>
              <w:top w:w="80" w:type="dxa"/>
              <w:start w:w="120" w:type="dxa"/>
              <w:bottom w:w="80" w:type="dxa"/>
              <w:end w:w="120" w:type="dxa"/>
            </w:tcMar>
          </w:tcPr>
          <w:p>
            <w:pPr>
              <w:spacing w:before="0" w:after="40" w:line="240" w:lineRule="auto"/>
            </w:pPr>
            <w:r>
              <w:rPr>
                <w:rFonts w:ascii="Calibri" w:hAnsi="Calibri"/>
                <w:b w:val="0"/>
                <w:color w:val="1F2328"/>
                <w:sz w:val="17"/>
              </w:rPr>
              <w:t>Identity</w:t>
            </w:r>
          </w:p>
        </w:tc>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Managed OIDC/SAML/SCIM</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7"/>
              </w:rPr>
              <w:t>No homegrown enterprise identity or locally minted step-up trust.</w:t>
            </w:r>
          </w:p>
        </w:tc>
      </w:tr>
      <w:tr>
        <w:trPr>
          <w:trHeight w:hRule="atLeast"/>
          <w:cantSplit/>
          <w:cantSplit/>
          <w:cantSplit/>
        </w:trPr>
        <w:tc>
          <w:tcPr>
            <w:tcW w:type="dxa" w:w="1700"/>
            <w:vAlign w:val="top"/>
            <w:tcMar>
              <w:top w:w="80" w:type="dxa"/>
              <w:start w:w="120" w:type="dxa"/>
              <w:bottom w:w="80" w:type="dxa"/>
              <w:end w:w="120" w:type="dxa"/>
            </w:tcMar>
          </w:tcPr>
          <w:p>
            <w:pPr>
              <w:spacing w:before="0" w:after="40" w:line="240" w:lineRule="auto"/>
            </w:pPr>
            <w:r>
              <w:rPr>
                <w:rFonts w:ascii="Calibri" w:hAnsi="Calibri"/>
                <w:b w:val="0"/>
                <w:color w:val="1F2328"/>
                <w:sz w:val="17"/>
              </w:rPr>
              <w:t>Regulated rails</w:t>
            </w:r>
          </w:p>
        </w:tc>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Integrate first</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7"/>
              </w:rPr>
              <w:t>Credit, lender networks, eContracting, DMV, OEM, payments, tax, valuation, and messaging need certified partners.</w:t>
            </w:r>
          </w:p>
        </w:tc>
      </w:tr>
      <w:tr>
        <w:trPr>
          <w:trHeight w:hRule="atLeast"/>
          <w:cantSplit/>
          <w:cantSplit/>
          <w:cantSplit/>
        </w:trPr>
        <w:tc>
          <w:tcPr>
            <w:tcW w:type="dxa" w:w="1700"/>
            <w:vAlign w:val="top"/>
            <w:tcMar>
              <w:top w:w="80" w:type="dxa"/>
              <w:start w:w="120" w:type="dxa"/>
              <w:bottom w:w="80" w:type="dxa"/>
              <w:end w:w="120" w:type="dxa"/>
            </w:tcMar>
          </w:tcPr>
          <w:p>
            <w:pPr>
              <w:spacing w:before="0" w:after="40" w:line="240" w:lineRule="auto"/>
            </w:pPr>
            <w:r>
              <w:rPr>
                <w:rFonts w:ascii="Calibri" w:hAnsi="Calibri"/>
                <w:b w:val="0"/>
                <w:color w:val="1F2328"/>
                <w:sz w:val="17"/>
              </w:rPr>
              <w:t>Differentiation</w:t>
            </w:r>
          </w:p>
        </w:tc>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Unified operational graph and workflows</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7"/>
              </w:rPr>
              <w:t>One customer, vehicle, deal, repair, inventory, and financial truth across rooftops.</w:t>
            </w:r>
          </w:p>
        </w:tc>
      </w:tr>
    </w:tbl>
    <w:p>
      <w:pPr>
        <w:spacing w:after="0"/>
      </w:pPr>
    </w:p>
    <w:p>
      <w:r>
        <w:br w:type="page"/>
      </w:r>
    </w:p>
    <w:p>
      <w:pPr>
        <w:pStyle w:val="Heading2"/>
      </w:pPr>
      <w:r>
        <w:t>1.3 Reality check</w:t>
      </w:r>
    </w:p>
    <w:p>
      <w:pPr>
        <w:spacing w:before="0" w:after="120" w:line="264" w:lineRule="auto"/>
      </w:pPr>
      <w:r>
        <w:rPr>
          <w:rFonts w:ascii="Calibri" w:hAnsi="Calibri"/>
          <w:b w:val="0"/>
          <w:i w:val="0"/>
          <w:color w:val="1F2328"/>
        </w:rPr>
        <w:t>“Best of the best” is not a feature list. It requires trustworthy migrations, dealership conversions, OEM and lender certifications, 24/7 support, security operations, billing, training, documentation, and years of domain feedback. A single implementation engineer can build an excellent wedge; a market-complete DMS requires a multidisciplinary product organization.</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550"/>
        <w:gridCol w:w="4420"/>
        <w:gridCol w:w="2390"/>
      </w:tblGrid>
      <w:tr>
        <w:trPr>
          <w:cantSplit/>
          <w:tblHeader w:val="true"/>
        </w:trPr>
        <w:tc>
          <w:tcPr>
            <w:tcW w:type="dxa" w:w="2550"/>
            <w:tcMar>
              <w:top w:w="80" w:type="dxa"/>
              <w:start w:w="120" w:type="dxa"/>
              <w:bottom w:w="80" w:type="dxa"/>
              <w:end w:w="120" w:type="dxa"/>
            </w:tcMar>
            <w:shd w:fill="F2F4F7"/>
            <w:vAlign w:val="center"/>
          </w:tcPr>
          <w:p>
            <w:pPr>
              <w:keepNext/>
              <w:spacing w:after="0"/>
            </w:pPr>
            <w:r>
              <w:rPr>
                <w:rFonts w:ascii="Calibri" w:hAnsi="Calibri"/>
                <w:b/>
                <w:color w:val="0B2545"/>
                <w:sz w:val="17"/>
              </w:rPr>
              <w:t>Delivery shape</w:t>
            </w:r>
          </w:p>
        </w:tc>
        <w:tc>
          <w:tcPr>
            <w:tcW w:type="dxa" w:w="4420"/>
            <w:tcMar>
              <w:top w:w="80" w:type="dxa"/>
              <w:start w:w="120" w:type="dxa"/>
              <w:bottom w:w="80" w:type="dxa"/>
              <w:end w:w="120" w:type="dxa"/>
            </w:tcMar>
            <w:shd w:fill="F2F4F7"/>
            <w:vAlign w:val="center"/>
          </w:tcPr>
          <w:p>
            <w:pPr>
              <w:keepNext/>
              <w:spacing w:after="0"/>
            </w:pPr>
            <w:r>
              <w:rPr>
                <w:rFonts w:ascii="Calibri" w:hAnsi="Calibri"/>
                <w:b/>
                <w:color w:val="0B2545"/>
                <w:sz w:val="17"/>
              </w:rPr>
              <w:t>Credible outcome</w:t>
            </w:r>
          </w:p>
        </w:tc>
        <w:tc>
          <w:tcPr>
            <w:tcW w:type="dxa" w:w="2390"/>
            <w:tcMar>
              <w:top w:w="80" w:type="dxa"/>
              <w:start w:w="120" w:type="dxa"/>
              <w:bottom w:w="80" w:type="dxa"/>
              <w:end w:w="120" w:type="dxa"/>
            </w:tcMar>
            <w:shd w:fill="F2F4F7"/>
            <w:vAlign w:val="center"/>
          </w:tcPr>
          <w:p>
            <w:pPr>
              <w:keepNext/>
              <w:spacing w:after="0"/>
            </w:pPr>
            <w:r>
              <w:rPr>
                <w:rFonts w:ascii="Calibri" w:hAnsi="Calibri"/>
                <w:b/>
                <w:color w:val="0B2545"/>
                <w:sz w:val="17"/>
              </w:rPr>
              <w:t>Planning range</w:t>
            </w:r>
          </w:p>
        </w:tc>
      </w:tr>
      <w:tr>
        <w:trPr>
          <w:trHeight w:hRule="atLeast"/>
          <w:cantSplit/>
          <w:cantSplit/>
          <w:cantSplit/>
        </w:trPr>
        <w:tc>
          <w:tcPr>
            <w:tcW w:type="dxa" w:w="2550"/>
            <w:vAlign w:val="top"/>
            <w:tcMar>
              <w:top w:w="80" w:type="dxa"/>
              <w:start w:w="120" w:type="dxa"/>
              <w:bottom w:w="80" w:type="dxa"/>
              <w:end w:w="120" w:type="dxa"/>
            </w:tcMar>
          </w:tcPr>
          <w:p>
            <w:pPr>
              <w:spacing w:before="0" w:after="40" w:line="240" w:lineRule="auto"/>
            </w:pPr>
            <w:r>
              <w:rPr>
                <w:rFonts w:ascii="Calibri" w:hAnsi="Calibri"/>
                <w:b w:val="0"/>
                <w:color w:val="1F2328"/>
                <w:sz w:val="17"/>
              </w:rPr>
              <w:t>One implementation engineer + architect/product owner</w:t>
            </w:r>
          </w:p>
        </w:tc>
        <w:tc>
          <w:tcPr>
            <w:tcW w:type="dxa" w:w="4420"/>
            <w:vAlign w:val="top"/>
            <w:tcMar>
              <w:top w:w="80" w:type="dxa"/>
              <w:start w:w="120" w:type="dxa"/>
              <w:bottom w:w="80" w:type="dxa"/>
              <w:end w:w="120" w:type="dxa"/>
            </w:tcMar>
          </w:tcPr>
          <w:p>
            <w:pPr>
              <w:spacing w:before="0" w:after="40" w:line="240" w:lineRule="auto"/>
            </w:pPr>
            <w:r>
              <w:rPr>
                <w:rFonts w:ascii="Calibri" w:hAnsi="Calibri"/>
                <w:b w:val="0"/>
                <w:color w:val="1F2328"/>
                <w:sz w:val="17"/>
              </w:rPr>
              <w:t>Focused fixed-ops pilot with a narrow integration set</w:t>
            </w:r>
          </w:p>
        </w:tc>
        <w:tc>
          <w:tcPr>
            <w:tcW w:type="dxa" w:w="2390"/>
            <w:vAlign w:val="top"/>
            <w:tcMar>
              <w:top w:w="80" w:type="dxa"/>
              <w:start w:w="120" w:type="dxa"/>
              <w:bottom w:w="80" w:type="dxa"/>
              <w:end w:w="120" w:type="dxa"/>
            </w:tcMar>
          </w:tcPr>
          <w:p>
            <w:pPr>
              <w:spacing w:before="0" w:after="40" w:line="240" w:lineRule="auto"/>
            </w:pPr>
            <w:r>
              <w:rPr>
                <w:rFonts w:ascii="Calibri" w:hAnsi="Calibri"/>
                <w:b w:val="0"/>
                <w:color w:val="1F2328"/>
                <w:sz w:val="17"/>
              </w:rPr>
              <w:t>Approximately 12–18 months, assuming disciplined scope</w:t>
            </w:r>
          </w:p>
        </w:tc>
      </w:tr>
      <w:tr>
        <w:trPr>
          <w:trHeight w:hRule="atLeast"/>
          <w:cantSplit/>
          <w:cantSplit/>
          <w:cantSplit/>
        </w:trPr>
        <w:tc>
          <w:tcPr>
            <w:tcW w:type="dxa" w:w="2550"/>
            <w:vAlign w:val="top"/>
            <w:tcMar>
              <w:top w:w="80" w:type="dxa"/>
              <w:start w:w="120" w:type="dxa"/>
              <w:bottom w:w="80" w:type="dxa"/>
              <w:end w:w="120" w:type="dxa"/>
            </w:tcMar>
          </w:tcPr>
          <w:p>
            <w:pPr>
              <w:spacing w:before="0" w:after="40" w:line="240" w:lineRule="auto"/>
            </w:pPr>
            <w:r>
              <w:rPr>
                <w:rFonts w:ascii="Calibri" w:hAnsi="Calibri"/>
                <w:b w:val="0"/>
                <w:color w:val="1F2328"/>
                <w:sz w:val="17"/>
              </w:rPr>
              <w:t>6–10 person cross-functional product team</w:t>
            </w:r>
          </w:p>
        </w:tc>
        <w:tc>
          <w:tcPr>
            <w:tcW w:type="dxa" w:w="4420"/>
            <w:vAlign w:val="top"/>
            <w:tcMar>
              <w:top w:w="80" w:type="dxa"/>
              <w:start w:w="120" w:type="dxa"/>
              <w:bottom w:w="80" w:type="dxa"/>
              <w:end w:w="120" w:type="dxa"/>
            </w:tcMar>
          </w:tcPr>
          <w:p>
            <w:pPr>
              <w:spacing w:before="0" w:after="40" w:line="240" w:lineRule="auto"/>
            </w:pPr>
            <w:r>
              <w:rPr>
                <w:rFonts w:ascii="Calibri" w:hAnsi="Calibri"/>
                <w:b w:val="0"/>
                <w:color w:val="1F2328"/>
                <w:sz w:val="17"/>
              </w:rPr>
              <w:t>Multi-rooftop dealership core spanning fixed ops, inventory, CRM, and sales</w:t>
            </w:r>
          </w:p>
        </w:tc>
        <w:tc>
          <w:tcPr>
            <w:tcW w:type="dxa" w:w="2390"/>
            <w:vAlign w:val="top"/>
            <w:tcMar>
              <w:top w:w="80" w:type="dxa"/>
              <w:start w:w="120" w:type="dxa"/>
              <w:bottom w:w="80" w:type="dxa"/>
              <w:end w:w="120" w:type="dxa"/>
            </w:tcMar>
          </w:tcPr>
          <w:p>
            <w:pPr>
              <w:spacing w:before="0" w:after="40" w:line="240" w:lineRule="auto"/>
            </w:pPr>
            <w:r>
              <w:rPr>
                <w:rFonts w:ascii="Calibri" w:hAnsi="Calibri"/>
                <w:b w:val="0"/>
                <w:color w:val="1F2328"/>
                <w:sz w:val="17"/>
              </w:rPr>
              <w:t>Approximately 18–30 months</w:t>
            </w:r>
          </w:p>
        </w:tc>
      </w:tr>
      <w:tr>
        <w:trPr>
          <w:trHeight w:hRule="atLeast"/>
          <w:cantSplit/>
          <w:cantSplit/>
          <w:cantSplit/>
        </w:trPr>
        <w:tc>
          <w:tcPr>
            <w:tcW w:type="dxa" w:w="2550"/>
            <w:vAlign w:val="top"/>
            <w:tcMar>
              <w:top w:w="80" w:type="dxa"/>
              <w:start w:w="120" w:type="dxa"/>
              <w:bottom w:w="80" w:type="dxa"/>
              <w:end w:w="120" w:type="dxa"/>
            </w:tcMar>
          </w:tcPr>
          <w:p>
            <w:pPr>
              <w:spacing w:before="0" w:after="40" w:line="240" w:lineRule="auto"/>
            </w:pPr>
            <w:r>
              <w:rPr>
                <w:rFonts w:ascii="Calibri" w:hAnsi="Calibri"/>
                <w:b w:val="0"/>
                <w:color w:val="1F2328"/>
                <w:sz w:val="17"/>
              </w:rPr>
              <w:t>Enterprise DMS parity program</w:t>
            </w:r>
          </w:p>
        </w:tc>
        <w:tc>
          <w:tcPr>
            <w:tcW w:type="dxa" w:w="4420"/>
            <w:vAlign w:val="top"/>
            <w:tcMar>
              <w:top w:w="80" w:type="dxa"/>
              <w:start w:w="120" w:type="dxa"/>
              <w:bottom w:w="80" w:type="dxa"/>
              <w:end w:w="120" w:type="dxa"/>
            </w:tcMar>
          </w:tcPr>
          <w:p>
            <w:pPr>
              <w:spacing w:before="0" w:after="40" w:line="240" w:lineRule="auto"/>
            </w:pPr>
            <w:r>
              <w:rPr>
                <w:rFonts w:ascii="Calibri" w:hAnsi="Calibri"/>
                <w:b w:val="0"/>
                <w:color w:val="1F2328"/>
                <w:sz w:val="17"/>
              </w:rPr>
              <w:t>Native accounting, F&amp;I, OEM/lender/title ecosystems, migration factory, mature operations</w:t>
            </w:r>
          </w:p>
        </w:tc>
        <w:tc>
          <w:tcPr>
            <w:tcW w:type="dxa" w:w="2390"/>
            <w:vAlign w:val="top"/>
            <w:tcMar>
              <w:top w:w="80" w:type="dxa"/>
              <w:start w:w="120" w:type="dxa"/>
              <w:bottom w:w="80" w:type="dxa"/>
              <w:end w:w="120" w:type="dxa"/>
            </w:tcMar>
          </w:tcPr>
          <w:p>
            <w:pPr>
              <w:spacing w:before="0" w:after="40" w:line="240" w:lineRule="auto"/>
            </w:pPr>
            <w:r>
              <w:rPr>
                <w:rFonts w:ascii="Calibri" w:hAnsi="Calibri"/>
                <w:b w:val="0"/>
                <w:color w:val="1F2328"/>
                <w:sz w:val="17"/>
              </w:rPr>
              <w:t>Multi-year; certifications and partner dependencies dominate</w:t>
            </w:r>
          </w:p>
        </w:tc>
      </w:tr>
    </w:tbl>
    <w:p>
      <w:pPr>
        <w:spacing w:after="0"/>
      </w:pPr>
    </w:p>
    <w:p>
      <w:r>
        <w:br w:type="page"/>
      </w:r>
    </w:p>
    <w:p>
      <w:pPr>
        <w:pStyle w:val="Heading1"/>
      </w:pPr>
      <w:r>
        <w:t>2. Assessment Scope and Evidence</w:t>
      </w:r>
    </w:p>
    <w:p>
      <w:pPr>
        <w:pStyle w:val="Heading2"/>
      </w:pPr>
      <w:r>
        <w:t>2.1 Method</w:t>
      </w:r>
    </w:p>
    <w:p>
      <w:pPr>
        <w:pStyle w:val="ListBullet"/>
      </w:pPr>
      <w:r>
        <w:t>Safely inspected the archive structure and extracted source without following links or executing repository scripts.</w:t>
      </w:r>
    </w:p>
    <w:p>
      <w:pPr>
        <w:pStyle w:val="ListBullet"/>
      </w:pPr>
      <w:r>
        <w:t>Read application entry points, routes, service-layer logic, domain transitions, metrics, migration runner, all SQL migrations, tests, Docker files, and architecture notes.</w:t>
      </w:r>
    </w:p>
    <w:p>
      <w:pPr>
        <w:pStyle w:val="ListBullet"/>
      </w:pPr>
      <w:r>
        <w:t>Counted HTTP surface and reconstructed data and transaction flows.</w:t>
      </w:r>
    </w:p>
    <w:p>
      <w:pPr>
        <w:pStyle w:val="ListBullet"/>
      </w:pPr>
      <w:r>
        <w:t>Installed locked dependencies with an isolated cache; ran TypeScript typecheck and production build.</w:t>
      </w:r>
    </w:p>
    <w:p>
      <w:pPr>
        <w:pStyle w:val="ListBullet"/>
      </w:pPr>
      <w:r>
        <w:t>Ran the portable non-database test suite; reviewed database-backed suites statically because PostgreSQL was unavailable in the workspace.</w:t>
      </w:r>
    </w:p>
    <w:p>
      <w:pPr>
        <w:pStyle w:val="ListBullet"/>
      </w:pPr>
      <w:r>
        <w:t>Benchmarked current official product surfaces from Tekion, CDK, Dealertrack, Reynolds, Auto/Mate, VinSolutions, RouteOne, and Fortellis.</w:t>
      </w:r>
    </w:p>
    <w:p>
      <w:pPr>
        <w:pStyle w:val="ListBullet"/>
      </w:pPr>
      <w:r>
        <w:t>Mapped engineering controls to primary FTC, CFPB, PCI SSC, IRS, and OFAC sources.</w:t>
      </w:r>
    </w:p>
    <w:p>
      <w:pPr>
        <w:pStyle w:val="Heading2"/>
      </w:pPr>
      <w:r>
        <w:t>2.2 Verification results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140"/>
        <w:gridCol w:w="1740"/>
        <w:gridCol w:w="5480"/>
      </w:tblGrid>
      <w:tr>
        <w:trPr>
          <w:cantSplit/>
          <w:tblHeader w:val="true"/>
        </w:trPr>
        <w:tc>
          <w:tcPr>
            <w:tcW w:type="dxa" w:w="2140"/>
            <w:tcMar>
              <w:top w:w="80" w:type="dxa"/>
              <w:start w:w="120" w:type="dxa"/>
              <w:bottom w:w="80" w:type="dxa"/>
              <w:end w:w="120" w:type="dxa"/>
            </w:tcMar>
            <w:shd w:fill="F2F4F7"/>
            <w:vAlign w:val="center"/>
          </w:tcPr>
          <w:p>
            <w:pPr>
              <w:keepNext/>
              <w:spacing w:after="0"/>
            </w:pPr>
            <w:r>
              <w:rPr>
                <w:rFonts w:ascii="Calibri" w:hAnsi="Calibri"/>
                <w:b/>
                <w:color w:val="0B2545"/>
                <w:sz w:val="17"/>
              </w:rPr>
              <w:t>Check</w:t>
            </w:r>
          </w:p>
        </w:tc>
        <w:tc>
          <w:tcPr>
            <w:tcW w:type="dxa" w:w="1740"/>
            <w:tcMar>
              <w:top w:w="80" w:type="dxa"/>
              <w:start w:w="120" w:type="dxa"/>
              <w:bottom w:w="80" w:type="dxa"/>
              <w:end w:w="120" w:type="dxa"/>
            </w:tcMar>
            <w:shd w:fill="F2F4F7"/>
            <w:vAlign w:val="center"/>
          </w:tcPr>
          <w:p>
            <w:pPr>
              <w:keepNext/>
              <w:spacing w:after="0"/>
            </w:pPr>
            <w:r>
              <w:rPr>
                <w:rFonts w:ascii="Calibri" w:hAnsi="Calibri"/>
                <w:b/>
                <w:color w:val="0B2545"/>
                <w:sz w:val="17"/>
              </w:rPr>
              <w:t>Result</w:t>
            </w:r>
          </w:p>
        </w:tc>
        <w:tc>
          <w:tcPr>
            <w:tcW w:type="dxa" w:w="5480"/>
            <w:tcMar>
              <w:top w:w="80" w:type="dxa"/>
              <w:start w:w="120" w:type="dxa"/>
              <w:bottom w:w="80" w:type="dxa"/>
              <w:end w:w="120" w:type="dxa"/>
            </w:tcMar>
            <w:shd w:fill="F2F4F7"/>
            <w:vAlign w:val="center"/>
          </w:tcPr>
          <w:p>
            <w:pPr>
              <w:keepNext/>
              <w:spacing w:after="0"/>
            </w:pPr>
            <w:r>
              <w:rPr>
                <w:rFonts w:ascii="Calibri" w:hAnsi="Calibri"/>
                <w:b/>
                <w:color w:val="0B2545"/>
                <w:sz w:val="17"/>
              </w:rPr>
              <w:t>Interpretation</w:t>
            </w:r>
          </w:p>
        </w:tc>
      </w:tr>
      <w:tr>
        <w:trPr>
          <w:trHeight w:hRule="atLeast"/>
          <w:cantSplit/>
          <w:cantSplit/>
          <w:cantSplit/>
        </w:trPr>
        <w:tc>
          <w:tcPr>
            <w:tcW w:type="dxa" w:w="2140"/>
            <w:vAlign w:val="top"/>
            <w:tcMar>
              <w:top w:w="80" w:type="dxa"/>
              <w:start w:w="120" w:type="dxa"/>
              <w:bottom w:w="80" w:type="dxa"/>
              <w:end w:w="120" w:type="dxa"/>
            </w:tcMar>
          </w:tcPr>
          <w:p>
            <w:pPr>
              <w:spacing w:before="0" w:after="40" w:line="240" w:lineRule="auto"/>
            </w:pPr>
            <w:r>
              <w:rPr>
                <w:rFonts w:ascii="Calibri" w:hAnsi="Calibri"/>
                <w:b w:val="0"/>
                <w:color w:val="1F2328"/>
                <w:sz w:val="17"/>
              </w:rPr>
              <w:t>TypeScript typecheck</w:t>
            </w:r>
          </w:p>
        </w:tc>
        <w:tc>
          <w:tcPr>
            <w:tcW w:type="dxa" w:w="1740"/>
            <w:vAlign w:val="top"/>
            <w:tcMar>
              <w:top w:w="80" w:type="dxa"/>
              <w:start w:w="120" w:type="dxa"/>
              <w:bottom w:w="80" w:type="dxa"/>
              <w:end w:w="120" w:type="dxa"/>
            </w:tcMar>
          </w:tcPr>
          <w:p>
            <w:pPr>
              <w:spacing w:before="0" w:after="40" w:line="240" w:lineRule="auto"/>
            </w:pPr>
            <w:r>
              <w:rPr>
                <w:rFonts w:ascii="Calibri" w:hAnsi="Calibri"/>
                <w:b/>
                <w:color w:val="1F5D42"/>
                <w:sz w:val="17"/>
              </w:rPr>
              <w:t>PASS</w:t>
            </w:r>
          </w:p>
        </w:tc>
        <w:tc>
          <w:tcPr>
            <w:tcW w:type="dxa" w:w="5480"/>
            <w:vAlign w:val="top"/>
            <w:tcMar>
              <w:top w:w="80" w:type="dxa"/>
              <w:start w:w="120" w:type="dxa"/>
              <w:bottom w:w="80" w:type="dxa"/>
              <w:end w:w="120" w:type="dxa"/>
            </w:tcMar>
          </w:tcPr>
          <w:p>
            <w:pPr>
              <w:spacing w:before="0" w:after="40" w:line="240" w:lineRule="auto"/>
            </w:pPr>
            <w:r>
              <w:rPr>
                <w:rFonts w:ascii="Calibri" w:hAnsi="Calibri"/>
                <w:b w:val="0"/>
                <w:color w:val="1F2328"/>
                <w:sz w:val="17"/>
              </w:rPr>
              <w:t>Compiler accepted the current configuration.</w:t>
            </w:r>
          </w:p>
        </w:tc>
      </w:tr>
      <w:tr>
        <w:trPr>
          <w:trHeight w:hRule="atLeast"/>
          <w:cantSplit/>
          <w:cantSplit/>
          <w:cantSplit/>
        </w:trPr>
        <w:tc>
          <w:tcPr>
            <w:tcW w:type="dxa" w:w="2140"/>
            <w:vAlign w:val="top"/>
            <w:tcMar>
              <w:top w:w="80" w:type="dxa"/>
              <w:start w:w="120" w:type="dxa"/>
              <w:bottom w:w="80" w:type="dxa"/>
              <w:end w:w="120" w:type="dxa"/>
            </w:tcMar>
          </w:tcPr>
          <w:p>
            <w:pPr>
              <w:spacing w:before="0" w:after="40" w:line="240" w:lineRule="auto"/>
            </w:pPr>
            <w:r>
              <w:rPr>
                <w:rFonts w:ascii="Calibri" w:hAnsi="Calibri"/>
                <w:b w:val="0"/>
                <w:color w:val="1F2328"/>
                <w:sz w:val="17"/>
              </w:rPr>
              <w:t>Production build</w:t>
            </w:r>
          </w:p>
        </w:tc>
        <w:tc>
          <w:tcPr>
            <w:tcW w:type="dxa" w:w="1740"/>
            <w:vAlign w:val="top"/>
            <w:tcMar>
              <w:top w:w="80" w:type="dxa"/>
              <w:start w:w="120" w:type="dxa"/>
              <w:bottom w:w="80" w:type="dxa"/>
              <w:end w:w="120" w:type="dxa"/>
            </w:tcMar>
          </w:tcPr>
          <w:p>
            <w:pPr>
              <w:spacing w:before="0" w:after="40" w:line="240" w:lineRule="auto"/>
            </w:pPr>
            <w:r>
              <w:rPr>
                <w:rFonts w:ascii="Calibri" w:hAnsi="Calibri"/>
                <w:b/>
                <w:color w:val="1F5D42"/>
                <w:sz w:val="17"/>
              </w:rPr>
              <w:t>PASS</w:t>
            </w:r>
          </w:p>
        </w:tc>
        <w:tc>
          <w:tcPr>
            <w:tcW w:type="dxa" w:w="5480"/>
            <w:vAlign w:val="top"/>
            <w:tcMar>
              <w:top w:w="80" w:type="dxa"/>
              <w:start w:w="120" w:type="dxa"/>
              <w:bottom w:w="80" w:type="dxa"/>
              <w:end w:w="120" w:type="dxa"/>
            </w:tcMar>
          </w:tcPr>
          <w:p>
            <w:pPr>
              <w:spacing w:before="0" w:after="40" w:line="240" w:lineRule="auto"/>
            </w:pPr>
            <w:r>
              <w:rPr>
                <w:rFonts w:ascii="Calibri" w:hAnsi="Calibri"/>
                <w:b w:val="0"/>
                <w:color w:val="1F2328"/>
                <w:sz w:val="17"/>
              </w:rPr>
              <w:t>The service transpiles successfully.</w:t>
            </w:r>
          </w:p>
        </w:tc>
      </w:tr>
      <w:tr>
        <w:trPr>
          <w:trHeight w:hRule="atLeast"/>
          <w:cantSplit/>
          <w:cantSplit/>
          <w:cantSplit/>
        </w:trPr>
        <w:tc>
          <w:tcPr>
            <w:tcW w:type="dxa" w:w="2140"/>
            <w:vAlign w:val="top"/>
            <w:tcMar>
              <w:top w:w="80" w:type="dxa"/>
              <w:start w:w="120" w:type="dxa"/>
              <w:bottom w:w="80" w:type="dxa"/>
              <w:end w:w="120" w:type="dxa"/>
            </w:tcMar>
          </w:tcPr>
          <w:p>
            <w:pPr>
              <w:spacing w:before="0" w:after="40" w:line="240" w:lineRule="auto"/>
            </w:pPr>
            <w:r>
              <w:rPr>
                <w:rFonts w:ascii="Calibri" w:hAnsi="Calibri"/>
                <w:b w:val="0"/>
                <w:color w:val="1F2328"/>
                <w:sz w:val="17"/>
              </w:rPr>
              <w:t>Dependency audit</w:t>
            </w:r>
          </w:p>
        </w:tc>
        <w:tc>
          <w:tcPr>
            <w:tcW w:type="dxa" w:w="1740"/>
            <w:vAlign w:val="top"/>
            <w:tcMar>
              <w:top w:w="80" w:type="dxa"/>
              <w:start w:w="120" w:type="dxa"/>
              <w:bottom w:w="80" w:type="dxa"/>
              <w:end w:w="120" w:type="dxa"/>
            </w:tcMar>
          </w:tcPr>
          <w:p>
            <w:pPr>
              <w:spacing w:before="0" w:after="40" w:line="240" w:lineRule="auto"/>
            </w:pPr>
            <w:r>
              <w:rPr>
                <w:rFonts w:ascii="Calibri" w:hAnsi="Calibri"/>
                <w:b/>
                <w:color w:val="1F5D42"/>
                <w:sz w:val="17"/>
              </w:rPr>
              <w:t>0 known findings</w:t>
            </w:r>
          </w:p>
        </w:tc>
        <w:tc>
          <w:tcPr>
            <w:tcW w:type="dxa" w:w="5480"/>
            <w:vAlign w:val="top"/>
            <w:tcMar>
              <w:top w:w="80" w:type="dxa"/>
              <w:start w:w="120" w:type="dxa"/>
              <w:bottom w:w="80" w:type="dxa"/>
              <w:end w:w="120" w:type="dxa"/>
            </w:tcMar>
          </w:tcPr>
          <w:p>
            <w:pPr>
              <w:spacing w:before="0" w:after="40" w:line="240" w:lineRule="auto"/>
            </w:pPr>
            <w:r>
              <w:rPr>
                <w:rFonts w:ascii="Calibri" w:hAnsi="Calibri"/>
                <w:b w:val="0"/>
                <w:color w:val="1F2328"/>
                <w:sz w:val="17"/>
              </w:rPr>
              <w:t>At assessment time; this is not a supply-chain security certification.</w:t>
            </w:r>
          </w:p>
        </w:tc>
      </w:tr>
      <w:tr>
        <w:trPr>
          <w:trHeight w:hRule="atLeast"/>
          <w:cantSplit/>
          <w:cantSplit/>
          <w:cantSplit/>
        </w:trPr>
        <w:tc>
          <w:tcPr>
            <w:tcW w:type="dxa" w:w="2140"/>
            <w:vAlign w:val="top"/>
            <w:tcMar>
              <w:top w:w="80" w:type="dxa"/>
              <w:start w:w="120" w:type="dxa"/>
              <w:bottom w:w="80" w:type="dxa"/>
              <w:end w:w="120" w:type="dxa"/>
            </w:tcMar>
          </w:tcPr>
          <w:p>
            <w:pPr>
              <w:spacing w:before="0" w:after="40" w:line="240" w:lineRule="auto"/>
            </w:pPr>
            <w:r>
              <w:rPr>
                <w:rFonts w:ascii="Calibri" w:hAnsi="Calibri"/>
                <w:b w:val="0"/>
                <w:color w:val="1F2328"/>
                <w:sz w:val="17"/>
              </w:rPr>
              <w:t>Portable unit/doc tests</w:t>
            </w:r>
          </w:p>
        </w:tc>
        <w:tc>
          <w:tcPr>
            <w:tcW w:type="dxa" w:w="1740"/>
            <w:vAlign w:val="top"/>
            <w:tcMar>
              <w:top w:w="80" w:type="dxa"/>
              <w:start w:w="120" w:type="dxa"/>
              <w:bottom w:w="80" w:type="dxa"/>
              <w:end w:w="120" w:type="dxa"/>
            </w:tcMar>
          </w:tcPr>
          <w:p>
            <w:pPr>
              <w:spacing w:before="0" w:after="40" w:line="240" w:lineRule="auto"/>
            </w:pPr>
            <w:r>
              <w:rPr>
                <w:rFonts w:ascii="Calibri" w:hAnsi="Calibri"/>
                <w:b/>
                <w:color w:val="1F5D42"/>
                <w:sz w:val="17"/>
              </w:rPr>
              <w:t>43 passed, 0 failed</w:t>
            </w:r>
          </w:p>
        </w:tc>
        <w:tc>
          <w:tcPr>
            <w:tcW w:type="dxa" w:w="5480"/>
            <w:vAlign w:val="top"/>
            <w:tcMar>
              <w:top w:w="80" w:type="dxa"/>
              <w:start w:w="120" w:type="dxa"/>
              <w:bottom w:w="80" w:type="dxa"/>
              <w:end w:w="120" w:type="dxa"/>
            </w:tcMar>
          </w:tcPr>
          <w:p>
            <w:pPr>
              <w:spacing w:before="0" w:after="40" w:line="240" w:lineRule="auto"/>
            </w:pPr>
            <w:r>
              <w:rPr>
                <w:rFonts w:ascii="Calibri" w:hAnsi="Calibri"/>
                <w:b w:val="0"/>
                <w:color w:val="1F2328"/>
                <w:sz w:val="17"/>
              </w:rPr>
              <w:t>Executed with Node test runner and tsx import.</w:t>
            </w:r>
          </w:p>
        </w:tc>
      </w:tr>
      <w:tr>
        <w:trPr>
          <w:trHeight w:hRule="atLeast"/>
          <w:cantSplit/>
          <w:cantSplit/>
          <w:cantSplit/>
        </w:trPr>
        <w:tc>
          <w:tcPr>
            <w:tcW w:type="dxa" w:w="2140"/>
            <w:vAlign w:val="top"/>
            <w:tcMar>
              <w:top w:w="80" w:type="dxa"/>
              <w:start w:w="120" w:type="dxa"/>
              <w:bottom w:w="80" w:type="dxa"/>
              <w:end w:w="120" w:type="dxa"/>
            </w:tcMar>
          </w:tcPr>
          <w:p>
            <w:pPr>
              <w:spacing w:before="0" w:after="40" w:line="240" w:lineRule="auto"/>
            </w:pPr>
            <w:r>
              <w:rPr>
                <w:rFonts w:ascii="Calibri" w:hAnsi="Calibri"/>
                <w:b w:val="0"/>
                <w:color w:val="1F2328"/>
                <w:sz w:val="17"/>
              </w:rPr>
              <w:t>Default npm test</w:t>
            </w:r>
          </w:p>
        </w:tc>
        <w:tc>
          <w:tcPr>
            <w:tcW w:type="dxa" w:w="1740"/>
            <w:vAlign w:val="top"/>
            <w:tcMar>
              <w:top w:w="80" w:type="dxa"/>
              <w:start w:w="120" w:type="dxa"/>
              <w:bottom w:w="80" w:type="dxa"/>
              <w:end w:w="120" w:type="dxa"/>
            </w:tcMar>
          </w:tcPr>
          <w:p>
            <w:pPr>
              <w:spacing w:before="0" w:after="40" w:line="240" w:lineRule="auto"/>
            </w:pPr>
            <w:r>
              <w:rPr>
                <w:rFonts w:ascii="Calibri" w:hAnsi="Calibri"/>
                <w:b/>
                <w:color w:val="7A5A00"/>
                <w:sz w:val="17"/>
              </w:rPr>
              <w:t>Environment-blocked</w:t>
            </w:r>
          </w:p>
        </w:tc>
        <w:tc>
          <w:tcPr>
            <w:tcW w:type="dxa" w:w="5480"/>
            <w:vAlign w:val="top"/>
            <w:tcMar>
              <w:top w:w="80" w:type="dxa"/>
              <w:start w:w="120" w:type="dxa"/>
              <w:bottom w:w="80" w:type="dxa"/>
              <w:end w:w="120" w:type="dxa"/>
            </w:tcMar>
          </w:tcPr>
          <w:p>
            <w:pPr>
              <w:spacing w:before="0" w:after="40" w:line="240" w:lineRule="auto"/>
            </w:pPr>
            <w:r>
              <w:rPr>
                <w:rFonts w:ascii="Calibri" w:hAnsi="Calibri"/>
                <w:b w:val="0"/>
                <w:color w:val="1F2328"/>
                <w:sz w:val="17"/>
              </w:rPr>
              <w:t>tsx IPC socket creation was denied; alternate invocation passed.</w:t>
            </w:r>
          </w:p>
        </w:tc>
      </w:tr>
      <w:tr>
        <w:trPr>
          <w:trHeight w:hRule="atLeast"/>
          <w:cantSplit/>
          <w:cantSplit/>
          <w:cantSplit/>
        </w:trPr>
        <w:tc>
          <w:tcPr>
            <w:tcW w:type="dxa" w:w="2140"/>
            <w:vAlign w:val="top"/>
            <w:tcMar>
              <w:top w:w="80" w:type="dxa"/>
              <w:start w:w="120" w:type="dxa"/>
              <w:bottom w:w="80" w:type="dxa"/>
              <w:end w:w="120" w:type="dxa"/>
            </w:tcMar>
          </w:tcPr>
          <w:p>
            <w:pPr>
              <w:spacing w:before="0" w:after="40" w:line="240" w:lineRule="auto"/>
            </w:pPr>
            <w:r>
              <w:rPr>
                <w:rFonts w:ascii="Calibri" w:hAnsi="Calibri"/>
                <w:b w:val="0"/>
                <w:color w:val="1F2328"/>
                <w:sz w:val="17"/>
              </w:rPr>
              <w:t>DB integration and route suites</w:t>
            </w:r>
          </w:p>
        </w:tc>
        <w:tc>
          <w:tcPr>
            <w:tcW w:type="dxa" w:w="1740"/>
            <w:vAlign w:val="top"/>
            <w:tcMar>
              <w:top w:w="80" w:type="dxa"/>
              <w:start w:w="120" w:type="dxa"/>
              <w:bottom w:w="80" w:type="dxa"/>
              <w:end w:w="120" w:type="dxa"/>
            </w:tcMar>
          </w:tcPr>
          <w:p>
            <w:pPr>
              <w:spacing w:before="0" w:after="40" w:line="240" w:lineRule="auto"/>
            </w:pPr>
            <w:r>
              <w:rPr>
                <w:rFonts w:ascii="Calibri" w:hAnsi="Calibri"/>
                <w:b/>
                <w:color w:val="9B1C1C"/>
                <w:sz w:val="17"/>
              </w:rPr>
              <w:t>Not executed</w:t>
            </w:r>
          </w:p>
        </w:tc>
        <w:tc>
          <w:tcPr>
            <w:tcW w:type="dxa" w:w="5480"/>
            <w:vAlign w:val="top"/>
            <w:tcMar>
              <w:top w:w="80" w:type="dxa"/>
              <w:start w:w="120" w:type="dxa"/>
              <w:bottom w:w="80" w:type="dxa"/>
              <w:end w:w="120" w:type="dxa"/>
            </w:tcMar>
          </w:tcPr>
          <w:p>
            <w:pPr>
              <w:spacing w:before="0" w:after="40" w:line="240" w:lineRule="auto"/>
            </w:pPr>
            <w:r>
              <w:rPr>
                <w:rFonts w:ascii="Calibri" w:hAnsi="Calibri"/>
                <w:b w:val="0"/>
                <w:color w:val="1F2328"/>
                <w:sz w:val="17"/>
              </w:rPr>
              <w:t>No PostgreSQL runtime/TEST_DATABASE_URL was available; cannot be treated as green.</w:t>
            </w:r>
          </w:p>
        </w:tc>
      </w:tr>
      <w:tr>
        <w:trPr>
          <w:trHeight w:hRule="atLeast"/>
          <w:cantSplit/>
          <w:cantSplit/>
          <w:cantSplit/>
        </w:trPr>
        <w:tc>
          <w:tcPr>
            <w:tcW w:type="dxa" w:w="2140"/>
            <w:vAlign w:val="top"/>
            <w:tcMar>
              <w:top w:w="80" w:type="dxa"/>
              <w:start w:w="120" w:type="dxa"/>
              <w:bottom w:w="80" w:type="dxa"/>
              <w:end w:w="120" w:type="dxa"/>
            </w:tcMar>
          </w:tcPr>
          <w:p>
            <w:pPr>
              <w:spacing w:before="0" w:after="40" w:line="240" w:lineRule="auto"/>
            </w:pPr>
            <w:r>
              <w:rPr>
                <w:rFonts w:ascii="Calibri" w:hAnsi="Calibri"/>
                <w:b w:val="0"/>
                <w:color w:val="1F2328"/>
                <w:sz w:val="17"/>
              </w:rPr>
              <w:t>UI/E2E/accessibility/load/DR tests</w:t>
            </w:r>
          </w:p>
        </w:tc>
        <w:tc>
          <w:tcPr>
            <w:tcW w:type="dxa" w:w="1740"/>
            <w:vAlign w:val="top"/>
            <w:tcMar>
              <w:top w:w="80" w:type="dxa"/>
              <w:start w:w="120" w:type="dxa"/>
              <w:bottom w:w="80" w:type="dxa"/>
              <w:end w:w="120" w:type="dxa"/>
            </w:tcMar>
          </w:tcPr>
          <w:p>
            <w:pPr>
              <w:spacing w:before="0" w:after="40" w:line="240" w:lineRule="auto"/>
            </w:pPr>
            <w:r>
              <w:rPr>
                <w:rFonts w:ascii="Calibri" w:hAnsi="Calibri"/>
                <w:b/>
                <w:color w:val="9B1C1C"/>
                <w:sz w:val="17"/>
              </w:rPr>
              <w:t>Absent</w:t>
            </w:r>
          </w:p>
        </w:tc>
        <w:tc>
          <w:tcPr>
            <w:tcW w:type="dxa" w:w="5480"/>
            <w:vAlign w:val="top"/>
            <w:tcMar>
              <w:top w:w="80" w:type="dxa"/>
              <w:start w:w="120" w:type="dxa"/>
              <w:bottom w:w="80" w:type="dxa"/>
              <w:end w:w="120" w:type="dxa"/>
            </w:tcMar>
          </w:tcPr>
          <w:p>
            <w:pPr>
              <w:spacing w:before="0" w:after="40" w:line="240" w:lineRule="auto"/>
            </w:pPr>
            <w:r>
              <w:rPr>
                <w:rFonts w:ascii="Calibri" w:hAnsi="Calibri"/>
                <w:b w:val="0"/>
                <w:color w:val="1F2328"/>
                <w:sz w:val="17"/>
              </w:rPr>
              <w:t>No client application or production-operability suite exists.</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7A5A00"/>
          <w:left w:val="single" w:sz="6" w:space="0" w:color="7A5A00"/>
          <w:bottom w:val="single" w:sz="6" w:space="0" w:color="7A5A00"/>
          <w:right w:val="single" w:sz="6" w:space="0" w:color="7A5A00"/>
          <w:insideH w:val="single" w:sz="6" w:space="0" w:color="7A5A00"/>
          <w:insideV w:val="single" w:sz="6" w:space="0" w:color="7A5A00"/>
        </w:tblBorders>
      </w:tblPr>
      <w:tblGrid>
        <w:gridCol w:w="9360"/>
      </w:tblGrid>
      <w:tr>
        <w:trPr>
          <w:cantSplit/>
        </w:trPr>
        <w:tc>
          <w:tcPr>
            <w:tcW w:type="dxa" w:w="9360"/>
            <w:tcMar>
              <w:top w:w="80" w:type="dxa"/>
              <w:start w:w="120" w:type="dxa"/>
              <w:bottom w:w="80" w:type="dxa"/>
              <w:end w:w="120" w:type="dxa"/>
            </w:tcMar>
            <w:shd w:fill="FFF4CE"/>
            <w:vAlign w:val="center"/>
          </w:tcPr>
          <w:p>
            <w:pPr>
              <w:spacing w:after="60"/>
            </w:pPr>
            <w:r>
              <w:rPr>
                <w:rFonts w:ascii="Calibri" w:hAnsi="Calibri"/>
                <w:b/>
                <w:color w:val="7A5A00"/>
                <w:sz w:val="21"/>
              </w:rPr>
              <w:t>Evidence limit</w:t>
            </w:r>
          </w:p>
          <w:p>
            <w:pPr>
              <w:spacing w:after="0" w:line="264" w:lineRule="auto"/>
            </w:pPr>
            <w:r>
              <w:rPr>
                <w:rFonts w:ascii="Calibri" w:hAnsi="Calibri"/>
                <w:color w:val="1F2328"/>
                <w:sz w:val="21"/>
              </w:rPr>
              <w:t>A successful build and 43 portable tests establish basic integrity only. They do not validate migrations, SQL behavior, concurrency under PostgreSQL, tenant escape resistance, customer journeys, availability, or production security.</w:t>
            </w:r>
          </w:p>
        </w:tc>
      </w:tr>
    </w:tbl>
    <w:p>
      <w:pPr>
        <w:spacing w:after="0"/>
      </w:pPr>
    </w:p>
    <w:p>
      <w:r>
        <w:br w:type="page"/>
      </w:r>
    </w:p>
    <w:p>
      <w:pPr>
        <w:pStyle w:val="Heading1"/>
      </w:pPr>
      <w:r>
        <w:t>3. Current-State Repository</w:t>
      </w:r>
    </w:p>
    <w:p>
      <w:pPr>
        <w:pStyle w:val="Heading2"/>
      </w:pPr>
      <w:r>
        <w:t>3.1 Structural inventory</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200"/>
        <w:gridCol w:w="7160"/>
      </w:tblGrid>
      <w:tr>
        <w:trPr>
          <w:cantSplit/>
          <w:tblHeader w:val="true"/>
        </w:trPr>
        <w:tc>
          <w:tcPr>
            <w:tcW w:type="dxa" w:w="2200"/>
            <w:tcMar>
              <w:top w:w="80" w:type="dxa"/>
              <w:start w:w="120" w:type="dxa"/>
              <w:bottom w:w="80" w:type="dxa"/>
              <w:end w:w="120" w:type="dxa"/>
            </w:tcMar>
            <w:shd w:fill="F2F4F7"/>
            <w:vAlign w:val="center"/>
          </w:tcPr>
          <w:p>
            <w:pPr>
              <w:keepNext/>
              <w:spacing w:after="0"/>
            </w:pPr>
            <w:r>
              <w:rPr>
                <w:rFonts w:ascii="Calibri" w:hAnsi="Calibri"/>
                <w:b/>
                <w:color w:val="0B2545"/>
                <w:sz w:val="17"/>
              </w:rPr>
              <w:t>Area</w:t>
            </w:r>
          </w:p>
        </w:tc>
        <w:tc>
          <w:tcPr>
            <w:tcW w:type="dxa" w:w="7160"/>
            <w:tcMar>
              <w:top w:w="80" w:type="dxa"/>
              <w:start w:w="120" w:type="dxa"/>
              <w:bottom w:w="80" w:type="dxa"/>
              <w:end w:w="120" w:type="dxa"/>
            </w:tcMar>
            <w:shd w:fill="F2F4F7"/>
            <w:vAlign w:val="center"/>
          </w:tcPr>
          <w:p>
            <w:pPr>
              <w:keepNext/>
              <w:spacing w:after="0"/>
            </w:pPr>
            <w:r>
              <w:rPr>
                <w:rFonts w:ascii="Calibri" w:hAnsi="Calibri"/>
                <w:b/>
                <w:color w:val="0B2545"/>
                <w:sz w:val="17"/>
              </w:rPr>
              <w:t>Observed implementation</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Runtime</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Node.js 20, TypeScript, Express, PostgreSQL, prom-client</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Deployment</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One API container plus PostgreSQL in Docker Compose</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HTTP surface</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44 route handlers under one service-cockpit mount</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Persistence</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Seven SQL migration files; approximately 24 domain tables plus migration/audit infrastructure</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Core implementation</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A 3,279-line service-layer file coordinates most use cases</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Domain model</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Repair-order state machine with 14 states; pure transition logic</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Security model</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Custom HS256 bearer JWT; tenant_id and roles carried in claims</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Observability</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Structured logger, Prometheus metrics, health/readiness endpoints</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User interface</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None in the repository</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Delivery automation</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No checked-in CI workflow, IaC, production orchestration, or release controls</w:t>
            </w:r>
          </w:p>
        </w:tc>
      </w:tr>
    </w:tbl>
    <w:p>
      <w:pPr>
        <w:spacing w:after="0"/>
      </w:pPr>
    </w:p>
    <w:p>
      <w:pPr>
        <w:pStyle w:val="Heading2"/>
      </w:pPr>
      <w:r>
        <w:t>3.2 Implemented capability map</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560"/>
        <w:gridCol w:w="1500"/>
        <w:gridCol w:w="5300"/>
      </w:tblGrid>
      <w:tr>
        <w:trPr>
          <w:cantSplit/>
          <w:tblHeader w:val="true"/>
        </w:trPr>
        <w:tc>
          <w:tcPr>
            <w:tcW w:type="dxa" w:w="2560"/>
            <w:tcMar>
              <w:top w:w="80" w:type="dxa"/>
              <w:start w:w="120" w:type="dxa"/>
              <w:bottom w:w="80" w:type="dxa"/>
              <w:end w:w="120" w:type="dxa"/>
            </w:tcMar>
            <w:shd w:fill="F2F4F7"/>
            <w:vAlign w:val="center"/>
          </w:tcPr>
          <w:p>
            <w:pPr>
              <w:keepNext/>
              <w:spacing w:after="0"/>
            </w:pPr>
            <w:r>
              <w:rPr>
                <w:rFonts w:ascii="Calibri" w:hAnsi="Calibri"/>
                <w:b/>
                <w:color w:val="0B2545"/>
                <w:sz w:val="16"/>
              </w:rPr>
              <w:t>Capability</w:t>
            </w:r>
          </w:p>
        </w:tc>
        <w:tc>
          <w:tcPr>
            <w:tcW w:type="dxa" w:w="1500"/>
            <w:tcMar>
              <w:top w:w="80" w:type="dxa"/>
              <w:start w:w="120" w:type="dxa"/>
              <w:bottom w:w="80" w:type="dxa"/>
              <w:end w:w="120" w:type="dxa"/>
            </w:tcMar>
            <w:shd w:fill="F2F4F7"/>
            <w:vAlign w:val="center"/>
          </w:tcPr>
          <w:p>
            <w:pPr>
              <w:keepNext/>
              <w:spacing w:after="0"/>
            </w:pPr>
            <w:r>
              <w:rPr>
                <w:rFonts w:ascii="Calibri" w:hAnsi="Calibri"/>
                <w:b/>
                <w:color w:val="0B2545"/>
                <w:sz w:val="16"/>
              </w:rPr>
              <w:t>Depth</w:t>
            </w:r>
          </w:p>
        </w:tc>
        <w:tc>
          <w:tcPr>
            <w:tcW w:type="dxa" w:w="5300"/>
            <w:tcMar>
              <w:top w:w="80" w:type="dxa"/>
              <w:start w:w="120" w:type="dxa"/>
              <w:bottom w:w="80" w:type="dxa"/>
              <w:end w:w="120" w:type="dxa"/>
            </w:tcMar>
            <w:shd w:fill="F2F4F7"/>
            <w:vAlign w:val="center"/>
          </w:tcPr>
          <w:p>
            <w:pPr>
              <w:keepNext/>
              <w:spacing w:after="0"/>
            </w:pPr>
            <w:r>
              <w:rPr>
                <w:rFonts w:ascii="Calibri" w:hAnsi="Calibri"/>
                <w:b/>
                <w:color w:val="0B2545"/>
                <w:sz w:val="16"/>
              </w:rPr>
              <w:t>Notes</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Appointments, intake, waitlist</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Medium</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CRUD and waitlist lifecycle; no capacity or conflict engine.</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Repair orders</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High for slice</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Central lifecycle, locks, transitions, related records.</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MPI / recommendations</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Medium</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Session/results/recommendations; template completeness and rules are weak.</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Estimate / authorization</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Medium–high</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Current-estimate gate, step-up token concept, price snapshot/freeze.</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Dispatch / technician time</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Medium</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Tickets, clocking, proficiency; identity and state synchronization gaps.</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Parts / sublet / warranty</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Low–medium</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Workflow statuses, not enterprise inventory/procurement/claims.</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Queues / SLA / comeback</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Medium</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Operational queue synchronization and metrics.</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Customer portal</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Record-only</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Staff creates tasks; no customer identity or completion journey.</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Sales, inventory, CRM, F&amp;I</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Absent</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No delivered product surface.</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Accounting / cashiering</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Absent</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RO can close without invoice, payment, or financial posting.</w:t>
            </w:r>
          </w:p>
        </w:tc>
      </w:tr>
      <w:tr>
        <w:trPr>
          <w:trHeight w:hRule="atLeast"/>
          <w:cantSplit/>
          <w:cantSplit/>
          <w:cantSplit/>
        </w:trPr>
        <w:tc>
          <w:tcPr>
            <w:tcW w:type="dxa" w:w="2560"/>
            <w:vAlign w:val="top"/>
            <w:tcMar>
              <w:top w:w="80" w:type="dxa"/>
              <w:start w:w="120" w:type="dxa"/>
              <w:bottom w:w="80" w:type="dxa"/>
              <w:end w:w="120" w:type="dxa"/>
            </w:tcMar>
          </w:tcPr>
          <w:p>
            <w:pPr>
              <w:spacing w:before="0" w:after="40" w:line="240" w:lineRule="auto"/>
            </w:pPr>
            <w:r>
              <w:rPr>
                <w:rFonts w:ascii="Calibri" w:hAnsi="Calibri"/>
                <w:b w:val="0"/>
                <w:color w:val="1F2328"/>
                <w:sz w:val="16"/>
              </w:rPr>
              <w:t>SaaS control plane</w:t>
            </w:r>
          </w:p>
        </w:tc>
        <w:tc>
          <w:tcPr>
            <w:tcW w:type="dxa" w:w="1500"/>
            <w:vAlign w:val="top"/>
            <w:tcMar>
              <w:top w:w="80" w:type="dxa"/>
              <w:start w:w="120" w:type="dxa"/>
              <w:bottom w:w="80" w:type="dxa"/>
              <w:end w:w="120" w:type="dxa"/>
            </w:tcMar>
          </w:tcPr>
          <w:p>
            <w:pPr>
              <w:spacing w:before="0" w:after="40" w:line="240" w:lineRule="auto"/>
            </w:pPr>
            <w:r>
              <w:rPr>
                <w:rFonts w:ascii="Calibri" w:hAnsi="Calibri"/>
                <w:b w:val="0"/>
                <w:color w:val="1F2328"/>
                <w:sz w:val="16"/>
              </w:rPr>
              <w:t>Absent</w:t>
            </w:r>
          </w:p>
        </w:tc>
        <w:tc>
          <w:tcPr>
            <w:tcW w:type="dxa" w:w="5300"/>
            <w:vAlign w:val="top"/>
            <w:tcMar>
              <w:top w:w="80" w:type="dxa"/>
              <w:start w:w="120" w:type="dxa"/>
              <w:bottom w:w="80" w:type="dxa"/>
              <w:end w:w="120" w:type="dxa"/>
            </w:tcMar>
          </w:tcPr>
          <w:p>
            <w:pPr>
              <w:spacing w:before="0" w:after="40" w:line="240" w:lineRule="auto"/>
            </w:pPr>
            <w:r>
              <w:rPr>
                <w:rFonts w:ascii="Calibri" w:hAnsi="Calibri"/>
                <w:b w:val="0"/>
                <w:color w:val="1F2328"/>
                <w:sz w:val="16"/>
              </w:rPr>
              <w:t>No provisioning, plans, metering, billing, support administration, or data migration.</w:t>
            </w:r>
          </w:p>
        </w:tc>
      </w:tr>
    </w:tbl>
    <w:p>
      <w:pPr>
        <w:spacing w:after="0"/>
      </w:pPr>
    </w:p>
    <w:p>
      <w:pPr>
        <w:pStyle w:val="Heading2"/>
      </w:pPr>
      <w:r>
        <w:t>3.3 What is worth preserving</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360"/>
        <w:gridCol w:w="1900"/>
        <w:gridCol w:w="5100"/>
      </w:tblGrid>
      <w:tr>
        <w:trPr>
          <w:cantSplit/>
          <w:tblHeader w:val="true"/>
        </w:trPr>
        <w:tc>
          <w:tcPr>
            <w:tcW w:type="dxa" w:w="2360"/>
            <w:tcMar>
              <w:top w:w="80" w:type="dxa"/>
              <w:start w:w="120" w:type="dxa"/>
              <w:bottom w:w="80" w:type="dxa"/>
              <w:end w:w="120" w:type="dxa"/>
            </w:tcMar>
            <w:shd w:fill="F2F4F7"/>
            <w:vAlign w:val="center"/>
          </w:tcPr>
          <w:p>
            <w:pPr>
              <w:keepNext/>
              <w:spacing w:after="0"/>
            </w:pPr>
            <w:r>
              <w:rPr>
                <w:rFonts w:ascii="Calibri" w:hAnsi="Calibri"/>
                <w:b/>
                <w:color w:val="0B2545"/>
                <w:sz w:val="16"/>
              </w:rPr>
              <w:t>Asset</w:t>
            </w:r>
          </w:p>
        </w:tc>
        <w:tc>
          <w:tcPr>
            <w:tcW w:type="dxa" w:w="1900"/>
            <w:tcMar>
              <w:top w:w="80" w:type="dxa"/>
              <w:start w:w="120" w:type="dxa"/>
              <w:bottom w:w="80" w:type="dxa"/>
              <w:end w:w="120" w:type="dxa"/>
            </w:tcMar>
            <w:shd w:fill="F2F4F7"/>
            <w:vAlign w:val="center"/>
          </w:tcPr>
          <w:p>
            <w:pPr>
              <w:keepNext/>
              <w:spacing w:after="0"/>
            </w:pPr>
            <w:r>
              <w:rPr>
                <w:rFonts w:ascii="Calibri" w:hAnsi="Calibri"/>
                <w:b/>
                <w:color w:val="0B2545"/>
                <w:sz w:val="16"/>
              </w:rPr>
              <w:t>Disposition</w:t>
            </w:r>
          </w:p>
        </w:tc>
        <w:tc>
          <w:tcPr>
            <w:tcW w:type="dxa" w:w="5100"/>
            <w:tcMar>
              <w:top w:w="80" w:type="dxa"/>
              <w:start w:w="120" w:type="dxa"/>
              <w:bottom w:w="80" w:type="dxa"/>
              <w:end w:w="120" w:type="dxa"/>
            </w:tcMar>
            <w:shd w:fill="F2F4F7"/>
            <w:vAlign w:val="center"/>
          </w:tcPr>
          <w:p>
            <w:pPr>
              <w:keepNext/>
              <w:spacing w:after="0"/>
            </w:pPr>
            <w:r>
              <w:rPr>
                <w:rFonts w:ascii="Calibri" w:hAnsi="Calibri"/>
                <w:b/>
                <w:color w:val="0B2545"/>
                <w:sz w:val="16"/>
              </w:rPr>
              <w:t>Instruction</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Repair-order state machine</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Retain and formalize</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Promote to versioned domain policy; add financial/QC/cancellation invariants.</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Authorization evidence and price snapshots</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Retain</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Turn into typed, immutable evidence linked to signed artifacts and identity assurance.</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Transaction and row-lock patterns</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Retain</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Move into explicit command handlers and concurrency tests.</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Tenant-scoped query discipline</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Retain plus enforce</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Backstop with RLS and tenant-aware referential integrity.</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Check-in uniqueness/idempotency concepts</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Retain and generalize</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Adopt a platform-wide idempotency protocol.</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Queue synchronization</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Retain</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Derive durable projections from domain events.</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Bilingual MPI seed content</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Retain as seed</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Externalize configurable templates and full localization.</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Tests around boundary conditions</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Migrate</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Make them executable against ephemeral PostgreSQL in CI.</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3,279-line service coordinator</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Replace incrementally</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Split by bounded context/use case; delete only after behavioral parity.</w:t>
            </w:r>
          </w:p>
        </w:tc>
      </w:tr>
      <w:tr>
        <w:trPr>
          <w:trHeight w:hRule="atLeast"/>
          <w:cantSpli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6"/>
              </w:rPr>
              <w:t>Custom JWT/step-up trust</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Replace</w:t>
            </w:r>
          </w:p>
        </w:tc>
        <w:tc>
          <w:tcPr>
            <w:tcW w:type="dxa" w:w="5100"/>
            <w:vAlign w:val="top"/>
            <w:tcMar>
              <w:top w:w="80" w:type="dxa"/>
              <w:start w:w="120" w:type="dxa"/>
              <w:bottom w:w="80" w:type="dxa"/>
              <w:end w:w="120" w:type="dxa"/>
            </w:tcMar>
          </w:tcPr>
          <w:p>
            <w:pPr>
              <w:spacing w:before="0" w:after="40" w:line="240" w:lineRule="auto"/>
            </w:pPr>
            <w:r>
              <w:rPr>
                <w:rFonts w:ascii="Calibri" w:hAnsi="Calibri"/>
                <w:b w:val="0"/>
                <w:color w:val="1F2328"/>
                <w:sz w:val="16"/>
              </w:rPr>
              <w:t>Use an enterprise identity provider and verified assurance context.</w:t>
            </w:r>
          </w:p>
        </w:tc>
      </w:tr>
    </w:tbl>
    <w:p>
      <w:pPr>
        <w:spacing w:after="0"/>
      </w:pPr>
    </w:p>
    <w:p>
      <w:pPr>
        <w:pStyle w:val="Heading2"/>
      </w:pPr>
      <w:r>
        <w:t>3.4 Maturity score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220"/>
        <w:gridCol w:w="1300"/>
        <w:gridCol w:w="4840"/>
      </w:tblGrid>
      <w:tr>
        <w:trPr>
          <w:cantSplit/>
          <w:tblHeader w:val="true"/>
        </w:trPr>
        <w:tc>
          <w:tcPr>
            <w:tcW w:type="dxa" w:w="3220"/>
            <w:tcMar>
              <w:top w:w="80" w:type="dxa"/>
              <w:start w:w="120" w:type="dxa"/>
              <w:bottom w:w="80" w:type="dxa"/>
              <w:end w:w="120" w:type="dxa"/>
            </w:tcMar>
            <w:shd w:fill="F2F4F7"/>
            <w:vAlign w:val="center"/>
          </w:tcPr>
          <w:p>
            <w:pPr>
              <w:keepNext/>
              <w:spacing w:after="0"/>
            </w:pPr>
            <w:r>
              <w:rPr>
                <w:rFonts w:ascii="Calibri" w:hAnsi="Calibri"/>
                <w:b/>
                <w:color w:val="0B2545"/>
                <w:sz w:val="17"/>
              </w:rPr>
              <w:t>Dimension</w:t>
            </w:r>
          </w:p>
        </w:tc>
        <w:tc>
          <w:tcPr>
            <w:tcW w:type="dxa" w:w="1300"/>
            <w:tcMar>
              <w:top w:w="80" w:type="dxa"/>
              <w:start w:w="120" w:type="dxa"/>
              <w:bottom w:w="80" w:type="dxa"/>
              <w:end w:w="120" w:type="dxa"/>
            </w:tcMar>
            <w:shd w:fill="F2F4F7"/>
            <w:vAlign w:val="center"/>
          </w:tcPr>
          <w:p>
            <w:pPr>
              <w:keepNext/>
              <w:spacing w:after="0"/>
            </w:pPr>
            <w:r>
              <w:rPr>
                <w:rFonts w:ascii="Calibri" w:hAnsi="Calibri"/>
                <w:b/>
                <w:color w:val="0B2545"/>
                <w:sz w:val="17"/>
              </w:rPr>
              <w:t>Score / 5</w:t>
            </w:r>
          </w:p>
        </w:tc>
        <w:tc>
          <w:tcPr>
            <w:tcW w:type="dxa" w:w="4840"/>
            <w:tcMar>
              <w:top w:w="80" w:type="dxa"/>
              <w:start w:w="120" w:type="dxa"/>
              <w:bottom w:w="80" w:type="dxa"/>
              <w:end w:w="120" w:type="dxa"/>
            </w:tcMar>
            <w:shd w:fill="F2F4F7"/>
            <w:vAlign w:val="center"/>
          </w:tcPr>
          <w:p>
            <w:pPr>
              <w:keepNext/>
              <w:spacing w:after="0"/>
            </w:pPr>
            <w:r>
              <w:rPr>
                <w:rFonts w:ascii="Calibri" w:hAnsi="Calibri"/>
                <w:b/>
                <w:color w:val="0B2545"/>
                <w:sz w:val="17"/>
              </w:rPr>
              <w:t>Reason</w:t>
            </w:r>
          </w:p>
        </w:tc>
      </w:tr>
      <w:tr>
        <w:trPr>
          <w:trHeight w:hRule="atLeast"/>
          <w:cantSplit/>
          <w:cantSplit/>
          <w:cantSplit/>
        </w:trPr>
        <w:tc>
          <w:tcPr>
            <w:tcW w:type="dxa" w:w="3220"/>
            <w:vAlign w:val="top"/>
            <w:tcMar>
              <w:top w:w="80" w:type="dxa"/>
              <w:start w:w="120" w:type="dxa"/>
              <w:bottom w:w="80" w:type="dxa"/>
              <w:end w:w="120" w:type="dxa"/>
            </w:tcMar>
          </w:tcPr>
          <w:p>
            <w:pPr>
              <w:spacing w:before="0" w:after="40" w:line="240" w:lineRule="auto"/>
            </w:pPr>
            <w:r>
              <w:rPr>
                <w:rFonts w:ascii="Calibri" w:hAnsi="Calibri"/>
                <w:b w:val="0"/>
                <w:color w:val="1F2328"/>
                <w:sz w:val="17"/>
              </w:rPr>
              <w:t>Fixed-ops domain thoughtfulness</w:t>
            </w:r>
          </w:p>
        </w:tc>
        <w:tc>
          <w:tcPr>
            <w:tcW w:type="dxa" w:w="1300"/>
            <w:vAlign w:val="top"/>
            <w:tcMar>
              <w:top w:w="80" w:type="dxa"/>
              <w:start w:w="120" w:type="dxa"/>
              <w:bottom w:w="80" w:type="dxa"/>
              <w:end w:w="120" w:type="dxa"/>
            </w:tcMar>
          </w:tcPr>
          <w:p>
            <w:pPr>
              <w:spacing w:before="0" w:after="40" w:line="240" w:lineRule="auto"/>
            </w:pPr>
            <w:r>
              <w:rPr>
                <w:rFonts w:ascii="Calibri" w:hAnsi="Calibri"/>
                <w:b w:val="0"/>
                <w:color w:val="1F2328"/>
                <w:sz w:val="17"/>
              </w:rPr>
              <w:t>3.5</w:t>
            </w:r>
          </w:p>
        </w:tc>
        <w:tc>
          <w:tcPr>
            <w:tcW w:type="dxa" w:w="4840"/>
            <w:vAlign w:val="top"/>
            <w:tcMar>
              <w:top w:w="80" w:type="dxa"/>
              <w:start w:w="120" w:type="dxa"/>
              <w:bottom w:w="80" w:type="dxa"/>
              <w:end w:w="120" w:type="dxa"/>
            </w:tcMar>
          </w:tcPr>
          <w:p>
            <w:pPr>
              <w:spacing w:before="0" w:after="40" w:line="240" w:lineRule="auto"/>
            </w:pPr>
            <w:r>
              <w:rPr>
                <w:rFonts w:ascii="Calibri" w:hAnsi="Calibri"/>
                <w:b w:val="0"/>
                <w:color w:val="1F2328"/>
                <w:sz w:val="17"/>
              </w:rPr>
              <w:t>Several nontrivial invariants and workflows are modeled.</w:t>
            </w:r>
          </w:p>
        </w:tc>
      </w:tr>
      <w:tr>
        <w:trPr>
          <w:trHeight w:hRule="atLeast"/>
          <w:cantSplit/>
          <w:cantSplit/>
          <w:cantSplit/>
        </w:trPr>
        <w:tc>
          <w:tcPr>
            <w:tcW w:type="dxa" w:w="3220"/>
            <w:vAlign w:val="top"/>
            <w:tcMar>
              <w:top w:w="80" w:type="dxa"/>
              <w:start w:w="120" w:type="dxa"/>
              <w:bottom w:w="80" w:type="dxa"/>
              <w:end w:w="120" w:type="dxa"/>
            </w:tcMar>
          </w:tcPr>
          <w:p>
            <w:pPr>
              <w:spacing w:before="0" w:after="40" w:line="240" w:lineRule="auto"/>
            </w:pPr>
            <w:r>
              <w:rPr>
                <w:rFonts w:ascii="Calibri" w:hAnsi="Calibri"/>
                <w:b w:val="0"/>
                <w:color w:val="1F2328"/>
                <w:sz w:val="17"/>
              </w:rPr>
              <w:t>Overall dealership product completeness</w:t>
            </w:r>
          </w:p>
        </w:tc>
        <w:tc>
          <w:tcPr>
            <w:tcW w:type="dxa" w:w="1300"/>
            <w:vAlign w:val="top"/>
            <w:tcMar>
              <w:top w:w="80" w:type="dxa"/>
              <w:start w:w="120" w:type="dxa"/>
              <w:bottom w:w="80" w:type="dxa"/>
              <w:end w:w="120" w:type="dxa"/>
            </w:tcMar>
          </w:tcPr>
          <w:p>
            <w:pPr>
              <w:spacing w:before="0" w:after="40" w:line="240" w:lineRule="auto"/>
            </w:pPr>
            <w:r>
              <w:rPr>
                <w:rFonts w:ascii="Calibri" w:hAnsi="Calibri"/>
                <w:b w:val="0"/>
                <w:color w:val="1F2328"/>
                <w:sz w:val="17"/>
              </w:rPr>
              <w:t>0.5</w:t>
            </w:r>
          </w:p>
        </w:tc>
        <w:tc>
          <w:tcPr>
            <w:tcW w:type="dxa" w:w="4840"/>
            <w:vAlign w:val="top"/>
            <w:tcMar>
              <w:top w:w="80" w:type="dxa"/>
              <w:start w:w="120" w:type="dxa"/>
              <w:bottom w:w="80" w:type="dxa"/>
              <w:end w:w="120" w:type="dxa"/>
            </w:tcMar>
          </w:tcPr>
          <w:p>
            <w:pPr>
              <w:spacing w:before="0" w:after="40" w:line="240" w:lineRule="auto"/>
            </w:pPr>
            <w:r>
              <w:rPr>
                <w:rFonts w:ascii="Calibri" w:hAnsi="Calibri"/>
                <w:b w:val="0"/>
                <w:color w:val="1F2328"/>
                <w:sz w:val="17"/>
              </w:rPr>
              <w:t>Only one vertical slice; no client application.</w:t>
            </w:r>
          </w:p>
        </w:tc>
      </w:tr>
      <w:tr>
        <w:trPr>
          <w:trHeight w:hRule="atLeast"/>
          <w:cantSplit/>
          <w:cantSplit/>
          <w:cantSplit/>
        </w:trPr>
        <w:tc>
          <w:tcPr>
            <w:tcW w:type="dxa" w:w="3220"/>
            <w:vAlign w:val="top"/>
            <w:tcMar>
              <w:top w:w="80" w:type="dxa"/>
              <w:start w:w="120" w:type="dxa"/>
              <w:bottom w:w="80" w:type="dxa"/>
              <w:end w:w="120" w:type="dxa"/>
            </w:tcMar>
          </w:tcPr>
          <w:p>
            <w:pPr>
              <w:spacing w:before="0" w:after="40" w:line="240" w:lineRule="auto"/>
            </w:pPr>
            <w:r>
              <w:rPr>
                <w:rFonts w:ascii="Calibri" w:hAnsi="Calibri"/>
                <w:b w:val="0"/>
                <w:color w:val="1F2328"/>
                <w:sz w:val="17"/>
              </w:rPr>
              <w:t>Architecture evolvability</w:t>
            </w:r>
          </w:p>
        </w:tc>
        <w:tc>
          <w:tcPr>
            <w:tcW w:type="dxa" w:w="1300"/>
            <w:vAlign w:val="top"/>
            <w:tcMar>
              <w:top w:w="80" w:type="dxa"/>
              <w:start w:w="120" w:type="dxa"/>
              <w:bottom w:w="80" w:type="dxa"/>
              <w:end w:w="120" w:type="dxa"/>
            </w:tcMar>
          </w:tcPr>
          <w:p>
            <w:pPr>
              <w:spacing w:before="0" w:after="40" w:line="240" w:lineRule="auto"/>
            </w:pPr>
            <w:r>
              <w:rPr>
                <w:rFonts w:ascii="Calibri" w:hAnsi="Calibri"/>
                <w:b w:val="0"/>
                <w:color w:val="1F2328"/>
                <w:sz w:val="17"/>
              </w:rPr>
              <w:t>2.0</w:t>
            </w:r>
          </w:p>
        </w:tc>
        <w:tc>
          <w:tcPr>
            <w:tcW w:type="dxa" w:w="4840"/>
            <w:vAlign w:val="top"/>
            <w:tcMar>
              <w:top w:w="80" w:type="dxa"/>
              <w:start w:w="120" w:type="dxa"/>
              <w:bottom w:w="80" w:type="dxa"/>
              <w:end w:w="120" w:type="dxa"/>
            </w:tcMar>
          </w:tcPr>
          <w:p>
            <w:pPr>
              <w:spacing w:before="0" w:after="40" w:line="240" w:lineRule="auto"/>
            </w:pPr>
            <w:r>
              <w:rPr>
                <w:rFonts w:ascii="Calibri" w:hAnsi="Calibri"/>
                <w:b w:val="0"/>
                <w:color w:val="1F2328"/>
                <w:sz w:val="17"/>
              </w:rPr>
              <w:t>Clear routes/service/domain shape, but extreme service concentration and weak contracts.</w:t>
            </w:r>
          </w:p>
        </w:tc>
      </w:tr>
      <w:tr>
        <w:trPr>
          <w:trHeight w:hRule="atLeast"/>
          <w:cantSplit/>
          <w:cantSplit/>
          <w:cantSplit/>
        </w:trPr>
        <w:tc>
          <w:tcPr>
            <w:tcW w:type="dxa" w:w="3220"/>
            <w:vAlign w:val="top"/>
            <w:tcMar>
              <w:top w:w="80" w:type="dxa"/>
              <w:start w:w="120" w:type="dxa"/>
              <w:bottom w:w="80" w:type="dxa"/>
              <w:end w:w="120" w:type="dxa"/>
            </w:tcMar>
          </w:tcPr>
          <w:p>
            <w:pPr>
              <w:spacing w:before="0" w:after="40" w:line="240" w:lineRule="auto"/>
            </w:pPr>
            <w:r>
              <w:rPr>
                <w:rFonts w:ascii="Calibri" w:hAnsi="Calibri"/>
                <w:b w:val="0"/>
                <w:color w:val="1F2328"/>
                <w:sz w:val="17"/>
              </w:rPr>
              <w:t>Tenant and security posture</w:t>
            </w:r>
          </w:p>
        </w:tc>
        <w:tc>
          <w:tcPr>
            <w:tcW w:type="dxa" w:w="1300"/>
            <w:vAlign w:val="top"/>
            <w:tcMar>
              <w:top w:w="80" w:type="dxa"/>
              <w:start w:w="120" w:type="dxa"/>
              <w:bottom w:w="80" w:type="dxa"/>
              <w:end w:w="120" w:type="dxa"/>
            </w:tcMar>
          </w:tcPr>
          <w:p>
            <w:pPr>
              <w:spacing w:before="0" w:after="40" w:line="240" w:lineRule="auto"/>
            </w:pPr>
            <w:r>
              <w:rPr>
                <w:rFonts w:ascii="Calibri" w:hAnsi="Calibri"/>
                <w:b w:val="0"/>
                <w:color w:val="1F2328"/>
                <w:sz w:val="17"/>
              </w:rPr>
              <w:t>2.0</w:t>
            </w:r>
          </w:p>
        </w:tc>
        <w:tc>
          <w:tcPr>
            <w:tcW w:type="dxa" w:w="4840"/>
            <w:vAlign w:val="top"/>
            <w:tcMar>
              <w:top w:w="80" w:type="dxa"/>
              <w:start w:w="120" w:type="dxa"/>
              <w:bottom w:w="80" w:type="dxa"/>
              <w:end w:w="120" w:type="dxa"/>
            </w:tcMar>
          </w:tcPr>
          <w:p>
            <w:pPr>
              <w:spacing w:before="0" w:after="40" w:line="240" w:lineRule="auto"/>
            </w:pPr>
            <w:r>
              <w:rPr>
                <w:rFonts w:ascii="Calibri" w:hAnsi="Calibri"/>
                <w:b w:val="0"/>
                <w:color w:val="1F2328"/>
                <w:sz w:val="17"/>
              </w:rPr>
              <w:t>Good query intent; app-only isolation and custom identity are insufficient.</w:t>
            </w:r>
          </w:p>
        </w:tc>
      </w:tr>
      <w:tr>
        <w:trPr>
          <w:trHeight w:hRule="atLeast"/>
          <w:cantSplit/>
          <w:cantSplit/>
          <w:cantSplit/>
        </w:trPr>
        <w:tc>
          <w:tcPr>
            <w:tcW w:type="dxa" w:w="3220"/>
            <w:vAlign w:val="top"/>
            <w:tcMar>
              <w:top w:w="80" w:type="dxa"/>
              <w:start w:w="120" w:type="dxa"/>
              <w:bottom w:w="80" w:type="dxa"/>
              <w:end w:w="120" w:type="dxa"/>
            </w:tcMar>
          </w:tcPr>
          <w:p>
            <w:pPr>
              <w:spacing w:before="0" w:after="40" w:line="240" w:lineRule="auto"/>
            </w:pPr>
            <w:r>
              <w:rPr>
                <w:rFonts w:ascii="Calibri" w:hAnsi="Calibri"/>
                <w:b w:val="0"/>
                <w:color w:val="1F2328"/>
                <w:sz w:val="17"/>
              </w:rPr>
              <w:t>Data integrity</w:t>
            </w:r>
          </w:p>
        </w:tc>
        <w:tc>
          <w:tcPr>
            <w:tcW w:type="dxa" w:w="1300"/>
            <w:vAlign w:val="top"/>
            <w:tcMar>
              <w:top w:w="80" w:type="dxa"/>
              <w:start w:w="120" w:type="dxa"/>
              <w:bottom w:w="80" w:type="dxa"/>
              <w:end w:w="120" w:type="dxa"/>
            </w:tcMar>
          </w:tcPr>
          <w:p>
            <w:pPr>
              <w:spacing w:before="0" w:after="40" w:line="240" w:lineRule="auto"/>
            </w:pPr>
            <w:r>
              <w:rPr>
                <w:rFonts w:ascii="Calibri" w:hAnsi="Calibri"/>
                <w:b w:val="0"/>
                <w:color w:val="1F2328"/>
                <w:sz w:val="17"/>
              </w:rPr>
              <w:t>2.0</w:t>
            </w:r>
          </w:p>
        </w:tc>
        <w:tc>
          <w:tcPr>
            <w:tcW w:type="dxa" w:w="4840"/>
            <w:vAlign w:val="top"/>
            <w:tcMar>
              <w:top w:w="80" w:type="dxa"/>
              <w:start w:w="120" w:type="dxa"/>
              <w:bottom w:w="80" w:type="dxa"/>
              <w:end w:w="120" w:type="dxa"/>
            </w:tcMar>
          </w:tcPr>
          <w:p>
            <w:pPr>
              <w:spacing w:before="0" w:after="40" w:line="240" w:lineRule="auto"/>
            </w:pPr>
            <w:r>
              <w:rPr>
                <w:rFonts w:ascii="Calibri" w:hAnsi="Calibri"/>
                <w:b w:val="0"/>
                <w:color w:val="1F2328"/>
                <w:sz w:val="17"/>
              </w:rPr>
              <w:t>Transactional work exists; cross-tenant FKs, JSONB placeholders, and migration drift remain.</w:t>
            </w:r>
          </w:p>
        </w:tc>
      </w:tr>
      <w:tr>
        <w:trPr>
          <w:trHeight w:hRule="atLeast"/>
          <w:cantSplit/>
          <w:cantSplit/>
          <w:cantSplit/>
        </w:trPr>
        <w:tc>
          <w:tcPr>
            <w:tcW w:type="dxa" w:w="3220"/>
            <w:vAlign w:val="top"/>
            <w:tcMar>
              <w:top w:w="80" w:type="dxa"/>
              <w:start w:w="120" w:type="dxa"/>
              <w:bottom w:w="80" w:type="dxa"/>
              <w:end w:w="120" w:type="dxa"/>
            </w:tcMar>
          </w:tcPr>
          <w:p>
            <w:pPr>
              <w:spacing w:before="0" w:after="40" w:line="240" w:lineRule="auto"/>
            </w:pPr>
            <w:r>
              <w:rPr>
                <w:rFonts w:ascii="Calibri" w:hAnsi="Calibri"/>
                <w:b w:val="0"/>
                <w:color w:val="1F2328"/>
                <w:sz w:val="17"/>
              </w:rPr>
              <w:t>Operability and reliability</w:t>
            </w:r>
          </w:p>
        </w:tc>
        <w:tc>
          <w:tcPr>
            <w:tcW w:type="dxa" w:w="1300"/>
            <w:vAlign w:val="top"/>
            <w:tcMar>
              <w:top w:w="80" w:type="dxa"/>
              <w:start w:w="120" w:type="dxa"/>
              <w:bottom w:w="80" w:type="dxa"/>
              <w:end w:w="120" w:type="dxa"/>
            </w:tcMar>
          </w:tcPr>
          <w:p>
            <w:pPr>
              <w:spacing w:before="0" w:after="40" w:line="240" w:lineRule="auto"/>
            </w:pPr>
            <w:r>
              <w:rPr>
                <w:rFonts w:ascii="Calibri" w:hAnsi="Calibri"/>
                <w:b w:val="0"/>
                <w:color w:val="1F2328"/>
                <w:sz w:val="17"/>
              </w:rPr>
              <w:t>1.0</w:t>
            </w:r>
          </w:p>
        </w:tc>
        <w:tc>
          <w:tcPr>
            <w:tcW w:type="dxa" w:w="4840"/>
            <w:vAlign w:val="top"/>
            <w:tcMar>
              <w:top w:w="80" w:type="dxa"/>
              <w:start w:w="120" w:type="dxa"/>
              <w:bottom w:w="80" w:type="dxa"/>
              <w:end w:w="120" w:type="dxa"/>
            </w:tcMar>
          </w:tcPr>
          <w:p>
            <w:pPr>
              <w:spacing w:before="0" w:after="40" w:line="240" w:lineRule="auto"/>
            </w:pPr>
            <w:r>
              <w:rPr>
                <w:rFonts w:ascii="Calibri" w:hAnsi="Calibri"/>
                <w:b w:val="0"/>
                <w:color w:val="1F2328"/>
                <w:sz w:val="17"/>
              </w:rPr>
              <w:t>Single-host compose, no HA/DR/SLO/release system.</w:t>
            </w:r>
          </w:p>
        </w:tc>
      </w:tr>
      <w:tr>
        <w:trPr>
          <w:trHeight w:hRule="atLeast"/>
          <w:cantSplit/>
          <w:cantSplit/>
          <w:cantSplit/>
        </w:trPr>
        <w:tc>
          <w:tcPr>
            <w:tcW w:type="dxa" w:w="3220"/>
            <w:vAlign w:val="top"/>
            <w:tcMar>
              <w:top w:w="80" w:type="dxa"/>
              <w:start w:w="120" w:type="dxa"/>
              <w:bottom w:w="80" w:type="dxa"/>
              <w:end w:w="120" w:type="dxa"/>
            </w:tcMar>
          </w:tcPr>
          <w:p>
            <w:pPr>
              <w:spacing w:before="0" w:after="40" w:line="240" w:lineRule="auto"/>
            </w:pPr>
            <w:r>
              <w:rPr>
                <w:rFonts w:ascii="Calibri" w:hAnsi="Calibri"/>
                <w:b w:val="0"/>
                <w:color w:val="1F2328"/>
                <w:sz w:val="17"/>
              </w:rPr>
              <w:t>Automated verification</w:t>
            </w:r>
          </w:p>
        </w:tc>
        <w:tc>
          <w:tcPr>
            <w:tcW w:type="dxa" w:w="1300"/>
            <w:vAlign w:val="top"/>
            <w:tcMar>
              <w:top w:w="80" w:type="dxa"/>
              <w:start w:w="120" w:type="dxa"/>
              <w:bottom w:w="80" w:type="dxa"/>
              <w:end w:w="120" w:type="dxa"/>
            </w:tcMar>
          </w:tcPr>
          <w:p>
            <w:pPr>
              <w:spacing w:before="0" w:after="40" w:line="240" w:lineRule="auto"/>
            </w:pPr>
            <w:r>
              <w:rPr>
                <w:rFonts w:ascii="Calibri" w:hAnsi="Calibri"/>
                <w:b w:val="0"/>
                <w:color w:val="1F2328"/>
                <w:sz w:val="17"/>
              </w:rPr>
              <w:t>2.5</w:t>
            </w:r>
          </w:p>
        </w:tc>
        <w:tc>
          <w:tcPr>
            <w:tcW w:type="dxa" w:w="4840"/>
            <w:vAlign w:val="top"/>
            <w:tcMar>
              <w:top w:w="80" w:type="dxa"/>
              <w:start w:w="120" w:type="dxa"/>
              <w:bottom w:w="80" w:type="dxa"/>
              <w:end w:w="120" w:type="dxa"/>
            </w:tcMar>
          </w:tcPr>
          <w:p>
            <w:pPr>
              <w:spacing w:before="0" w:after="40" w:line="240" w:lineRule="auto"/>
            </w:pPr>
            <w:r>
              <w:rPr>
                <w:rFonts w:ascii="Calibri" w:hAnsi="Calibri"/>
                <w:b w:val="0"/>
                <w:color w:val="1F2328"/>
                <w:sz w:val="17"/>
              </w:rPr>
              <w:t>Useful tests exist; database and product-level gates are not continuously proven.</w:t>
            </w:r>
          </w:p>
        </w:tc>
      </w:tr>
    </w:tbl>
    <w:p>
      <w:pPr>
        <w:spacing w:after="0"/>
      </w:pPr>
    </w:p>
    <w:p>
      <w:r>
        <w:br w:type="page"/>
      </w:r>
    </w:p>
    <w:p>
      <w:pPr>
        <w:pStyle w:val="Heading1"/>
      </w:pPr>
      <w:r>
        <w:t>4. Findings and Immediate Risks</w:t>
      </w:r>
    </w:p>
    <w:p>
      <w:pPr>
        <w:pStyle w:val="Heading2"/>
      </w:pPr>
      <w:r>
        <w:t>4.1 Critical functional gaps in the existing slice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650"/>
        <w:gridCol w:w="900"/>
        <w:gridCol w:w="2210"/>
        <w:gridCol w:w="5600"/>
      </w:tblGrid>
      <w:tr>
        <w:trPr>
          <w:cantSplit/>
          <w:tblHeader w:val="true"/>
        </w:trPr>
        <w:tc>
          <w:tcPr>
            <w:tcW w:type="dxa" w:w="650"/>
            <w:tcMar>
              <w:top w:w="80" w:type="dxa"/>
              <w:start w:w="120" w:type="dxa"/>
              <w:bottom w:w="80" w:type="dxa"/>
              <w:end w:w="120" w:type="dxa"/>
            </w:tcMar>
            <w:shd w:fill="FCE8E6"/>
            <w:vAlign w:val="center"/>
          </w:tcPr>
          <w:p>
            <w:pPr>
              <w:keepNext/>
              <w:spacing w:after="0"/>
            </w:pPr>
            <w:r>
              <w:rPr>
                <w:rFonts w:ascii="Calibri" w:hAnsi="Calibri"/>
                <w:b/>
                <w:color w:val="0B2545"/>
                <w:sz w:val="15"/>
              </w:rPr>
              <w:t>ID</w:t>
            </w:r>
          </w:p>
        </w:tc>
        <w:tc>
          <w:tcPr>
            <w:tcW w:type="dxa" w:w="900"/>
            <w:tcMar>
              <w:top w:w="80" w:type="dxa"/>
              <w:start w:w="120" w:type="dxa"/>
              <w:bottom w:w="80" w:type="dxa"/>
              <w:end w:w="120" w:type="dxa"/>
            </w:tcMar>
            <w:shd w:fill="FCE8E6"/>
            <w:vAlign w:val="center"/>
          </w:tcPr>
          <w:p>
            <w:pPr>
              <w:keepNext/>
              <w:spacing w:after="0"/>
            </w:pPr>
            <w:r>
              <w:rPr>
                <w:rFonts w:ascii="Calibri" w:hAnsi="Calibri"/>
                <w:b/>
                <w:color w:val="0B2545"/>
                <w:sz w:val="15"/>
              </w:rPr>
              <w:t>Severity</w:t>
            </w:r>
          </w:p>
        </w:tc>
        <w:tc>
          <w:tcPr>
            <w:tcW w:type="dxa" w:w="2210"/>
            <w:tcMar>
              <w:top w:w="80" w:type="dxa"/>
              <w:start w:w="120" w:type="dxa"/>
              <w:bottom w:w="80" w:type="dxa"/>
              <w:end w:w="120" w:type="dxa"/>
            </w:tcMar>
            <w:shd w:fill="FCE8E6"/>
            <w:vAlign w:val="center"/>
          </w:tcPr>
          <w:p>
            <w:pPr>
              <w:keepNext/>
              <w:spacing w:after="0"/>
            </w:pPr>
            <w:r>
              <w:rPr>
                <w:rFonts w:ascii="Calibri" w:hAnsi="Calibri"/>
                <w:b/>
                <w:color w:val="0B2545"/>
                <w:sz w:val="15"/>
              </w:rPr>
              <w:t>Finding</w:t>
            </w:r>
          </w:p>
        </w:tc>
        <w:tc>
          <w:tcPr>
            <w:tcW w:type="dxa" w:w="5600"/>
            <w:tcMar>
              <w:top w:w="80" w:type="dxa"/>
              <w:start w:w="120" w:type="dxa"/>
              <w:bottom w:w="80" w:type="dxa"/>
              <w:end w:w="120" w:type="dxa"/>
            </w:tcMar>
            <w:shd w:fill="FCE8E6"/>
            <w:vAlign w:val="center"/>
          </w:tcPr>
          <w:p>
            <w:pPr>
              <w:keepNext/>
              <w:spacing w:after="0"/>
            </w:pPr>
            <w:r>
              <w:rPr>
                <w:rFonts w:ascii="Calibri" w:hAnsi="Calibri"/>
                <w:b/>
                <w:color w:val="0B2545"/>
                <w:sz w:val="15"/>
              </w:rPr>
              <w:t>Why it matters</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F-01</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Critical</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RO/appointment mismatch</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RO creation verifies appointment existence but not compatible status, tenant-business identity, location, customer, or vehicle alignment; it does not atomically convert the appointment.</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F-02</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Technician attribution</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MPI start can accept another technician user ID. Enforce self-service unless a supervisor acts with an audited override.</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F-03</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Incomplete MPI</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Submission does not enforce template item keys, required photos, completeness, rubric, or duplicate prevention.</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F-04</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No financial close gate</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An RO can close without invoice, tax calculation, payment/reconciliation, or accounting posting.</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F-05</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Portal is not a portal</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Portal-task records exist, but there is no customer authentication, signing, payment, secure artifact access, or completion flow.</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F-06</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Advisor-supplied price blobs</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No typed labor rates, parts markups, discounts, taxes, fees, supplies, split-pay, or rounding policy.</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F-07</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Parts is status-only</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No SKU ledger, bins, availability, reservation, PO, receipt, transfer, core, return, or reconciliation.</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F-08</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Scheduling ignores capacity</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No skills, bays, technicians, shop calendars, promised capacity, or resource reservation.</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F-09</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Medium</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Recommendation metric is inert</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Recommendation outcomes are not advanced or linked to authorized line items.</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F-10</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Medium</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Retention action creates a booking</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A first-service offer directly creates a future scheduled appointment, conflating marketing intent with a confirmed reservation.</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F-11</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Medium</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Lifecycle synchronization gaps</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Cancellation and closure do not fully unwind or reconcile tickets, time, parts, sublet, payment, and downstream states.</w:t>
            </w:r>
          </w:p>
        </w:tc>
      </w:tr>
      <w:tr>
        <w:trPr>
          <w:trHeight w:hRule="atLeast"/>
          <w:cantSplit/>
          <w:cantSplit/>
          <w:cantSplit/>
          <w:cantSplit/>
        </w:trPr>
        <w:tc>
          <w:tcPr>
            <w:tcW w:type="dxa" w:w="650"/>
            <w:vAlign w:val="top"/>
            <w:tcMar>
              <w:top w:w="80" w:type="dxa"/>
              <w:start w:w="120" w:type="dxa"/>
              <w:bottom w:w="80" w:type="dxa"/>
              <w:end w:w="120" w:type="dxa"/>
            </w:tcMar>
          </w:tcPr>
          <w:p>
            <w:pPr>
              <w:spacing w:before="0" w:after="40" w:line="240" w:lineRule="auto"/>
            </w:pPr>
            <w:r>
              <w:rPr>
                <w:rFonts w:ascii="Calibri" w:hAnsi="Calibri"/>
                <w:b w:val="0"/>
                <w:color w:val="1F2328"/>
                <w:sz w:val="15"/>
              </w:rPr>
              <w:t>F-12</w:t>
            </w:r>
          </w:p>
        </w:tc>
        <w:tc>
          <w:tcPr>
            <w:tcW w:type="dxa" w:w="900"/>
            <w:vAlign w:val="top"/>
            <w:tcMar>
              <w:top w:w="80" w:type="dxa"/>
              <w:start w:w="120" w:type="dxa"/>
              <w:bottom w:w="80" w:type="dxa"/>
              <w:end w:w="120" w:type="dxa"/>
            </w:tcMar>
          </w:tcPr>
          <w:p>
            <w:pPr>
              <w:spacing w:before="0" w:after="40" w:line="240" w:lineRule="auto"/>
            </w:pPr>
            <w:r>
              <w:rPr>
                <w:rFonts w:ascii="Calibri" w:hAnsi="Calibri"/>
                <w:b w:val="0"/>
                <w:color w:val="1F2328"/>
                <w:sz w:val="15"/>
              </w:rPr>
              <w:t>Medium</w:t>
            </w:r>
          </w:p>
        </w:tc>
        <w:tc>
          <w:tcPr>
            <w:tcW w:type="dxa" w:w="2210"/>
            <w:vAlign w:val="top"/>
            <w:tcMar>
              <w:top w:w="80" w:type="dxa"/>
              <w:start w:w="120" w:type="dxa"/>
              <w:bottom w:w="80" w:type="dxa"/>
              <w:end w:w="120" w:type="dxa"/>
            </w:tcMar>
          </w:tcPr>
          <w:p>
            <w:pPr>
              <w:spacing w:before="0" w:after="40" w:line="240" w:lineRule="auto"/>
            </w:pPr>
            <w:r>
              <w:rPr>
                <w:rFonts w:ascii="Calibri" w:hAnsi="Calibri"/>
                <w:b w:val="0"/>
                <w:color w:val="1F2328"/>
                <w:sz w:val="15"/>
              </w:rPr>
              <w:t>N+1 aggregate read</w:t>
            </w:r>
          </w:p>
        </w:tc>
        <w:tc>
          <w:tcPr>
            <w:tcW w:type="dxa" w:w="5600"/>
            <w:vAlign w:val="top"/>
            <w:tcMar>
              <w:top w:w="80" w:type="dxa"/>
              <w:start w:w="120" w:type="dxa"/>
              <w:bottom w:w="80" w:type="dxa"/>
              <w:end w:w="120" w:type="dxa"/>
            </w:tcMar>
          </w:tcPr>
          <w:p>
            <w:pPr>
              <w:spacing w:before="0" w:after="40" w:line="240" w:lineRule="auto"/>
            </w:pPr>
            <w:r>
              <w:rPr>
                <w:rFonts w:ascii="Calibri" w:hAnsi="Calibri"/>
                <w:b w:val="0"/>
                <w:color w:val="1F2328"/>
                <w:sz w:val="15"/>
              </w:rPr>
              <w:t>RO detail is assembled with multiple sequential queries and offset pagination; load behavior is unmeasured.</w:t>
            </w:r>
          </w:p>
        </w:tc>
      </w:tr>
    </w:tbl>
    <w:p>
      <w:pPr>
        <w:spacing w:after="0"/>
      </w:pPr>
    </w:p>
    <w:p>
      <w:pPr>
        <w:pStyle w:val="Heading2"/>
      </w:pPr>
      <w:r>
        <w:t>4.2 Platform and security gaps</w:t>
      </w:r>
    </w:p>
    <w:p>
      <w:pPr>
        <w:pStyle w:val="ListBullet"/>
      </w:pPr>
      <w:r>
        <w:t>Tenant isolation is a coding convention. Foreign keys reference global UUIDs without tenant-qualified constraints, and PostgreSQL Row-Level Security is absent.</w:t>
      </w:r>
    </w:p>
    <w:p>
      <w:pPr>
        <w:pStyle w:val="ListBullet"/>
      </w:pPr>
      <w:r>
        <w:t>The HS256 JWT verifier lacks issuer, audience, JWKS/key rotation, federated SSO, MFA assurance, session revocation, SCIM, and production reauthentication. Step-up parsing also accepts extra dot-separated segments and lacks a real issuance journey.</w:t>
      </w:r>
    </w:p>
    <w:p>
      <w:pPr>
        <w:pStyle w:val="ListBullet"/>
      </w:pPr>
      <w:r>
        <w:t>Metrics and health endpoints are unauthenticated in the app; location identifiers appear in metric labels; cross-tenant aggregation depends on assumed global uniqueness.</w:t>
      </w:r>
    </w:p>
    <w:p>
      <w:pPr>
        <w:pStyle w:val="ListBullet"/>
      </w:pPr>
      <w:r>
        <w:t>No rate limiting, WAF contract, CORS policy, standard security headers, request correlation, distributed tracing, secrets manager, key management, or support-access controls are defined.</w:t>
      </w:r>
    </w:p>
    <w:p>
      <w:pPr>
        <w:pStyle w:val="ListBullet"/>
      </w:pPr>
      <w:r>
        <w:t>Audit emission after commit is best-effort and lossy. There is no durable transactional outbox, tamper-evident audit chain, or artifact lineage.</w:t>
      </w:r>
    </w:p>
    <w:p>
      <w:pPr>
        <w:pStyle w:val="ListBullet"/>
      </w:pPr>
      <w:r>
        <w:t>Migrations are tracked by mutable filenames only—without checksums, a dirty state, advisory locking, compatibility policy, or expand/contract discipline. IF NOT EXISTS can conceal drift.</w:t>
      </w:r>
    </w:p>
    <w:p>
      <w:pPr>
        <w:pStyle w:val="ListBullet"/>
      </w:pPr>
      <w:r>
        <w:t>Most input validation is handwritten; no OpenAPI contract, generated SDK, API versioning, Problem Details, webhook policy, or uniform idempotency protocol exists.</w:t>
      </w:r>
    </w:p>
    <w:p>
      <w:pPr>
        <w:pStyle w:val="Heading2"/>
      </w:pPr>
      <w:r>
        <w:t>4.3 Stop-the-line conditions before a pilot</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360"/>
        <w:gridCol w:w="7000"/>
      </w:tblGrid>
      <w:tr>
        <w:trPr>
          <w:cantSplit/>
          <w:tblHeader w:val="true"/>
        </w:trPr>
        <w:tc>
          <w:tcPr>
            <w:tcW w:type="dxa" w:w="2360"/>
            <w:tcMar>
              <w:top w:w="80" w:type="dxa"/>
              <w:start w:w="120" w:type="dxa"/>
              <w:bottom w:w="80" w:type="dxa"/>
              <w:end w:w="120" w:type="dxa"/>
            </w:tcMar>
            <w:shd w:fill="FFF4CE"/>
            <w:vAlign w:val="center"/>
          </w:tcPr>
          <w:p>
            <w:pPr>
              <w:keepNext/>
              <w:spacing w:after="0"/>
            </w:pPr>
            <w:r>
              <w:rPr>
                <w:rFonts w:ascii="Calibri" w:hAnsi="Calibri"/>
                <w:b/>
                <w:color w:val="0B2545"/>
                <w:sz w:val="17"/>
              </w:rPr>
              <w:t>Condition</w:t>
            </w:r>
          </w:p>
        </w:tc>
        <w:tc>
          <w:tcPr>
            <w:tcW w:type="dxa" w:w="7000"/>
            <w:tcMar>
              <w:top w:w="80" w:type="dxa"/>
              <w:start w:w="120" w:type="dxa"/>
              <w:bottom w:w="80" w:type="dxa"/>
              <w:end w:w="120" w:type="dxa"/>
            </w:tcMar>
            <w:shd w:fill="FFF4CE"/>
            <w:vAlign w:val="center"/>
          </w:tcPr>
          <w:p>
            <w:pPr>
              <w:keepNext/>
              <w:spacing w:after="0"/>
            </w:pPr>
            <w:r>
              <w:rPr>
                <w:rFonts w:ascii="Calibri" w:hAnsi="Calibri"/>
                <w:b/>
                <w:color w:val="0B2545"/>
                <w:sz w:val="17"/>
              </w:rPr>
              <w:t>Pilot gate</w:t>
            </w:r>
          </w:p>
        </w:tc>
      </w:tr>
      <w:tr>
        <w:trPr>
          <w:trHeight w:hRule="atLeas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Tenant escape</w:t>
            </w:r>
          </w:p>
        </w:tc>
        <w:tc>
          <w:tcPr>
            <w:tcW w:type="dxa" w:w="7000"/>
            <w:vAlign w:val="top"/>
            <w:tcMar>
              <w:top w:w="80" w:type="dxa"/>
              <w:start w:w="120" w:type="dxa"/>
              <w:bottom w:w="80" w:type="dxa"/>
              <w:end w:w="120" w:type="dxa"/>
            </w:tcMar>
          </w:tcPr>
          <w:p>
            <w:pPr>
              <w:spacing w:before="0" w:after="40" w:line="240" w:lineRule="auto"/>
            </w:pPr>
            <w:r>
              <w:rPr>
                <w:rFonts w:ascii="Calibri" w:hAnsi="Calibri"/>
                <w:b w:val="0"/>
                <w:color w:val="1F2328"/>
                <w:sz w:val="17"/>
              </w:rPr>
              <w:t>Prove RLS, tenant-qualified FKs, negative tests, and support access audit.</w:t>
            </w:r>
          </w:p>
        </w:tc>
      </w:tr>
      <w:tr>
        <w:trPr>
          <w:trHeight w:hRule="atLeas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Customer authorization</w:t>
            </w:r>
          </w:p>
        </w:tc>
        <w:tc>
          <w:tcPr>
            <w:tcW w:type="dxa" w:w="7000"/>
            <w:vAlign w:val="top"/>
            <w:tcMar>
              <w:top w:w="80" w:type="dxa"/>
              <w:start w:w="120" w:type="dxa"/>
              <w:bottom w:w="80" w:type="dxa"/>
              <w:end w:w="120" w:type="dxa"/>
            </w:tcMar>
          </w:tcPr>
          <w:p>
            <w:pPr>
              <w:spacing w:before="0" w:after="40" w:line="240" w:lineRule="auto"/>
            </w:pPr>
            <w:r>
              <w:rPr>
                <w:rFonts w:ascii="Calibri" w:hAnsi="Calibri"/>
                <w:b w:val="0"/>
                <w:color w:val="1F2328"/>
                <w:sz w:val="17"/>
              </w:rPr>
              <w:t>Bind identity assurance, exact estimate version, signature/evidence artifact, timestamp, and revocation semantics.</w:t>
            </w:r>
          </w:p>
        </w:tc>
      </w:tr>
      <w:tr>
        <w:trPr>
          <w:trHeight w:hRule="atLeas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Money</w:t>
            </w:r>
          </w:p>
        </w:tc>
        <w:tc>
          <w:tcPr>
            <w:tcW w:type="dxa" w:w="7000"/>
            <w:vAlign w:val="top"/>
            <w:tcMar>
              <w:top w:w="80" w:type="dxa"/>
              <w:start w:w="120" w:type="dxa"/>
              <w:bottom w:w="80" w:type="dxa"/>
              <w:end w:w="120" w:type="dxa"/>
            </w:tcMar>
          </w:tcPr>
          <w:p>
            <w:pPr>
              <w:spacing w:before="0" w:after="40" w:line="240" w:lineRule="auto"/>
            </w:pPr>
            <w:r>
              <w:rPr>
                <w:rFonts w:ascii="Calibri" w:hAnsi="Calibri"/>
                <w:b w:val="0"/>
                <w:color w:val="1F2328"/>
                <w:sz w:val="17"/>
              </w:rPr>
              <w:t>Replace JSON price references with deterministic quote/invoice lines, tax/fee policy, currency, rounding, and immutable versions.</w:t>
            </w:r>
          </w:p>
        </w:tc>
      </w:tr>
      <w:tr>
        <w:trPr>
          <w:trHeight w:hRule="atLeas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Financial close</w:t>
            </w:r>
          </w:p>
        </w:tc>
        <w:tc>
          <w:tcPr>
            <w:tcW w:type="dxa" w:w="7000"/>
            <w:vAlign w:val="top"/>
            <w:tcMar>
              <w:top w:w="80" w:type="dxa"/>
              <w:start w:w="120" w:type="dxa"/>
              <w:bottom w:w="80" w:type="dxa"/>
              <w:end w:w="120" w:type="dxa"/>
            </w:tcMar>
          </w:tcPr>
          <w:p>
            <w:pPr>
              <w:spacing w:before="0" w:after="40" w:line="240" w:lineRule="auto"/>
            </w:pPr>
            <w:r>
              <w:rPr>
                <w:rFonts w:ascii="Calibri" w:hAnsi="Calibri"/>
                <w:b w:val="0"/>
                <w:color w:val="1F2328"/>
                <w:sz w:val="17"/>
              </w:rPr>
              <w:t>Require invoice finalization, payment state or approved receivable, and balanced accounting event.</w:t>
            </w:r>
          </w:p>
        </w:tc>
      </w:tr>
      <w:tr>
        <w:trPr>
          <w:trHeight w:hRule="atLeas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Production identity</w:t>
            </w:r>
          </w:p>
        </w:tc>
        <w:tc>
          <w:tcPr>
            <w:tcW w:type="dxa" w:w="7000"/>
            <w:vAlign w:val="top"/>
            <w:tcMar>
              <w:top w:w="80" w:type="dxa"/>
              <w:start w:w="120" w:type="dxa"/>
              <w:bottom w:w="80" w:type="dxa"/>
              <w:end w:w="120" w:type="dxa"/>
            </w:tcMar>
          </w:tcPr>
          <w:p>
            <w:pPr>
              <w:spacing w:before="0" w:after="40" w:line="240" w:lineRule="auto"/>
            </w:pPr>
            <w:r>
              <w:rPr>
                <w:rFonts w:ascii="Calibri" w:hAnsi="Calibri"/>
                <w:b w:val="0"/>
                <w:color w:val="1F2328"/>
                <w:sz w:val="17"/>
              </w:rPr>
              <w:t>Use OIDC/SAML and MFA; remove locally trusted enterprise JWT assumptions.</w:t>
            </w:r>
          </w:p>
        </w:tc>
      </w:tr>
      <w:tr>
        <w:trPr>
          <w:trHeight w:hRule="atLeas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Migrations</w:t>
            </w:r>
          </w:p>
        </w:tc>
        <w:tc>
          <w:tcPr>
            <w:tcW w:type="dxa" w:w="7000"/>
            <w:vAlign w:val="top"/>
            <w:tcMar>
              <w:top w:w="80" w:type="dxa"/>
              <w:start w:w="120" w:type="dxa"/>
              <w:bottom w:w="80" w:type="dxa"/>
              <w:end w:w="120" w:type="dxa"/>
            </w:tcMar>
          </w:tcPr>
          <w:p>
            <w:pPr>
              <w:spacing w:before="0" w:after="40" w:line="240" w:lineRule="auto"/>
            </w:pPr>
            <w:r>
              <w:rPr>
                <w:rFonts w:ascii="Calibri" w:hAnsi="Calibri"/>
                <w:b w:val="0"/>
                <w:color w:val="1F2328"/>
                <w:sz w:val="17"/>
              </w:rPr>
              <w:t>Run every migration and rollback/forward recovery path in ephemeral and restored production-like databases.</w:t>
            </w:r>
          </w:p>
        </w:tc>
      </w:tr>
      <w:tr>
        <w:trPr>
          <w:trHeight w:hRule="atLeas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Data recovery</w:t>
            </w:r>
          </w:p>
        </w:tc>
        <w:tc>
          <w:tcPr>
            <w:tcW w:type="dxa" w:w="7000"/>
            <w:vAlign w:val="top"/>
            <w:tcMar>
              <w:top w:w="80" w:type="dxa"/>
              <w:start w:w="120" w:type="dxa"/>
              <w:bottom w:w="80" w:type="dxa"/>
              <w:end w:w="120" w:type="dxa"/>
            </w:tcMar>
          </w:tcPr>
          <w:p>
            <w:pPr>
              <w:spacing w:before="0" w:after="40" w:line="240" w:lineRule="auto"/>
            </w:pPr>
            <w:r>
              <w:rPr>
                <w:rFonts w:ascii="Calibri" w:hAnsi="Calibri"/>
                <w:b w:val="0"/>
                <w:color w:val="1F2328"/>
                <w:sz w:val="17"/>
              </w:rPr>
              <w:t>Demonstrate point-in-time restore and tenant export before handling live dealer data.</w:t>
            </w:r>
          </w:p>
        </w:tc>
      </w:tr>
      <w:tr>
        <w:trPr>
          <w:trHeight w:hRule="atLeast"/>
          <w:cantSplit/>
          <w:cantSplit/>
        </w:trPr>
        <w:tc>
          <w:tcPr>
            <w:tcW w:type="dxa" w:w="2360"/>
            <w:vAlign w:val="top"/>
            <w:tcMar>
              <w:top w:w="80" w:type="dxa"/>
              <w:start w:w="120" w:type="dxa"/>
              <w:bottom w:w="80" w:type="dxa"/>
              <w:end w:w="120" w:type="dxa"/>
            </w:tcMar>
          </w:tcPr>
          <w:p>
            <w:pPr>
              <w:spacing w:before="0" w:after="40" w:line="240" w:lineRule="auto"/>
            </w:pPr>
            <w:r>
              <w:rPr>
                <w:rFonts w:ascii="Calibri" w:hAnsi="Calibri"/>
                <w:b w:val="0"/>
                <w:color w:val="1F2328"/>
                <w:sz w:val="17"/>
              </w:rPr>
              <w:t>Customer communications</w:t>
            </w:r>
          </w:p>
        </w:tc>
        <w:tc>
          <w:tcPr>
            <w:tcW w:type="dxa" w:w="7000"/>
            <w:vAlign w:val="top"/>
            <w:tcMar>
              <w:top w:w="80" w:type="dxa"/>
              <w:start w:w="120" w:type="dxa"/>
              <w:bottom w:w="80" w:type="dxa"/>
              <w:end w:w="120" w:type="dxa"/>
            </w:tcMar>
          </w:tcPr>
          <w:p>
            <w:pPr>
              <w:spacing w:before="0" w:after="40" w:line="240" w:lineRule="auto"/>
            </w:pPr>
            <w:r>
              <w:rPr>
                <w:rFonts w:ascii="Calibri" w:hAnsi="Calibri"/>
                <w:b w:val="0"/>
                <w:color w:val="1F2328"/>
                <w:sz w:val="17"/>
              </w:rPr>
              <w:t>Implement consent, templates, delivery receipts, suppression, retries, and audit evidence.</w:t>
            </w:r>
          </w:p>
        </w:tc>
      </w:tr>
    </w:tbl>
    <w:p>
      <w:pPr>
        <w:spacing w:after="0"/>
      </w:pPr>
    </w:p>
    <w:p>
      <w:r>
        <w:br w:type="page"/>
      </w:r>
    </w:p>
    <w:p>
      <w:pPr>
        <w:pStyle w:val="Heading1"/>
      </w:pPr>
      <w:r>
        <w:t>5. Product Strategy and Market Bar</w:t>
      </w:r>
    </w:p>
    <w:p>
      <w:pPr>
        <w:pStyle w:val="Heading2"/>
      </w:pPr>
      <w:r>
        <w:t>5.1 Competitive baseline</w:t>
      </w:r>
    </w:p>
    <w:p>
      <w:pPr>
        <w:spacing w:before="0" w:after="120" w:line="264" w:lineRule="auto"/>
      </w:pPr>
      <w:r>
        <w:rPr>
          <w:rFonts w:ascii="Calibri" w:hAnsi="Calibri"/>
          <w:b w:val="0"/>
          <w:i w:val="0"/>
          <w:color w:val="1F2328"/>
        </w:rPr>
        <w:t>Current market leaders frame the dealership platform as an integrated operating system rather than a service scheduler. Tekion markets unified DMS, CRM, digital retail, service, payments, payroll, and AI; CDK spans digital retail, CRM, F&amp;I, DMS, fixed ops, and intelligence; Dealertrack connects DMS, F&amp;I, lenders, eContracting, and title/registration; Reynolds and Auto/Mate emphasize a single connected customer/vehicle/transaction record; Fortellis demonstrates that an API ecosystem is itself a strategic capability. [M1–M9]</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310"/>
        <w:gridCol w:w="3520"/>
        <w:gridCol w:w="3530"/>
      </w:tblGrid>
      <w:tr>
        <w:trPr>
          <w:cantSplit/>
          <w:tblHeader w:val="true"/>
        </w:trPr>
        <w:tc>
          <w:tcPr>
            <w:tcW w:type="dxa" w:w="2310"/>
            <w:tcMar>
              <w:top w:w="80" w:type="dxa"/>
              <w:start w:w="120" w:type="dxa"/>
              <w:bottom w:w="80" w:type="dxa"/>
              <w:end w:w="120" w:type="dxa"/>
            </w:tcMar>
            <w:shd w:fill="F2F4F7"/>
            <w:vAlign w:val="center"/>
          </w:tcPr>
          <w:p>
            <w:pPr>
              <w:keepNext/>
              <w:spacing w:after="0"/>
            </w:pPr>
            <w:r>
              <w:rPr>
                <w:rFonts w:ascii="Calibri" w:hAnsi="Calibri"/>
                <w:b/>
                <w:color w:val="0B2545"/>
                <w:sz w:val="16"/>
              </w:rPr>
              <w:t>Market expectation</w:t>
            </w:r>
          </w:p>
        </w:tc>
        <w:tc>
          <w:tcPr>
            <w:tcW w:type="dxa" w:w="3520"/>
            <w:tcMar>
              <w:top w:w="80" w:type="dxa"/>
              <w:start w:w="120" w:type="dxa"/>
              <w:bottom w:w="80" w:type="dxa"/>
              <w:end w:w="120" w:type="dxa"/>
            </w:tcMar>
            <w:shd w:fill="F2F4F7"/>
            <w:vAlign w:val="center"/>
          </w:tcPr>
          <w:p>
            <w:pPr>
              <w:keepNext/>
              <w:spacing w:after="0"/>
            </w:pPr>
            <w:r>
              <w:rPr>
                <w:rFonts w:ascii="Calibri" w:hAnsi="Calibri"/>
                <w:b/>
                <w:color w:val="0B2545"/>
                <w:sz w:val="16"/>
              </w:rPr>
              <w:t>Minimum credible capability</w:t>
            </w:r>
          </w:p>
        </w:tc>
        <w:tc>
          <w:tcPr>
            <w:tcW w:type="dxa" w:w="3530"/>
            <w:tcMar>
              <w:top w:w="80" w:type="dxa"/>
              <w:start w:w="120" w:type="dxa"/>
              <w:bottom w:w="80" w:type="dxa"/>
              <w:end w:w="120" w:type="dxa"/>
            </w:tcMar>
            <w:shd w:fill="F2F4F7"/>
            <w:vAlign w:val="center"/>
          </w:tcPr>
          <w:p>
            <w:pPr>
              <w:keepNext/>
              <w:spacing w:after="0"/>
            </w:pPr>
            <w:r>
              <w:rPr>
                <w:rFonts w:ascii="Calibri" w:hAnsi="Calibri"/>
                <w:b/>
                <w:color w:val="0B2545"/>
                <w:sz w:val="16"/>
              </w:rPr>
              <w:t>Opportunity to exceed</w:t>
            </w:r>
          </w:p>
        </w:tc>
      </w:tr>
      <w:tr>
        <w:trPr>
          <w:trHeight w:hRule="atLeast"/>
          <w:cantSplit/>
          <w:cantSplit/>
          <w:cantSplit/>
        </w:trPr>
        <w:tc>
          <w:tcPr>
            <w:tcW w:type="dxa" w:w="2310"/>
            <w:vAlign w:val="top"/>
            <w:tcMar>
              <w:top w:w="80" w:type="dxa"/>
              <w:start w:w="120" w:type="dxa"/>
              <w:bottom w:w="80" w:type="dxa"/>
              <w:end w:w="120" w:type="dxa"/>
            </w:tcMar>
          </w:tcPr>
          <w:p>
            <w:pPr>
              <w:spacing w:before="0" w:after="40" w:line="240" w:lineRule="auto"/>
            </w:pPr>
            <w:r>
              <w:rPr>
                <w:rFonts w:ascii="Calibri" w:hAnsi="Calibri"/>
                <w:b w:val="0"/>
                <w:color w:val="1F2328"/>
                <w:sz w:val="16"/>
              </w:rPr>
              <w:t>Unified dealership truth</w:t>
            </w:r>
          </w:p>
        </w:tc>
        <w:tc>
          <w:tcPr>
            <w:tcW w:type="dxa" w:w="3520"/>
            <w:vAlign w:val="top"/>
            <w:tcMar>
              <w:top w:w="80" w:type="dxa"/>
              <w:start w:w="120" w:type="dxa"/>
              <w:bottom w:w="80" w:type="dxa"/>
              <w:end w:w="120" w:type="dxa"/>
            </w:tcMar>
          </w:tcPr>
          <w:p>
            <w:pPr>
              <w:spacing w:before="0" w:after="40" w:line="240" w:lineRule="auto"/>
            </w:pPr>
            <w:r>
              <w:rPr>
                <w:rFonts w:ascii="Calibri" w:hAnsi="Calibri"/>
                <w:b w:val="0"/>
                <w:color w:val="1F2328"/>
                <w:sz w:val="16"/>
              </w:rPr>
              <w:t>Customer, vehicle, inventory, lead, deal, RO, document, and financial identities</w:t>
            </w:r>
          </w:p>
        </w:tc>
        <w:tc>
          <w:tcPr>
            <w:tcW w:type="dxa" w:w="3530"/>
            <w:vAlign w:val="top"/>
            <w:tcMar>
              <w:top w:w="80" w:type="dxa"/>
              <w:start w:w="120" w:type="dxa"/>
              <w:bottom w:w="80" w:type="dxa"/>
              <w:end w:w="120" w:type="dxa"/>
            </w:tcMar>
          </w:tcPr>
          <w:p>
            <w:pPr>
              <w:spacing w:before="0" w:after="40" w:line="240" w:lineRule="auto"/>
            </w:pPr>
            <w:r>
              <w:rPr>
                <w:rFonts w:ascii="Calibri" w:hAnsi="Calibri"/>
                <w:b w:val="0"/>
                <w:color w:val="1F2328"/>
                <w:sz w:val="16"/>
              </w:rPr>
              <w:t>Temporal graph with explainable merges and cross-rooftop permissions</w:t>
            </w:r>
          </w:p>
        </w:tc>
      </w:tr>
      <w:tr>
        <w:trPr>
          <w:trHeight w:hRule="atLeast"/>
          <w:cantSplit/>
          <w:cantSplit/>
          <w:cantSplit/>
        </w:trPr>
        <w:tc>
          <w:tcPr>
            <w:tcW w:type="dxa" w:w="2310"/>
            <w:vAlign w:val="top"/>
            <w:tcMar>
              <w:top w:w="80" w:type="dxa"/>
              <w:start w:w="120" w:type="dxa"/>
              <w:bottom w:w="80" w:type="dxa"/>
              <w:end w:w="120" w:type="dxa"/>
            </w:tcMar>
          </w:tcPr>
          <w:p>
            <w:pPr>
              <w:spacing w:before="0" w:after="40" w:line="240" w:lineRule="auto"/>
            </w:pPr>
            <w:r>
              <w:rPr>
                <w:rFonts w:ascii="Calibri" w:hAnsi="Calibri"/>
                <w:b w:val="0"/>
                <w:color w:val="1F2328"/>
                <w:sz w:val="16"/>
              </w:rPr>
              <w:t>End-to-end journeys</w:t>
            </w:r>
          </w:p>
        </w:tc>
        <w:tc>
          <w:tcPr>
            <w:tcW w:type="dxa" w:w="3520"/>
            <w:vAlign w:val="top"/>
            <w:tcMar>
              <w:top w:w="80" w:type="dxa"/>
              <w:start w:w="120" w:type="dxa"/>
              <w:bottom w:w="80" w:type="dxa"/>
              <w:end w:w="120" w:type="dxa"/>
            </w:tcMar>
          </w:tcPr>
          <w:p>
            <w:pPr>
              <w:spacing w:before="0" w:after="40" w:line="240" w:lineRule="auto"/>
            </w:pPr>
            <w:r>
              <w:rPr>
                <w:rFonts w:ascii="Calibri" w:hAnsi="Calibri"/>
                <w:b w:val="0"/>
                <w:color w:val="1F2328"/>
                <w:sz w:val="16"/>
              </w:rPr>
              <w:t>Lead-to-sale and appointment-to-payment without rekeying</w:t>
            </w:r>
          </w:p>
        </w:tc>
        <w:tc>
          <w:tcPr>
            <w:tcW w:type="dxa" w:w="3530"/>
            <w:vAlign w:val="top"/>
            <w:tcMar>
              <w:top w:w="80" w:type="dxa"/>
              <w:start w:w="120" w:type="dxa"/>
              <w:bottom w:w="80" w:type="dxa"/>
              <w:end w:w="120" w:type="dxa"/>
            </w:tcMar>
          </w:tcPr>
          <w:p>
            <w:pPr>
              <w:spacing w:before="0" w:after="40" w:line="240" w:lineRule="auto"/>
            </w:pPr>
            <w:r>
              <w:rPr>
                <w:rFonts w:ascii="Calibri" w:hAnsi="Calibri"/>
                <w:b w:val="0"/>
                <w:color w:val="1F2328"/>
                <w:sz w:val="16"/>
              </w:rPr>
              <w:t>Workflow orchestration, proactive exception handling, and collaborative customer journeys</w:t>
            </w:r>
          </w:p>
        </w:tc>
      </w:tr>
      <w:tr>
        <w:trPr>
          <w:trHeight w:hRule="atLeast"/>
          <w:cantSplit/>
          <w:cantSplit/>
          <w:cantSplit/>
        </w:trPr>
        <w:tc>
          <w:tcPr>
            <w:tcW w:type="dxa" w:w="2310"/>
            <w:vAlign w:val="top"/>
            <w:tcMar>
              <w:top w:w="80" w:type="dxa"/>
              <w:start w:w="120" w:type="dxa"/>
              <w:bottom w:w="80" w:type="dxa"/>
              <w:end w:w="120" w:type="dxa"/>
            </w:tcMar>
          </w:tcPr>
          <w:p>
            <w:pPr>
              <w:spacing w:before="0" w:after="40" w:line="240" w:lineRule="auto"/>
            </w:pPr>
            <w:r>
              <w:rPr>
                <w:rFonts w:ascii="Calibri" w:hAnsi="Calibri"/>
                <w:b w:val="0"/>
                <w:color w:val="1F2328"/>
                <w:sz w:val="16"/>
              </w:rPr>
              <w:t>Multi-rooftop operation</w:t>
            </w:r>
          </w:p>
        </w:tc>
        <w:tc>
          <w:tcPr>
            <w:tcW w:type="dxa" w:w="3520"/>
            <w:vAlign w:val="top"/>
            <w:tcMar>
              <w:top w:w="80" w:type="dxa"/>
              <w:start w:w="120" w:type="dxa"/>
              <w:bottom w:w="80" w:type="dxa"/>
              <w:end w:w="120" w:type="dxa"/>
            </w:tcMar>
          </w:tcPr>
          <w:p>
            <w:pPr>
              <w:spacing w:before="0" w:after="40" w:line="240" w:lineRule="auto"/>
            </w:pPr>
            <w:r>
              <w:rPr>
                <w:rFonts w:ascii="Calibri" w:hAnsi="Calibri"/>
                <w:b w:val="0"/>
                <w:color w:val="1F2328"/>
                <w:sz w:val="16"/>
              </w:rPr>
              <w:t>Shared services, role scopes, rollups, location-local rules</w:t>
            </w:r>
          </w:p>
        </w:tc>
        <w:tc>
          <w:tcPr>
            <w:tcW w:type="dxa" w:w="3530"/>
            <w:vAlign w:val="top"/>
            <w:tcMar>
              <w:top w:w="80" w:type="dxa"/>
              <w:start w:w="120" w:type="dxa"/>
              <w:bottom w:w="80" w:type="dxa"/>
              <w:end w:w="120" w:type="dxa"/>
            </w:tcMar>
          </w:tcPr>
          <w:p>
            <w:pPr>
              <w:spacing w:before="0" w:after="40" w:line="240" w:lineRule="auto"/>
            </w:pPr>
            <w:r>
              <w:rPr>
                <w:rFonts w:ascii="Calibri" w:hAnsi="Calibri"/>
                <w:b w:val="0"/>
                <w:color w:val="1F2328"/>
                <w:sz w:val="16"/>
              </w:rPr>
              <w:t>Group optimization and benchmark recommendations with strict privacy</w:t>
            </w:r>
          </w:p>
        </w:tc>
      </w:tr>
      <w:tr>
        <w:trPr>
          <w:trHeight w:hRule="atLeast"/>
          <w:cantSplit/>
          <w:cantSplit/>
          <w:cantSplit/>
        </w:trPr>
        <w:tc>
          <w:tcPr>
            <w:tcW w:type="dxa" w:w="2310"/>
            <w:vAlign w:val="top"/>
            <w:tcMar>
              <w:top w:w="80" w:type="dxa"/>
              <w:start w:w="120" w:type="dxa"/>
              <w:bottom w:w="80" w:type="dxa"/>
              <w:end w:w="120" w:type="dxa"/>
            </w:tcMar>
          </w:tcPr>
          <w:p>
            <w:pPr>
              <w:spacing w:before="0" w:after="40" w:line="240" w:lineRule="auto"/>
            </w:pPr>
            <w:r>
              <w:rPr>
                <w:rFonts w:ascii="Calibri" w:hAnsi="Calibri"/>
                <w:b w:val="0"/>
                <w:color w:val="1F2328"/>
                <w:sz w:val="16"/>
              </w:rPr>
              <w:t>Open ecosystem</w:t>
            </w:r>
          </w:p>
        </w:tc>
        <w:tc>
          <w:tcPr>
            <w:tcW w:type="dxa" w:w="3520"/>
            <w:vAlign w:val="top"/>
            <w:tcMar>
              <w:top w:w="80" w:type="dxa"/>
              <w:start w:w="120" w:type="dxa"/>
              <w:bottom w:w="80" w:type="dxa"/>
              <w:end w:w="120" w:type="dxa"/>
            </w:tcMar>
          </w:tcPr>
          <w:p>
            <w:pPr>
              <w:spacing w:before="0" w:after="40" w:line="240" w:lineRule="auto"/>
            </w:pPr>
            <w:r>
              <w:rPr>
                <w:rFonts w:ascii="Calibri" w:hAnsi="Calibri"/>
                <w:b w:val="0"/>
                <w:color w:val="1F2328"/>
                <w:sz w:val="16"/>
              </w:rPr>
              <w:t>Documented APIs, webhooks, certified integrations</w:t>
            </w:r>
          </w:p>
        </w:tc>
        <w:tc>
          <w:tcPr>
            <w:tcW w:type="dxa" w:w="3530"/>
            <w:vAlign w:val="top"/>
            <w:tcMar>
              <w:top w:w="80" w:type="dxa"/>
              <w:start w:w="120" w:type="dxa"/>
              <w:bottom w:w="80" w:type="dxa"/>
              <w:end w:w="120" w:type="dxa"/>
            </w:tcMar>
          </w:tcPr>
          <w:p>
            <w:pPr>
              <w:spacing w:before="0" w:after="40" w:line="240" w:lineRule="auto"/>
            </w:pPr>
            <w:r>
              <w:rPr>
                <w:rFonts w:ascii="Calibri" w:hAnsi="Calibri"/>
                <w:b w:val="0"/>
                <w:color w:val="1F2328"/>
                <w:sz w:val="16"/>
              </w:rPr>
              <w:t>Self-service developer portal, sandbox, observability, revenue share, and data contracts</w:t>
            </w:r>
          </w:p>
        </w:tc>
      </w:tr>
      <w:tr>
        <w:trPr>
          <w:trHeight w:hRule="atLeast"/>
          <w:cantSplit/>
          <w:cantSplit/>
          <w:cantSplit/>
        </w:trPr>
        <w:tc>
          <w:tcPr>
            <w:tcW w:type="dxa" w:w="2310"/>
            <w:vAlign w:val="top"/>
            <w:tcMar>
              <w:top w:w="80" w:type="dxa"/>
              <w:start w:w="120" w:type="dxa"/>
              <w:bottom w:w="80" w:type="dxa"/>
              <w:end w:w="120" w:type="dxa"/>
            </w:tcMar>
          </w:tcPr>
          <w:p>
            <w:pPr>
              <w:spacing w:before="0" w:after="40" w:line="240" w:lineRule="auto"/>
            </w:pPr>
            <w:r>
              <w:rPr>
                <w:rFonts w:ascii="Calibri" w:hAnsi="Calibri"/>
                <w:b w:val="0"/>
                <w:color w:val="1F2328"/>
                <w:sz w:val="16"/>
              </w:rPr>
              <w:t>Financial trust</w:t>
            </w:r>
          </w:p>
        </w:tc>
        <w:tc>
          <w:tcPr>
            <w:tcW w:type="dxa" w:w="3520"/>
            <w:vAlign w:val="top"/>
            <w:tcMar>
              <w:top w:w="80" w:type="dxa"/>
              <w:start w:w="120" w:type="dxa"/>
              <w:bottom w:w="80" w:type="dxa"/>
              <w:end w:w="120" w:type="dxa"/>
            </w:tcMar>
          </w:tcPr>
          <w:p>
            <w:pPr>
              <w:spacing w:before="0" w:after="40" w:line="240" w:lineRule="auto"/>
            </w:pPr>
            <w:r>
              <w:rPr>
                <w:rFonts w:ascii="Calibri" w:hAnsi="Calibri"/>
                <w:b w:val="0"/>
                <w:color w:val="1F2328"/>
                <w:sz w:val="16"/>
              </w:rPr>
              <w:t>Cashiering, subledgers, GL, controls, reconciliation</w:t>
            </w:r>
          </w:p>
        </w:tc>
        <w:tc>
          <w:tcPr>
            <w:tcW w:type="dxa" w:w="3530"/>
            <w:vAlign w:val="top"/>
            <w:tcMar>
              <w:top w:w="80" w:type="dxa"/>
              <w:start w:w="120" w:type="dxa"/>
              <w:bottom w:w="80" w:type="dxa"/>
              <w:end w:w="120" w:type="dxa"/>
            </w:tcMar>
          </w:tcPr>
          <w:p>
            <w:pPr>
              <w:spacing w:before="0" w:after="40" w:line="240" w:lineRule="auto"/>
            </w:pPr>
            <w:r>
              <w:rPr>
                <w:rFonts w:ascii="Calibri" w:hAnsi="Calibri"/>
                <w:b w:val="0"/>
                <w:color w:val="1F2328"/>
                <w:sz w:val="16"/>
              </w:rPr>
              <w:t>Real-time operational-to-financial traceability and continuous close</w:t>
            </w:r>
          </w:p>
        </w:tc>
      </w:tr>
      <w:tr>
        <w:trPr>
          <w:trHeight w:hRule="atLeast"/>
          <w:cantSplit/>
          <w:cantSplit/>
          <w:cantSplit/>
        </w:trPr>
        <w:tc>
          <w:tcPr>
            <w:tcW w:type="dxa" w:w="2310"/>
            <w:vAlign w:val="top"/>
            <w:tcMar>
              <w:top w:w="80" w:type="dxa"/>
              <w:start w:w="120" w:type="dxa"/>
              <w:bottom w:w="80" w:type="dxa"/>
              <w:end w:w="120" w:type="dxa"/>
            </w:tcMar>
          </w:tcPr>
          <w:p>
            <w:pPr>
              <w:spacing w:before="0" w:after="40" w:line="240" w:lineRule="auto"/>
            </w:pPr>
            <w:r>
              <w:rPr>
                <w:rFonts w:ascii="Calibri" w:hAnsi="Calibri"/>
                <w:b w:val="0"/>
                <w:color w:val="1F2328"/>
                <w:sz w:val="16"/>
              </w:rPr>
              <w:t>Security/compliance</w:t>
            </w:r>
          </w:p>
        </w:tc>
        <w:tc>
          <w:tcPr>
            <w:tcW w:type="dxa" w:w="3520"/>
            <w:vAlign w:val="top"/>
            <w:tcMar>
              <w:top w:w="80" w:type="dxa"/>
              <w:start w:w="120" w:type="dxa"/>
              <w:bottom w:w="80" w:type="dxa"/>
              <w:end w:w="120" w:type="dxa"/>
            </w:tcMar>
          </w:tcPr>
          <w:p>
            <w:pPr>
              <w:spacing w:before="0" w:after="40" w:line="240" w:lineRule="auto"/>
            </w:pPr>
            <w:r>
              <w:rPr>
                <w:rFonts w:ascii="Calibri" w:hAnsi="Calibri"/>
                <w:b w:val="0"/>
                <w:color w:val="1F2328"/>
                <w:sz w:val="16"/>
              </w:rPr>
              <w:t>MFA, audit, retention, privacy, payment/credit controls</w:t>
            </w:r>
          </w:p>
        </w:tc>
        <w:tc>
          <w:tcPr>
            <w:tcW w:type="dxa" w:w="3530"/>
            <w:vAlign w:val="top"/>
            <w:tcMar>
              <w:top w:w="80" w:type="dxa"/>
              <w:start w:w="120" w:type="dxa"/>
              <w:bottom w:w="80" w:type="dxa"/>
              <w:end w:w="120" w:type="dxa"/>
            </w:tcMar>
          </w:tcPr>
          <w:p>
            <w:pPr>
              <w:spacing w:before="0" w:after="40" w:line="240" w:lineRule="auto"/>
            </w:pPr>
            <w:r>
              <w:rPr>
                <w:rFonts w:ascii="Calibri" w:hAnsi="Calibri"/>
                <w:b w:val="0"/>
                <w:color w:val="1F2328"/>
                <w:sz w:val="16"/>
              </w:rPr>
              <w:t>Evidence-by-design and continuously tested control posture</w:t>
            </w:r>
          </w:p>
        </w:tc>
      </w:tr>
      <w:tr>
        <w:trPr>
          <w:trHeight w:hRule="atLeast"/>
          <w:cantSplit/>
          <w:cantSplit/>
          <w:cantSplit/>
        </w:trPr>
        <w:tc>
          <w:tcPr>
            <w:tcW w:type="dxa" w:w="2310"/>
            <w:vAlign w:val="top"/>
            <w:tcMar>
              <w:top w:w="80" w:type="dxa"/>
              <w:start w:w="120" w:type="dxa"/>
              <w:bottom w:w="80" w:type="dxa"/>
              <w:end w:w="120" w:type="dxa"/>
            </w:tcMar>
          </w:tcPr>
          <w:p>
            <w:pPr>
              <w:spacing w:before="0" w:after="40" w:line="240" w:lineRule="auto"/>
            </w:pPr>
            <w:r>
              <w:rPr>
                <w:rFonts w:ascii="Calibri" w:hAnsi="Calibri"/>
                <w:b w:val="0"/>
                <w:color w:val="1F2328"/>
                <w:sz w:val="16"/>
              </w:rPr>
              <w:t>AI</w:t>
            </w:r>
          </w:p>
        </w:tc>
        <w:tc>
          <w:tcPr>
            <w:tcW w:type="dxa" w:w="3520"/>
            <w:vAlign w:val="top"/>
            <w:tcMar>
              <w:top w:w="80" w:type="dxa"/>
              <w:start w:w="120" w:type="dxa"/>
              <w:bottom w:w="80" w:type="dxa"/>
              <w:end w:w="120" w:type="dxa"/>
            </w:tcMar>
          </w:tcPr>
          <w:p>
            <w:pPr>
              <w:spacing w:before="0" w:after="40" w:line="240" w:lineRule="auto"/>
            </w:pPr>
            <w:r>
              <w:rPr>
                <w:rFonts w:ascii="Calibri" w:hAnsi="Calibri"/>
                <w:b w:val="0"/>
                <w:color w:val="1F2328"/>
                <w:sz w:val="16"/>
              </w:rPr>
              <w:t>Assistance and insights</w:t>
            </w:r>
          </w:p>
        </w:tc>
        <w:tc>
          <w:tcPr>
            <w:tcW w:type="dxa" w:w="3530"/>
            <w:vAlign w:val="top"/>
            <w:tcMar>
              <w:top w:w="80" w:type="dxa"/>
              <w:start w:w="120" w:type="dxa"/>
              <w:bottom w:w="80" w:type="dxa"/>
              <w:end w:w="120" w:type="dxa"/>
            </w:tcMar>
          </w:tcPr>
          <w:p>
            <w:pPr>
              <w:spacing w:before="0" w:after="40" w:line="240" w:lineRule="auto"/>
            </w:pPr>
            <w:r>
              <w:rPr>
                <w:rFonts w:ascii="Calibri" w:hAnsi="Calibri"/>
                <w:b w:val="0"/>
                <w:color w:val="1F2328"/>
                <w:sz w:val="16"/>
              </w:rPr>
              <w:t>Governed, explainable agents operating only within policy and approval boundaries</w:t>
            </w:r>
          </w:p>
        </w:tc>
      </w:tr>
    </w:tbl>
    <w:p>
      <w:pPr>
        <w:spacing w:after="0"/>
      </w:pPr>
    </w:p>
    <w:p>
      <w:pPr>
        <w:pStyle w:val="Heading2"/>
      </w:pPr>
      <w:r>
        <w:t>5.2 Recommended commercial sequence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780"/>
        <w:gridCol w:w="3040"/>
        <w:gridCol w:w="4540"/>
      </w:tblGrid>
      <w:tr>
        <w:trPr>
          <w:cantSplit/>
          <w:tblHeader w:val="true"/>
        </w:trPr>
        <w:tc>
          <w:tcPr>
            <w:tcW w:type="dxa" w:w="1780"/>
            <w:tcMar>
              <w:top w:w="80" w:type="dxa"/>
              <w:start w:w="120" w:type="dxa"/>
              <w:bottom w:w="80" w:type="dxa"/>
              <w:end w:w="120" w:type="dxa"/>
            </w:tcMar>
            <w:shd w:fill="F2F4F7"/>
            <w:vAlign w:val="center"/>
          </w:tcPr>
          <w:p>
            <w:pPr>
              <w:keepNext/>
              <w:spacing w:after="0"/>
            </w:pPr>
            <w:r>
              <w:rPr>
                <w:rFonts w:ascii="Calibri" w:hAnsi="Calibri"/>
                <w:b/>
                <w:color w:val="0B2545"/>
                <w:sz w:val="17"/>
              </w:rPr>
              <w:t>Release</w:t>
            </w:r>
          </w:p>
        </w:tc>
        <w:tc>
          <w:tcPr>
            <w:tcW w:type="dxa" w:w="3040"/>
            <w:tcMar>
              <w:top w:w="80" w:type="dxa"/>
              <w:start w:w="120" w:type="dxa"/>
              <w:bottom w:w="80" w:type="dxa"/>
              <w:end w:w="120" w:type="dxa"/>
            </w:tcMar>
            <w:shd w:fill="F2F4F7"/>
            <w:vAlign w:val="center"/>
          </w:tcPr>
          <w:p>
            <w:pPr>
              <w:keepNext/>
              <w:spacing w:after="0"/>
            </w:pPr>
            <w:r>
              <w:rPr>
                <w:rFonts w:ascii="Calibri" w:hAnsi="Calibri"/>
                <w:b/>
                <w:color w:val="0B2545"/>
                <w:sz w:val="17"/>
              </w:rPr>
              <w:t>Product promise</w:t>
            </w:r>
          </w:p>
        </w:tc>
        <w:tc>
          <w:tcPr>
            <w:tcW w:type="dxa" w:w="4540"/>
            <w:tcMar>
              <w:top w:w="80" w:type="dxa"/>
              <w:start w:w="120" w:type="dxa"/>
              <w:bottom w:w="80" w:type="dxa"/>
              <w:end w:w="120" w:type="dxa"/>
            </w:tcMar>
            <w:shd w:fill="F2F4F7"/>
            <w:vAlign w:val="center"/>
          </w:tcPr>
          <w:p>
            <w:pPr>
              <w:keepNext/>
              <w:spacing w:after="0"/>
            </w:pPr>
            <w:r>
              <w:rPr>
                <w:rFonts w:ascii="Calibri" w:hAnsi="Calibri"/>
                <w:b/>
                <w:color w:val="0B2545"/>
                <w:sz w:val="17"/>
              </w:rPr>
              <w:t>Included outcome</w:t>
            </w:r>
          </w:p>
        </w:tc>
      </w:tr>
      <w:tr>
        <w:trPr>
          <w:trHeight w:hRule="atLeast"/>
          <w:cantSplit/>
          <w:cantSplit/>
          <w:cantSplit/>
        </w:trPr>
        <w:tc>
          <w:tcPr>
            <w:tcW w:type="dxa" w:w="1780"/>
            <w:vAlign w:val="top"/>
            <w:tcMar>
              <w:top w:w="80" w:type="dxa"/>
              <w:start w:w="120" w:type="dxa"/>
              <w:bottom w:w="80" w:type="dxa"/>
              <w:end w:w="120" w:type="dxa"/>
            </w:tcMar>
          </w:tcPr>
          <w:p>
            <w:pPr>
              <w:spacing w:before="0" w:after="40" w:line="240" w:lineRule="auto"/>
            </w:pPr>
            <w:r>
              <w:rPr>
                <w:rFonts w:ascii="Calibri" w:hAnsi="Calibri"/>
                <w:b w:val="0"/>
                <w:color w:val="1F2328"/>
                <w:sz w:val="17"/>
              </w:rPr>
              <w:t>V1 — Fixed Ops Cloud</w:t>
            </w:r>
          </w:p>
        </w:tc>
        <w:tc>
          <w:tcPr>
            <w:tcW w:type="dxa" w:w="3040"/>
            <w:vAlign w:val="top"/>
            <w:tcMar>
              <w:top w:w="80" w:type="dxa"/>
              <w:start w:w="120" w:type="dxa"/>
              <w:bottom w:w="80" w:type="dxa"/>
              <w:end w:w="120" w:type="dxa"/>
            </w:tcMar>
          </w:tcPr>
          <w:p>
            <w:pPr>
              <w:spacing w:before="0" w:after="40" w:line="240" w:lineRule="auto"/>
            </w:pPr>
            <w:r>
              <w:rPr>
                <w:rFonts w:ascii="Calibri" w:hAnsi="Calibri"/>
                <w:b w:val="0"/>
                <w:color w:val="1F2328"/>
                <w:sz w:val="17"/>
              </w:rPr>
              <w:t>Run appointment-to-payment for service and parts</w:t>
            </w:r>
          </w:p>
        </w:tc>
        <w:tc>
          <w:tcPr>
            <w:tcW w:type="dxa" w:w="4540"/>
            <w:vAlign w:val="top"/>
            <w:tcMar>
              <w:top w:w="80" w:type="dxa"/>
              <w:start w:w="120" w:type="dxa"/>
              <w:bottom w:w="80" w:type="dxa"/>
              <w:end w:w="120" w:type="dxa"/>
            </w:tcMar>
          </w:tcPr>
          <w:p>
            <w:pPr>
              <w:spacing w:before="0" w:after="40" w:line="240" w:lineRule="auto"/>
            </w:pPr>
            <w:r>
              <w:rPr>
                <w:rFonts w:ascii="Calibri" w:hAnsi="Calibri"/>
                <w:b w:val="0"/>
                <w:color w:val="1F2328"/>
                <w:sz w:val="17"/>
              </w:rPr>
              <w:t>Capacity scheduling, intake, RO/DVI, deterministic estimating, authorization, dispatch, parts inventory, invoice/payment, portal, communications, accounting export, reporting</w:t>
            </w:r>
          </w:p>
        </w:tc>
      </w:tr>
      <w:tr>
        <w:trPr>
          <w:trHeight w:hRule="atLeast"/>
          <w:cantSplit/>
          <w:cantSplit/>
          <w:cantSplit/>
        </w:trPr>
        <w:tc>
          <w:tcPr>
            <w:tcW w:type="dxa" w:w="1780"/>
            <w:vAlign w:val="top"/>
            <w:tcMar>
              <w:top w:w="80" w:type="dxa"/>
              <w:start w:w="120" w:type="dxa"/>
              <w:bottom w:w="80" w:type="dxa"/>
              <w:end w:w="120" w:type="dxa"/>
            </w:tcMar>
          </w:tcPr>
          <w:p>
            <w:pPr>
              <w:spacing w:before="0" w:after="40" w:line="240" w:lineRule="auto"/>
            </w:pPr>
            <w:r>
              <w:rPr>
                <w:rFonts w:ascii="Calibri" w:hAnsi="Calibri"/>
                <w:b w:val="0"/>
                <w:color w:val="1F2328"/>
                <w:sz w:val="17"/>
              </w:rPr>
              <w:t>V2 — Dealership Core</w:t>
            </w:r>
          </w:p>
        </w:tc>
        <w:tc>
          <w:tcPr>
            <w:tcW w:type="dxa" w:w="3040"/>
            <w:vAlign w:val="top"/>
            <w:tcMar>
              <w:top w:w="80" w:type="dxa"/>
              <w:start w:w="120" w:type="dxa"/>
              <w:bottom w:w="80" w:type="dxa"/>
              <w:end w:w="120" w:type="dxa"/>
            </w:tcMar>
          </w:tcPr>
          <w:p>
            <w:pPr>
              <w:spacing w:before="0" w:after="40" w:line="240" w:lineRule="auto"/>
            </w:pPr>
            <w:r>
              <w:rPr>
                <w:rFonts w:ascii="Calibri" w:hAnsi="Calibri"/>
                <w:b w:val="0"/>
                <w:color w:val="1F2328"/>
                <w:sz w:val="17"/>
              </w:rPr>
              <w:t>Run customer-to-deal and vehicle-to-retail workflows</w:t>
            </w:r>
          </w:p>
        </w:tc>
        <w:tc>
          <w:tcPr>
            <w:tcW w:type="dxa" w:w="4540"/>
            <w:vAlign w:val="top"/>
            <w:tcMar>
              <w:top w:w="80" w:type="dxa"/>
              <w:start w:w="120" w:type="dxa"/>
              <w:bottom w:w="80" w:type="dxa"/>
              <w:end w:w="120" w:type="dxa"/>
            </w:tcMar>
          </w:tcPr>
          <w:p>
            <w:pPr>
              <w:spacing w:before="0" w:after="40" w:line="240" w:lineRule="auto"/>
            </w:pPr>
            <w:r>
              <w:rPr>
                <w:rFonts w:ascii="Calibri" w:hAnsi="Calibri"/>
                <w:b w:val="0"/>
                <w:color w:val="1F2328"/>
                <w:sz w:val="17"/>
              </w:rPr>
              <w:t>Party/vehicle master, inventory, acquisition/recon, CRM/BDC, appraisal/trade, desking, deal jacket, digital retail</w:t>
            </w:r>
          </w:p>
        </w:tc>
      </w:tr>
      <w:tr>
        <w:trPr>
          <w:trHeight w:hRule="atLeast"/>
          <w:cantSplit/>
          <w:cantSplit/>
          <w:cantSplit/>
        </w:trPr>
        <w:tc>
          <w:tcPr>
            <w:tcW w:type="dxa" w:w="1780"/>
            <w:vAlign w:val="top"/>
            <w:tcMar>
              <w:top w:w="80" w:type="dxa"/>
              <w:start w:w="120" w:type="dxa"/>
              <w:bottom w:w="80" w:type="dxa"/>
              <w:end w:w="120" w:type="dxa"/>
            </w:tcMar>
          </w:tcPr>
          <w:p>
            <w:pPr>
              <w:spacing w:before="0" w:after="40" w:line="240" w:lineRule="auto"/>
            </w:pPr>
            <w:r>
              <w:rPr>
                <w:rFonts w:ascii="Calibri" w:hAnsi="Calibri"/>
                <w:b w:val="0"/>
                <w:color w:val="1F2328"/>
                <w:sz w:val="17"/>
              </w:rPr>
              <w:t>V3 — Enterprise DMS</w:t>
            </w:r>
          </w:p>
        </w:tc>
        <w:tc>
          <w:tcPr>
            <w:tcW w:type="dxa" w:w="3040"/>
            <w:vAlign w:val="top"/>
            <w:tcMar>
              <w:top w:w="80" w:type="dxa"/>
              <w:start w:w="120" w:type="dxa"/>
              <w:bottom w:w="80" w:type="dxa"/>
              <w:end w:w="120" w:type="dxa"/>
            </w:tcMar>
          </w:tcPr>
          <w:p>
            <w:pPr>
              <w:spacing w:before="0" w:after="40" w:line="240" w:lineRule="auto"/>
            </w:pPr>
            <w:r>
              <w:rPr>
                <w:rFonts w:ascii="Calibri" w:hAnsi="Calibri"/>
                <w:b w:val="0"/>
                <w:color w:val="1F2328"/>
                <w:sz w:val="17"/>
              </w:rPr>
              <w:t>Operate the full dealership group</w:t>
            </w:r>
          </w:p>
        </w:tc>
        <w:tc>
          <w:tcPr>
            <w:tcW w:type="dxa" w:w="4540"/>
            <w:vAlign w:val="top"/>
            <w:tcMar>
              <w:top w:w="80" w:type="dxa"/>
              <w:start w:w="120" w:type="dxa"/>
              <w:bottom w:w="80" w:type="dxa"/>
              <w:end w:w="120" w:type="dxa"/>
            </w:tcMar>
          </w:tcPr>
          <w:p>
            <w:pPr>
              <w:spacing w:before="0" w:after="40" w:line="240" w:lineRule="auto"/>
            </w:pPr>
            <w:r>
              <w:rPr>
                <w:rFonts w:ascii="Calibri" w:hAnsi="Calibri"/>
                <w:b w:val="0"/>
                <w:color w:val="1F2328"/>
                <w:sz w:val="17"/>
              </w:rPr>
              <w:t>F&amp;I/lender/eContracting, title/registration, native accounting, OEM ecosystem, multi-entity consolidation, migration factory, partner marketplace, governed AI</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1F5D42"/>
          <w:left w:val="single" w:sz="6" w:space="0" w:color="1F5D42"/>
          <w:bottom w:val="single" w:sz="6" w:space="0" w:color="1F5D42"/>
          <w:right w:val="single" w:sz="6" w:space="0" w:color="1F5D42"/>
          <w:insideH w:val="single" w:sz="6" w:space="0" w:color="1F5D42"/>
          <w:insideV w:val="single" w:sz="6" w:space="0" w:color="1F5D42"/>
        </w:tblBorders>
      </w:tblPr>
      <w:tblGrid>
        <w:gridCol w:w="9360"/>
      </w:tblGrid>
      <w:tr>
        <w:trPr>
          <w:cantSplit/>
        </w:trPr>
        <w:tc>
          <w:tcPr>
            <w:tcW w:type="dxa" w:w="9360"/>
            <w:tcMar>
              <w:top w:w="80" w:type="dxa"/>
              <w:start w:w="120" w:type="dxa"/>
              <w:bottom w:w="80" w:type="dxa"/>
              <w:end w:w="120" w:type="dxa"/>
            </w:tcMar>
            <w:shd w:fill="E6F4EA"/>
            <w:vAlign w:val="center"/>
          </w:tcPr>
          <w:p>
            <w:pPr>
              <w:spacing w:after="60"/>
            </w:pPr>
            <w:r>
              <w:rPr>
                <w:rFonts w:ascii="Calibri" w:hAnsi="Calibri"/>
                <w:b/>
                <w:color w:val="1F5D42"/>
                <w:sz w:val="21"/>
              </w:rPr>
              <w:t>Product thesis</w:t>
            </w:r>
          </w:p>
          <w:p>
            <w:pPr>
              <w:spacing w:after="0" w:line="264" w:lineRule="auto"/>
            </w:pPr>
            <w:r>
              <w:rPr>
                <w:rFonts w:ascii="Calibri" w:hAnsi="Calibri"/>
                <w:color w:val="1F2328"/>
                <w:sz w:val="21"/>
              </w:rPr>
              <w:t>Win first by making fixed operations measurably better: faster appointment-to-bay, higher recommendation conversion, fewer parts delays, transparent customer authorization, technician productivity, and audit-ready payment. Use the same customer/vehicle/event core to expand—never create department silos.</w:t>
            </w:r>
          </w:p>
        </w:tc>
      </w:tr>
    </w:tbl>
    <w:p>
      <w:pPr>
        <w:spacing w:after="0"/>
      </w:pPr>
    </w:p>
    <w:p>
      <w:pPr>
        <w:pStyle w:val="Heading2"/>
      </w:pPr>
      <w:r>
        <w:t>5.3 Build versus integrate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4680"/>
        <w:gridCol w:w="4680"/>
      </w:tblGrid>
      <w:tr>
        <w:trPr>
          <w:cantSplit/>
          <w:tblHeader w:val="true"/>
        </w:trPr>
        <w:tc>
          <w:tcPr>
            <w:tcW w:type="dxa" w:w="4680"/>
            <w:tcMar>
              <w:top w:w="80" w:type="dxa"/>
              <w:start w:w="120" w:type="dxa"/>
              <w:bottom w:w="80" w:type="dxa"/>
              <w:end w:w="120" w:type="dxa"/>
            </w:tcMar>
            <w:shd w:fill="F2F4F7"/>
            <w:vAlign w:val="center"/>
          </w:tcPr>
          <w:p>
            <w:pPr>
              <w:keepNext/>
              <w:spacing w:after="0"/>
            </w:pPr>
            <w:r>
              <w:rPr>
                <w:rFonts w:ascii="Calibri" w:hAnsi="Calibri"/>
                <w:b/>
                <w:color w:val="0B2545"/>
                <w:sz w:val="17"/>
              </w:rPr>
              <w:t>Own and differentiate</w:t>
            </w:r>
          </w:p>
        </w:tc>
        <w:tc>
          <w:tcPr>
            <w:tcW w:type="dxa" w:w="4680"/>
            <w:tcMar>
              <w:top w:w="80" w:type="dxa"/>
              <w:start w:w="120" w:type="dxa"/>
              <w:bottom w:w="80" w:type="dxa"/>
              <w:end w:w="120" w:type="dxa"/>
            </w:tcMar>
            <w:shd w:fill="F2F4F7"/>
            <w:vAlign w:val="center"/>
          </w:tcPr>
          <w:p>
            <w:pPr>
              <w:keepNext/>
              <w:spacing w:after="0"/>
            </w:pPr>
            <w:r>
              <w:rPr>
                <w:rFonts w:ascii="Calibri" w:hAnsi="Calibri"/>
                <w:b/>
                <w:color w:val="0B2545"/>
                <w:sz w:val="17"/>
              </w:rPr>
              <w:t>Integrate through certified providers</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Canonical customer/vehicle/stock/deal/RO identities</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Credit bureaus, lender networks, and adverse-action delivery</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Cross-department workflow and exception management</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eContracting, identity verification, e-sign, DMV/title/registration</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Pricing policy, quote versions, authorization evidence</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OEM DCS/warranty, VIN/build data, valuation, marketplaces</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Multi-rooftop policy, audit, analytics, and permissions</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Payment processing, bank connectivity, sales/use tax, Form 8300 filing support</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Parts and financial ledgers tied to operations</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SMS/voice/email transport and deliverability</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Dealership-specific copilot with evidence and approvals</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Payroll, benefits, background services, broad ERP exports</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Integration control plane, contracts, health, replay</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Commodity infrastructure services where managed offerings reduce risk</w:t>
            </w:r>
          </w:p>
        </w:tc>
      </w:tr>
    </w:tbl>
    <w:p>
      <w:pPr>
        <w:spacing w:after="0"/>
      </w:pPr>
    </w:p>
    <w:p>
      <w:r>
        <w:br w:type="page"/>
      </w:r>
    </w:p>
    <w:p>
      <w:pPr>
        <w:pStyle w:val="Heading1"/>
      </w:pPr>
      <w:r>
        <w:t>6. Target Architecture</w:t>
      </w:r>
    </w:p>
    <w:p>
      <w:pPr>
        <w:pStyle w:val="Heading2"/>
      </w:pPr>
      <w:r>
        <w:t>6.1 Architecture principles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700"/>
        <w:gridCol w:w="2200"/>
        <w:gridCol w:w="6460"/>
      </w:tblGrid>
      <w:tr>
        <w:trPr>
          <w:cantSplit/>
          <w:tblHeader w:val="true"/>
        </w:trPr>
        <w:tc>
          <w:tcPr>
            <w:tcW w:type="dxa" w:w="700"/>
            <w:tcMar>
              <w:top w:w="80" w:type="dxa"/>
              <w:start w:w="120" w:type="dxa"/>
              <w:bottom w:w="80" w:type="dxa"/>
              <w:end w:w="120" w:type="dxa"/>
            </w:tcMar>
            <w:shd w:fill="F2F4F7"/>
            <w:vAlign w:val="center"/>
          </w:tcPr>
          <w:p>
            <w:pPr>
              <w:keepNext/>
              <w:spacing w:after="0"/>
            </w:pPr>
            <w:r>
              <w:rPr>
                <w:rFonts w:ascii="Calibri" w:hAnsi="Calibri"/>
                <w:b/>
                <w:color w:val="0B2545"/>
                <w:sz w:val="16"/>
              </w:rPr>
              <w:t>ID</w:t>
            </w:r>
          </w:p>
        </w:tc>
        <w:tc>
          <w:tcPr>
            <w:tcW w:type="dxa" w:w="2200"/>
            <w:tcMar>
              <w:top w:w="80" w:type="dxa"/>
              <w:start w:w="120" w:type="dxa"/>
              <w:bottom w:w="80" w:type="dxa"/>
              <w:end w:w="120" w:type="dxa"/>
            </w:tcMar>
            <w:shd w:fill="F2F4F7"/>
            <w:vAlign w:val="center"/>
          </w:tcPr>
          <w:p>
            <w:pPr>
              <w:keepNext/>
              <w:spacing w:after="0"/>
            </w:pPr>
            <w:r>
              <w:rPr>
                <w:rFonts w:ascii="Calibri" w:hAnsi="Calibri"/>
                <w:b/>
                <w:color w:val="0B2545"/>
                <w:sz w:val="16"/>
              </w:rPr>
              <w:t>Principle</w:t>
            </w:r>
          </w:p>
        </w:tc>
        <w:tc>
          <w:tcPr>
            <w:tcW w:type="dxa" w:w="6460"/>
            <w:tcMar>
              <w:top w:w="80" w:type="dxa"/>
              <w:start w:w="120" w:type="dxa"/>
              <w:bottom w:w="80" w:type="dxa"/>
              <w:end w:w="120" w:type="dxa"/>
            </w:tcMar>
            <w:shd w:fill="F2F4F7"/>
            <w:vAlign w:val="center"/>
          </w:tcPr>
          <w:p>
            <w:pPr>
              <w:keepNext/>
              <w:spacing w:after="0"/>
            </w:pPr>
            <w:r>
              <w:rPr>
                <w:rFonts w:ascii="Calibri" w:hAnsi="Calibri"/>
                <w:b/>
                <w:color w:val="0B2545"/>
                <w:sz w:val="16"/>
              </w:rPr>
              <w:t>Binding consequence</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P1</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One dealership graph</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Every workflow references canonical party, vehicle, organizational, and financial identities.</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P2</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Tenant boundary in the database</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Application checks are defense in depth, never the only boundary.</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P3</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Modular monolith first</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Strong internal module boundaries, explicit ports, and events; extract by evidence.</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P4</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Immutable business versions</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Quotes, estimates, deals, signatures, invoices, contracts, and postings are versioned facts.</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P5</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Ledgers for quantity and money</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Inventory, time, cash, AR/AP, and GL changes are append-only movements with corrections.</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P6</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Contract-first edges</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OpenAPI, event schemas, idempotency, compatibility, and generated clients are release gates.</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P7</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Workflows survive failure</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Long-running processes are resumable, observable, and compensating—not hidden request chains.</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P8</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Evidence is a product feature</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Sensitive action records include actor, authority, inputs, version, artifact, and outcome.</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P9</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Configuration over forks</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Dealer, rooftop, legal-entity, OEM, locale, and plan differences are effective-dated policy.</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6"/>
              </w:rPr>
              <w:t>P10</w:t>
            </w:r>
          </w:p>
        </w:tc>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6"/>
              </w:rPr>
              <w:t>AI is bounded</w:t>
            </w:r>
          </w:p>
        </w:tc>
        <w:tc>
          <w:tcPr>
            <w:tcW w:type="dxa" w:w="6460"/>
            <w:vAlign w:val="top"/>
            <w:tcMar>
              <w:top w:w="80" w:type="dxa"/>
              <w:start w:w="120" w:type="dxa"/>
              <w:bottom w:w="80" w:type="dxa"/>
              <w:end w:w="120" w:type="dxa"/>
            </w:tcMar>
          </w:tcPr>
          <w:p>
            <w:pPr>
              <w:spacing w:before="0" w:after="40" w:line="240" w:lineRule="auto"/>
            </w:pPr>
            <w:r>
              <w:rPr>
                <w:rFonts w:ascii="Calibri" w:hAnsi="Calibri"/>
                <w:b w:val="0"/>
                <w:color w:val="1F2328"/>
                <w:sz w:val="16"/>
              </w:rPr>
              <w:t>Models recommend and assist; policy engines and people authorize credit, money, legal, and safety outcomes.</w:t>
            </w:r>
          </w:p>
        </w:tc>
      </w:tr>
    </w:tbl>
    <w:p>
      <w:pPr>
        <w:spacing w:after="0"/>
      </w:pPr>
    </w:p>
    <w:p>
      <w:pPr>
        <w:pStyle w:val="Heading2"/>
      </w:pPr>
      <w:r>
        <w:t>6.2 Logical deployment</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400"/>
        <w:gridCol w:w="4500"/>
        <w:gridCol w:w="3460"/>
      </w:tblGrid>
      <w:tr>
        <w:trPr>
          <w:cantSplit/>
          <w:tblHeader w:val="true"/>
        </w:trPr>
        <w:tc>
          <w:tcPr>
            <w:tcW w:type="dxa" w:w="1400"/>
            <w:tcMar>
              <w:top w:w="80" w:type="dxa"/>
              <w:start w:w="120" w:type="dxa"/>
              <w:bottom w:w="80" w:type="dxa"/>
              <w:end w:w="120" w:type="dxa"/>
            </w:tcMar>
            <w:shd w:fill="F2F4F7"/>
            <w:vAlign w:val="center"/>
          </w:tcPr>
          <w:p>
            <w:pPr>
              <w:keepNext/>
              <w:spacing w:after="0"/>
            </w:pPr>
            <w:r>
              <w:rPr>
                <w:rFonts w:ascii="Calibri" w:hAnsi="Calibri"/>
                <w:b/>
                <w:color w:val="0B2545"/>
                <w:sz w:val="16"/>
              </w:rPr>
              <w:t>Layer</w:t>
            </w:r>
          </w:p>
        </w:tc>
        <w:tc>
          <w:tcPr>
            <w:tcW w:type="dxa" w:w="4500"/>
            <w:tcMar>
              <w:top w:w="80" w:type="dxa"/>
              <w:start w:w="120" w:type="dxa"/>
              <w:bottom w:w="80" w:type="dxa"/>
              <w:end w:w="120" w:type="dxa"/>
            </w:tcMar>
            <w:shd w:fill="F2F4F7"/>
            <w:vAlign w:val="center"/>
          </w:tcPr>
          <w:p>
            <w:pPr>
              <w:keepNext/>
              <w:spacing w:after="0"/>
            </w:pPr>
            <w:r>
              <w:rPr>
                <w:rFonts w:ascii="Calibri" w:hAnsi="Calibri"/>
                <w:b/>
                <w:color w:val="0B2545"/>
                <w:sz w:val="16"/>
              </w:rPr>
              <w:t>Components</w:t>
            </w:r>
          </w:p>
        </w:tc>
        <w:tc>
          <w:tcPr>
            <w:tcW w:type="dxa" w:w="3460"/>
            <w:tcMar>
              <w:top w:w="80" w:type="dxa"/>
              <w:start w:w="120" w:type="dxa"/>
              <w:bottom w:w="80" w:type="dxa"/>
              <w:end w:w="120" w:type="dxa"/>
            </w:tcMar>
            <w:shd w:fill="F2F4F7"/>
            <w:vAlign w:val="center"/>
          </w:tcPr>
          <w:p>
            <w:pPr>
              <w:keepNext/>
              <w:spacing w:after="0"/>
            </w:pPr>
            <w:r>
              <w:rPr>
                <w:rFonts w:ascii="Calibri" w:hAnsi="Calibri"/>
                <w:b/>
                <w:color w:val="0B2545"/>
                <w:sz w:val="16"/>
              </w:rPr>
              <w:t>Rule</w:t>
            </w:r>
          </w:p>
        </w:tc>
      </w:tr>
      <w:tr>
        <w:trPr>
          <w:trHeight w:hRule="atLeast"/>
          <w:cantSplit/>
          <w:cantSplit/>
          <w:cantSplit/>
        </w:trPr>
        <w:tc>
          <w:tcPr>
            <w:tcW w:type="dxa" w:w="1400"/>
            <w:vAlign w:val="top"/>
            <w:tcMar>
              <w:top w:w="80" w:type="dxa"/>
              <w:start w:w="120" w:type="dxa"/>
              <w:bottom w:w="80" w:type="dxa"/>
              <w:end w:w="120" w:type="dxa"/>
            </w:tcMar>
          </w:tcPr>
          <w:p>
            <w:pPr>
              <w:spacing w:before="0" w:after="40" w:line="240" w:lineRule="auto"/>
            </w:pPr>
            <w:r>
              <w:rPr>
                <w:rFonts w:ascii="Calibri" w:hAnsi="Calibri"/>
                <w:b w:val="0"/>
                <w:color w:val="1F2328"/>
                <w:sz w:val="16"/>
              </w:rPr>
              <w:t>Experience</w:t>
            </w:r>
          </w:p>
        </w:tc>
        <w:tc>
          <w:tcPr>
            <w:tcW w:type="dxa" w:w="4500"/>
            <w:vAlign w:val="top"/>
            <w:tcMar>
              <w:top w:w="80" w:type="dxa"/>
              <w:start w:w="120" w:type="dxa"/>
              <w:bottom w:w="80" w:type="dxa"/>
              <w:end w:w="120" w:type="dxa"/>
            </w:tcMar>
          </w:tcPr>
          <w:p>
            <w:pPr>
              <w:spacing w:before="0" w:after="40" w:line="240" w:lineRule="auto"/>
            </w:pPr>
            <w:r>
              <w:rPr>
                <w:rFonts w:ascii="Calibri" w:hAnsi="Calibri"/>
                <w:b w:val="0"/>
                <w:color w:val="1F2328"/>
                <w:sz w:val="16"/>
              </w:rPr>
              <w:t>Staff web, advisor/tech PWA, mobile CRM, customer portal/digital retail, admin/support, developer portal</w:t>
            </w:r>
          </w:p>
        </w:tc>
        <w:tc>
          <w:tcPr>
            <w:tcW w:type="dxa" w:w="3460"/>
            <w:vAlign w:val="top"/>
            <w:tcMar>
              <w:top w:w="80" w:type="dxa"/>
              <w:start w:w="120" w:type="dxa"/>
              <w:bottom w:w="80" w:type="dxa"/>
              <w:end w:w="120" w:type="dxa"/>
            </w:tcMar>
          </w:tcPr>
          <w:p>
            <w:pPr>
              <w:spacing w:before="0" w:after="40" w:line="240" w:lineRule="auto"/>
            </w:pPr>
            <w:r>
              <w:rPr>
                <w:rFonts w:ascii="Calibri" w:hAnsi="Calibri"/>
                <w:b w:val="0"/>
                <w:color w:val="1F2328"/>
                <w:sz w:val="16"/>
              </w:rPr>
              <w:t>Role- and journey-specific shells; shared design system and generated API clients</w:t>
            </w:r>
          </w:p>
        </w:tc>
      </w:tr>
      <w:tr>
        <w:trPr>
          <w:trHeight w:hRule="atLeast"/>
          <w:cantSplit/>
          <w:cantSplit/>
          <w:cantSplit/>
        </w:trPr>
        <w:tc>
          <w:tcPr>
            <w:tcW w:type="dxa" w:w="1400"/>
            <w:vAlign w:val="top"/>
            <w:tcMar>
              <w:top w:w="80" w:type="dxa"/>
              <w:start w:w="120" w:type="dxa"/>
              <w:bottom w:w="80" w:type="dxa"/>
              <w:end w:w="120" w:type="dxa"/>
            </w:tcMar>
          </w:tcPr>
          <w:p>
            <w:pPr>
              <w:spacing w:before="0" w:after="40" w:line="240" w:lineRule="auto"/>
            </w:pPr>
            <w:r>
              <w:rPr>
                <w:rFonts w:ascii="Calibri" w:hAnsi="Calibri"/>
                <w:b w:val="0"/>
                <w:color w:val="1F2328"/>
                <w:sz w:val="16"/>
              </w:rPr>
              <w:t>Edge</w:t>
            </w:r>
          </w:p>
        </w:tc>
        <w:tc>
          <w:tcPr>
            <w:tcW w:type="dxa" w:w="4500"/>
            <w:vAlign w:val="top"/>
            <w:tcMar>
              <w:top w:w="80" w:type="dxa"/>
              <w:start w:w="120" w:type="dxa"/>
              <w:bottom w:w="80" w:type="dxa"/>
              <w:end w:w="120" w:type="dxa"/>
            </w:tcMar>
          </w:tcPr>
          <w:p>
            <w:pPr>
              <w:spacing w:before="0" w:after="40" w:line="240" w:lineRule="auto"/>
            </w:pPr>
            <w:r>
              <w:rPr>
                <w:rFonts w:ascii="Calibri" w:hAnsi="Calibri"/>
                <w:b w:val="0"/>
                <w:color w:val="1F2328"/>
                <w:sz w:val="16"/>
              </w:rPr>
              <w:t>CDN/WAF, API gateway, identity broker, rate limit, request signing, tenant routing</w:t>
            </w:r>
          </w:p>
        </w:tc>
        <w:tc>
          <w:tcPr>
            <w:tcW w:type="dxa" w:w="3460"/>
            <w:vAlign w:val="top"/>
            <w:tcMar>
              <w:top w:w="80" w:type="dxa"/>
              <w:start w:w="120" w:type="dxa"/>
              <w:bottom w:w="80" w:type="dxa"/>
              <w:end w:w="120" w:type="dxa"/>
            </w:tcMar>
          </w:tcPr>
          <w:p>
            <w:pPr>
              <w:spacing w:before="0" w:after="40" w:line="240" w:lineRule="auto"/>
            </w:pPr>
            <w:r>
              <w:rPr>
                <w:rFonts w:ascii="Calibri" w:hAnsi="Calibri"/>
                <w:b w:val="0"/>
                <w:color w:val="1F2328"/>
                <w:sz w:val="16"/>
              </w:rPr>
              <w:t>No business rules; enforce trust boundary and observability</w:t>
            </w:r>
          </w:p>
        </w:tc>
      </w:tr>
      <w:tr>
        <w:trPr>
          <w:trHeight w:hRule="atLeast"/>
          <w:cantSplit/>
          <w:cantSplit/>
          <w:cantSplit/>
        </w:trPr>
        <w:tc>
          <w:tcPr>
            <w:tcW w:type="dxa" w:w="1400"/>
            <w:vAlign w:val="top"/>
            <w:tcMar>
              <w:top w:w="80" w:type="dxa"/>
              <w:start w:w="120" w:type="dxa"/>
              <w:bottom w:w="80" w:type="dxa"/>
              <w:end w:w="120" w:type="dxa"/>
            </w:tcMar>
          </w:tcPr>
          <w:p>
            <w:pPr>
              <w:spacing w:before="0" w:after="40" w:line="240" w:lineRule="auto"/>
            </w:pPr>
            <w:r>
              <w:rPr>
                <w:rFonts w:ascii="Calibri" w:hAnsi="Calibri"/>
                <w:b w:val="0"/>
                <w:color w:val="1F2328"/>
                <w:sz w:val="16"/>
              </w:rPr>
              <w:t>Application core</w:t>
            </w:r>
          </w:p>
        </w:tc>
        <w:tc>
          <w:tcPr>
            <w:tcW w:type="dxa" w:w="4500"/>
            <w:vAlign w:val="top"/>
            <w:tcMar>
              <w:top w:w="80" w:type="dxa"/>
              <w:start w:w="120" w:type="dxa"/>
              <w:bottom w:w="80" w:type="dxa"/>
              <w:end w:w="120" w:type="dxa"/>
            </w:tcMar>
          </w:tcPr>
          <w:p>
            <w:pPr>
              <w:spacing w:before="0" w:after="40" w:line="240" w:lineRule="auto"/>
            </w:pPr>
            <w:r>
              <w:rPr>
                <w:rFonts w:ascii="Calibri" w:hAnsi="Calibri"/>
                <w:b w:val="0"/>
                <w:color w:val="1F2328"/>
                <w:sz w:val="16"/>
              </w:rPr>
              <w:t>Versioned modular monolith containing platform kernel and dealership contexts</w:t>
            </w:r>
          </w:p>
        </w:tc>
        <w:tc>
          <w:tcPr>
            <w:tcW w:type="dxa" w:w="3460"/>
            <w:vAlign w:val="top"/>
            <w:tcMar>
              <w:top w:w="80" w:type="dxa"/>
              <w:start w:w="120" w:type="dxa"/>
              <w:bottom w:w="80" w:type="dxa"/>
              <w:end w:w="120" w:type="dxa"/>
            </w:tcMar>
          </w:tcPr>
          <w:p>
            <w:pPr>
              <w:spacing w:before="0" w:after="40" w:line="240" w:lineRule="auto"/>
            </w:pPr>
            <w:r>
              <w:rPr>
                <w:rFonts w:ascii="Calibri" w:hAnsi="Calibri"/>
                <w:b w:val="0"/>
                <w:color w:val="1F2328"/>
                <w:sz w:val="16"/>
              </w:rPr>
              <w:t>One deployable initially; module imports enforced; no cross-module table writes</w:t>
            </w:r>
          </w:p>
        </w:tc>
      </w:tr>
      <w:tr>
        <w:trPr>
          <w:trHeight w:hRule="atLeast"/>
          <w:cantSplit/>
          <w:cantSplit/>
          <w:cantSplit/>
        </w:trPr>
        <w:tc>
          <w:tcPr>
            <w:tcW w:type="dxa" w:w="1400"/>
            <w:vAlign w:val="top"/>
            <w:tcMar>
              <w:top w:w="80" w:type="dxa"/>
              <w:start w:w="120" w:type="dxa"/>
              <w:bottom w:w="80" w:type="dxa"/>
              <w:end w:w="120" w:type="dxa"/>
            </w:tcMar>
          </w:tcPr>
          <w:p>
            <w:pPr>
              <w:spacing w:before="0" w:after="40" w:line="240" w:lineRule="auto"/>
            </w:pPr>
            <w:r>
              <w:rPr>
                <w:rFonts w:ascii="Calibri" w:hAnsi="Calibri"/>
                <w:b w:val="0"/>
                <w:color w:val="1F2328"/>
                <w:sz w:val="16"/>
              </w:rPr>
              <w:t>Workers</w:t>
            </w:r>
          </w:p>
        </w:tc>
        <w:tc>
          <w:tcPr>
            <w:tcW w:type="dxa" w:w="4500"/>
            <w:vAlign w:val="top"/>
            <w:tcMar>
              <w:top w:w="80" w:type="dxa"/>
              <w:start w:w="120" w:type="dxa"/>
              <w:bottom w:w="80" w:type="dxa"/>
              <w:end w:w="120" w:type="dxa"/>
            </w:tcMar>
          </w:tcPr>
          <w:p>
            <w:pPr>
              <w:spacing w:before="0" w:after="40" w:line="240" w:lineRule="auto"/>
            </w:pPr>
            <w:r>
              <w:rPr>
                <w:rFonts w:ascii="Calibri" w:hAnsi="Calibri"/>
                <w:b w:val="0"/>
                <w:color w:val="1F2328"/>
                <w:sz w:val="16"/>
              </w:rPr>
              <w:t>Workflow timers, communications, documents, integration delivery, search indexing, analytics export</w:t>
            </w:r>
          </w:p>
        </w:tc>
        <w:tc>
          <w:tcPr>
            <w:tcW w:type="dxa" w:w="3460"/>
            <w:vAlign w:val="top"/>
            <w:tcMar>
              <w:top w:w="80" w:type="dxa"/>
              <w:start w:w="120" w:type="dxa"/>
              <w:bottom w:w="80" w:type="dxa"/>
              <w:end w:w="120" w:type="dxa"/>
            </w:tcMar>
          </w:tcPr>
          <w:p>
            <w:pPr>
              <w:spacing w:before="0" w:after="40" w:line="240" w:lineRule="auto"/>
            </w:pPr>
            <w:r>
              <w:rPr>
                <w:rFonts w:ascii="Calibri" w:hAnsi="Calibri"/>
                <w:b w:val="0"/>
                <w:color w:val="1F2328"/>
                <w:sz w:val="16"/>
              </w:rPr>
              <w:t>Consume durable outbox; idempotent; replayable</w:t>
            </w:r>
          </w:p>
        </w:tc>
      </w:tr>
      <w:tr>
        <w:trPr>
          <w:trHeight w:hRule="atLeast"/>
          <w:cantSplit/>
          <w:cantSplit/>
          <w:cantSplit/>
        </w:trPr>
        <w:tc>
          <w:tcPr>
            <w:tcW w:type="dxa" w:w="1400"/>
            <w:vAlign w:val="top"/>
            <w:tcMar>
              <w:top w:w="80" w:type="dxa"/>
              <w:start w:w="120" w:type="dxa"/>
              <w:bottom w:w="80" w:type="dxa"/>
              <w:end w:w="120" w:type="dxa"/>
            </w:tcMar>
          </w:tcPr>
          <w:p>
            <w:pPr>
              <w:spacing w:before="0" w:after="40" w:line="240" w:lineRule="auto"/>
            </w:pPr>
            <w:r>
              <w:rPr>
                <w:rFonts w:ascii="Calibri" w:hAnsi="Calibri"/>
                <w:b w:val="0"/>
                <w:color w:val="1F2328"/>
                <w:sz w:val="16"/>
              </w:rPr>
              <w:t>Data</w:t>
            </w:r>
          </w:p>
        </w:tc>
        <w:tc>
          <w:tcPr>
            <w:tcW w:type="dxa" w:w="4500"/>
            <w:vAlign w:val="top"/>
            <w:tcMar>
              <w:top w:w="80" w:type="dxa"/>
              <w:start w:w="120" w:type="dxa"/>
              <w:bottom w:w="80" w:type="dxa"/>
              <w:end w:w="120" w:type="dxa"/>
            </w:tcMar>
          </w:tcPr>
          <w:p>
            <w:pPr>
              <w:spacing w:before="0" w:after="40" w:line="240" w:lineRule="auto"/>
            </w:pPr>
            <w:r>
              <w:rPr>
                <w:rFonts w:ascii="Calibri" w:hAnsi="Calibri"/>
                <w:b w:val="0"/>
                <w:color w:val="1F2328"/>
                <w:sz w:val="16"/>
              </w:rPr>
              <w:t>PostgreSQL, Redis, object storage, search index, analytical warehouse/lakehouse</w:t>
            </w:r>
          </w:p>
        </w:tc>
        <w:tc>
          <w:tcPr>
            <w:tcW w:type="dxa" w:w="3460"/>
            <w:vAlign w:val="top"/>
            <w:tcMar>
              <w:top w:w="80" w:type="dxa"/>
              <w:start w:w="120" w:type="dxa"/>
              <w:bottom w:w="80" w:type="dxa"/>
              <w:end w:w="120" w:type="dxa"/>
            </w:tcMar>
          </w:tcPr>
          <w:p>
            <w:pPr>
              <w:spacing w:before="0" w:after="40" w:line="240" w:lineRule="auto"/>
            </w:pPr>
            <w:r>
              <w:rPr>
                <w:rFonts w:ascii="Calibri" w:hAnsi="Calibri"/>
                <w:b w:val="0"/>
                <w:color w:val="1F2328"/>
                <w:sz w:val="16"/>
              </w:rPr>
              <w:t>PostgreSQL is transaction truth; derived stores rebuild from events</w:t>
            </w:r>
          </w:p>
        </w:tc>
      </w:tr>
      <w:tr>
        <w:trPr>
          <w:trHeight w:hRule="atLeast"/>
          <w:cantSplit/>
          <w:cantSplit/>
          <w:cantSplit/>
        </w:trPr>
        <w:tc>
          <w:tcPr>
            <w:tcW w:type="dxa" w:w="1400"/>
            <w:vAlign w:val="top"/>
            <w:tcMar>
              <w:top w:w="80" w:type="dxa"/>
              <w:start w:w="120" w:type="dxa"/>
              <w:bottom w:w="80" w:type="dxa"/>
              <w:end w:w="120" w:type="dxa"/>
            </w:tcMar>
          </w:tcPr>
          <w:p>
            <w:pPr>
              <w:spacing w:before="0" w:after="40" w:line="240" w:lineRule="auto"/>
            </w:pPr>
            <w:r>
              <w:rPr>
                <w:rFonts w:ascii="Calibri" w:hAnsi="Calibri"/>
                <w:b w:val="0"/>
                <w:color w:val="1F2328"/>
                <w:sz w:val="16"/>
              </w:rPr>
              <w:t>External ecosystem</w:t>
            </w:r>
          </w:p>
        </w:tc>
        <w:tc>
          <w:tcPr>
            <w:tcW w:type="dxa" w:w="4500"/>
            <w:vAlign w:val="top"/>
            <w:tcMar>
              <w:top w:w="80" w:type="dxa"/>
              <w:start w:w="120" w:type="dxa"/>
              <w:bottom w:w="80" w:type="dxa"/>
              <w:end w:w="120" w:type="dxa"/>
            </w:tcMar>
          </w:tcPr>
          <w:p>
            <w:pPr>
              <w:spacing w:before="0" w:after="40" w:line="240" w:lineRule="auto"/>
            </w:pPr>
            <w:r>
              <w:rPr>
                <w:rFonts w:ascii="Calibri" w:hAnsi="Calibri"/>
                <w:b w:val="0"/>
                <w:color w:val="1F2328"/>
                <w:sz w:val="16"/>
              </w:rPr>
              <w:t>OEM, lender, bureau, tax, payment, DMV/title, marketplaces, communications, accounting exports</w:t>
            </w:r>
          </w:p>
        </w:tc>
        <w:tc>
          <w:tcPr>
            <w:tcW w:type="dxa" w:w="3460"/>
            <w:vAlign w:val="top"/>
            <w:tcMar>
              <w:top w:w="80" w:type="dxa"/>
              <w:start w:w="120" w:type="dxa"/>
              <w:bottom w:w="80" w:type="dxa"/>
              <w:end w:w="120" w:type="dxa"/>
            </w:tcMar>
          </w:tcPr>
          <w:p>
            <w:pPr>
              <w:spacing w:before="0" w:after="40" w:line="240" w:lineRule="auto"/>
            </w:pPr>
            <w:r>
              <w:rPr>
                <w:rFonts w:ascii="Calibri" w:hAnsi="Calibri"/>
                <w:b w:val="0"/>
                <w:color w:val="1F2328"/>
                <w:sz w:val="16"/>
              </w:rPr>
              <w:t>Adapters behind versioned ports; health, replay, and reconciliation are first-class</w:t>
            </w:r>
          </w:p>
        </w:tc>
      </w:tr>
    </w:tbl>
    <w:p>
      <w:pPr>
        <w:spacing w:after="0"/>
      </w:pPr>
    </w:p>
    <w:p>
      <w:pPr>
        <w:pStyle w:val="Heading2"/>
      </w:pPr>
      <w:r>
        <w:t>6.3 Why not microservices now</w:t>
      </w:r>
    </w:p>
    <w:p>
      <w:pPr>
        <w:spacing w:before="0" w:after="120" w:line="264" w:lineRule="auto"/>
      </w:pPr>
      <w:r>
        <w:rPr>
          <w:rFonts w:ascii="Calibri" w:hAnsi="Calibri"/>
          <w:b w:val="0"/>
          <w:i w:val="0"/>
          <w:color w:val="1F2328"/>
        </w:rPr>
        <w:t>The product needs domain discovery and consistent transaction boundaries more than independent deployments. Premature services would add distributed failures, duplicated identity, event drift, and support burden before the team has stable ownership. The modular monolith must still enforce extraction-ready seams.</w:t>
      </w:r>
    </w:p>
    <w:p>
      <w:pPr>
        <w:pStyle w:val="ListBullet"/>
      </w:pPr>
      <w:r>
        <w:t>Each module owns its tables, commands, queries, policies, and published events.</w:t>
      </w:r>
    </w:p>
    <w:p>
      <w:pPr>
        <w:pStyle w:val="ListBullet"/>
      </w:pPr>
      <w:r>
        <w:t>Cross-module reads use published query interfaces or projections; cross-module writes use commands/events.</w:t>
      </w:r>
    </w:p>
    <w:p>
      <w:pPr>
        <w:pStyle w:val="ListBullet"/>
      </w:pPr>
      <w:r>
        <w:t>No module may import another module’s database repository.</w:t>
      </w:r>
    </w:p>
    <w:p>
      <w:pPr>
        <w:pStyle w:val="ListBullet"/>
      </w:pPr>
      <w:r>
        <w:t>Outbox schemas and external API contracts are versioned from day one.</w:t>
      </w:r>
    </w:p>
    <w:p>
      <w:pPr>
        <w:pStyle w:val="ListBullet"/>
      </w:pPr>
      <w:r>
        <w:t>Extract only when a module has independent scale, availability, regulatory isolation, or team ownership—and an observed problem that extraction solves.</w:t>
      </w:r>
    </w:p>
    <w:p>
      <w:pPr>
        <w:pStyle w:val="Heading2"/>
      </w:pPr>
      <w:r>
        <w:t>6.4 Recommended technology baseline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600"/>
        <w:gridCol w:w="5000"/>
        <w:gridCol w:w="2760"/>
      </w:tblGrid>
      <w:tr>
        <w:trPr>
          <w:cantSplit/>
          <w:tblHeader w:val="true"/>
        </w:trPr>
        <w:tc>
          <w:tcPr>
            <w:tcW w:type="dxa" w:w="1600"/>
            <w:tcMar>
              <w:top w:w="80" w:type="dxa"/>
              <w:start w:w="120" w:type="dxa"/>
              <w:bottom w:w="80" w:type="dxa"/>
              <w:end w:w="120" w:type="dxa"/>
            </w:tcMar>
            <w:shd w:fill="F2F4F7"/>
            <w:vAlign w:val="center"/>
          </w:tcPr>
          <w:p>
            <w:pPr>
              <w:keepNext/>
              <w:spacing w:after="0"/>
            </w:pPr>
            <w:r>
              <w:rPr>
                <w:rFonts w:ascii="Calibri" w:hAnsi="Calibri"/>
                <w:b/>
                <w:color w:val="0B2545"/>
                <w:sz w:val="15"/>
              </w:rPr>
              <w:t>Concern</w:t>
            </w:r>
          </w:p>
        </w:tc>
        <w:tc>
          <w:tcPr>
            <w:tcW w:type="dxa" w:w="5000"/>
            <w:tcMar>
              <w:top w:w="80" w:type="dxa"/>
              <w:start w:w="120" w:type="dxa"/>
              <w:bottom w:w="80" w:type="dxa"/>
              <w:end w:w="120" w:type="dxa"/>
            </w:tcMar>
            <w:shd w:fill="F2F4F7"/>
            <w:vAlign w:val="center"/>
          </w:tcPr>
          <w:p>
            <w:pPr>
              <w:keepNext/>
              <w:spacing w:after="0"/>
            </w:pPr>
            <w:r>
              <w:rPr>
                <w:rFonts w:ascii="Calibri" w:hAnsi="Calibri"/>
                <w:b/>
                <w:color w:val="0B2545"/>
                <w:sz w:val="15"/>
              </w:rPr>
              <w:t>Baseline</w:t>
            </w:r>
          </w:p>
        </w:tc>
        <w:tc>
          <w:tcPr>
            <w:tcW w:type="dxa" w:w="2760"/>
            <w:tcMar>
              <w:top w:w="80" w:type="dxa"/>
              <w:start w:w="120" w:type="dxa"/>
              <w:bottom w:w="80" w:type="dxa"/>
              <w:end w:w="120" w:type="dxa"/>
            </w:tcMar>
            <w:shd w:fill="F2F4F7"/>
            <w:vAlign w:val="center"/>
          </w:tcPr>
          <w:p>
            <w:pPr>
              <w:keepNext/>
              <w:spacing w:after="0"/>
            </w:pPr>
            <w:r>
              <w:rPr>
                <w:rFonts w:ascii="Calibri" w:hAnsi="Calibri"/>
                <w:b/>
                <w:color w:val="0B2545"/>
                <w:sz w:val="15"/>
              </w:rPr>
              <w:t>Decision note</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Repository</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TypeScript monorepo with apps/web, apps/api, apps/workers, packages/contracts, packages/domain, packages/ui, infra</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Keep language continuity; enforce boundaries</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API</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Node LTS + TypeScript strict mode; Fastify or disciplined Express; Zod/TypeBox; OpenAPI 3.1</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Do not rewrite solely for framework fashion</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Database</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Managed PostgreSQL with RLS, PITR, read replicas as needed; PgBouncer</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Transaction system of record</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Async</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Postgres outbox + managed queue initially; Kafka only when throughput/ecosystem justifies</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Avoid dual-write loss</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Cache/idempotency</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Managed Redis with explicit TTL and eviction policy</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Never authoritative for business truth</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Artifacts</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Versioned encrypted object storage with malware scan and legal holds</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Documents/photos/signatures are referenced evidence</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Search</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PostgreSQL first; managed OpenSearch when relevance/scale is proven</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Derived and rebuildable</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Analytics</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CDC/event-fed warehouse with semantic metrics layer</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No reporting queries against OLTP at scale</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Cloud</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Managed containers, IaC, private networking, KMS/secrets, multi-AZ</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Provider choice is secondary to control objectives</w:t>
            </w:r>
          </w:p>
        </w:tc>
      </w:tr>
      <w:tr>
        <w:trPr>
          <w:trHeight w:hRule="atLeast"/>
          <w:cantSplit/>
          <w:cantSplit/>
          <w:cantSplit/>
        </w:trPr>
        <w:tc>
          <w:tcPr>
            <w:tcW w:type="dxa" w:w="1600"/>
            <w:vAlign w:val="top"/>
            <w:tcMar>
              <w:top w:w="80" w:type="dxa"/>
              <w:start w:w="120" w:type="dxa"/>
              <w:bottom w:w="80" w:type="dxa"/>
              <w:end w:w="120" w:type="dxa"/>
            </w:tcMar>
          </w:tcPr>
          <w:p>
            <w:pPr>
              <w:spacing w:before="0" w:after="40" w:line="240" w:lineRule="auto"/>
            </w:pPr>
            <w:r>
              <w:rPr>
                <w:rFonts w:ascii="Calibri" w:hAnsi="Calibri"/>
                <w:b w:val="0"/>
                <w:color w:val="1F2328"/>
                <w:sz w:val="15"/>
              </w:rPr>
              <w:t>Delivery</w:t>
            </w:r>
          </w:p>
        </w:tc>
        <w:tc>
          <w:tcPr>
            <w:tcW w:type="dxa" w:w="5000"/>
            <w:vAlign w:val="top"/>
            <w:tcMar>
              <w:top w:w="80" w:type="dxa"/>
              <w:start w:w="120" w:type="dxa"/>
              <w:bottom w:w="80" w:type="dxa"/>
              <w:end w:w="120" w:type="dxa"/>
            </w:tcMar>
          </w:tcPr>
          <w:p>
            <w:pPr>
              <w:spacing w:before="0" w:after="40" w:line="240" w:lineRule="auto"/>
            </w:pPr>
            <w:r>
              <w:rPr>
                <w:rFonts w:ascii="Calibri" w:hAnsi="Calibri"/>
                <w:b w:val="0"/>
                <w:color w:val="1F2328"/>
                <w:sz w:val="15"/>
              </w:rPr>
              <w:t>Trunk-based CI, preview environments, signed images/SBOM, progressive deployment</w:t>
            </w:r>
          </w:p>
        </w:tc>
        <w:tc>
          <w:tcPr>
            <w:tcW w:type="dxa" w:w="2760"/>
            <w:vAlign w:val="top"/>
            <w:tcMar>
              <w:top w:w="80" w:type="dxa"/>
              <w:start w:w="120" w:type="dxa"/>
              <w:bottom w:w="80" w:type="dxa"/>
              <w:end w:w="120" w:type="dxa"/>
            </w:tcMar>
          </w:tcPr>
          <w:p>
            <w:pPr>
              <w:spacing w:before="0" w:after="40" w:line="240" w:lineRule="auto"/>
            </w:pPr>
            <w:r>
              <w:rPr>
                <w:rFonts w:ascii="Calibri" w:hAnsi="Calibri"/>
                <w:b w:val="0"/>
                <w:color w:val="1F2328"/>
                <w:sz w:val="15"/>
              </w:rPr>
              <w:t>Every release produces evidence</w:t>
            </w:r>
          </w:p>
        </w:tc>
      </w:tr>
    </w:tbl>
    <w:p>
      <w:pPr>
        <w:spacing w:after="0"/>
      </w:pPr>
    </w:p>
    <w:p>
      <w:r>
        <w:br w:type="page"/>
      </w:r>
    </w:p>
    <w:p>
      <w:pPr>
        <w:pStyle w:val="Heading1"/>
      </w:pPr>
      <w:r>
        <w:t>7. Platform Kernel</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790"/>
        <w:gridCol w:w="4700"/>
        <w:gridCol w:w="2870"/>
      </w:tblGrid>
      <w:tr>
        <w:trPr>
          <w:cantSplit/>
          <w:tblHeader w:val="true"/>
        </w:trPr>
        <w:tc>
          <w:tcPr>
            <w:tcW w:type="dxa" w:w="1790"/>
            <w:tcMar>
              <w:top w:w="80" w:type="dxa"/>
              <w:start w:w="120" w:type="dxa"/>
              <w:bottom w:w="80" w:type="dxa"/>
              <w:end w:w="120" w:type="dxa"/>
            </w:tcMar>
            <w:shd w:fill="F2F4F7"/>
            <w:vAlign w:val="center"/>
          </w:tcPr>
          <w:p>
            <w:pPr>
              <w:keepNext/>
              <w:spacing w:after="0"/>
            </w:pPr>
            <w:r>
              <w:rPr>
                <w:rFonts w:ascii="Calibri" w:hAnsi="Calibri"/>
                <w:b/>
                <w:color w:val="0B2545"/>
                <w:sz w:val="15"/>
              </w:rPr>
              <w:t>Kernel module</w:t>
            </w:r>
          </w:p>
        </w:tc>
        <w:tc>
          <w:tcPr>
            <w:tcW w:type="dxa" w:w="4700"/>
            <w:tcMar>
              <w:top w:w="80" w:type="dxa"/>
              <w:start w:w="120" w:type="dxa"/>
              <w:bottom w:w="80" w:type="dxa"/>
              <w:end w:w="120" w:type="dxa"/>
            </w:tcMar>
            <w:shd w:fill="F2F4F7"/>
            <w:vAlign w:val="center"/>
          </w:tcPr>
          <w:p>
            <w:pPr>
              <w:keepNext/>
              <w:spacing w:after="0"/>
            </w:pPr>
            <w:r>
              <w:rPr>
                <w:rFonts w:ascii="Calibri" w:hAnsi="Calibri"/>
                <w:b/>
                <w:color w:val="0B2545"/>
                <w:sz w:val="15"/>
              </w:rPr>
              <w:t>Responsibilities</w:t>
            </w:r>
          </w:p>
        </w:tc>
        <w:tc>
          <w:tcPr>
            <w:tcW w:type="dxa" w:w="2870"/>
            <w:tcMar>
              <w:top w:w="80" w:type="dxa"/>
              <w:start w:w="120" w:type="dxa"/>
              <w:bottom w:w="80" w:type="dxa"/>
              <w:end w:w="120" w:type="dxa"/>
            </w:tcMar>
            <w:shd w:fill="F2F4F7"/>
            <w:vAlign w:val="center"/>
          </w:tcPr>
          <w:p>
            <w:pPr>
              <w:keepNext/>
              <w:spacing w:after="0"/>
            </w:pPr>
            <w:r>
              <w:rPr>
                <w:rFonts w:ascii="Calibri" w:hAnsi="Calibri"/>
                <w:b/>
                <w:color w:val="0B2545"/>
                <w:sz w:val="15"/>
              </w:rPr>
              <w:t>Non-negotiable</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Organization</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Tenant, dealer group, legal entity, rooftop, department, cost center, business calendar, timezone, locale</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Every business record carries immutable tenant plus scoped organization keys</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Identity &amp; access</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OIDC/SAML, MFA/passkeys, SCIM, sessions, devices, roles, ABAC policies, delegated administration</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Assurance and purpose included in sensitive decisions</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Entitlements</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Plans, features, limits, usage meters, trials, overrides, invoices</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SaaS commercial control plane, separate from dealership accounting</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Configuration</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Effective-dated rules, templates, numbering, rates, taxes, OEM/location overrides</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Typed schema, validation, approval, simulation, rollback</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Workflow</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Long-running process state, timers, retries, compensation, human tasks, SLA</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Observable and restartable</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Audit &amp; evidence</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Append-only audit, evidence envelopes, artifact hashes, policy decision, actor/session</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Tamper-evident storage and export</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Documents &amp; e-sign</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Templates, render, version, package, signature, retention, legal hold</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No opaque evidence_refs JSON</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Communications &amp; consent</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Channel preferences, consent purpose, templates, campaigns, delivery/reply events, suppression</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TCPA/CAN-SPAM and customer experience controls</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Integration hub</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Connections, credentials, mappings, jobs, webhooks, replay, reconciliation, partner SLAs</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Adapters never leak provider shapes into core domains</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Observability</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Request/trace IDs, structured logs, metrics, traces, audit correlation, SLOs</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Tenant-safe telemetry with cardinality budgets</w:t>
            </w:r>
          </w:p>
        </w:tc>
      </w:tr>
      <w:tr>
        <w:trPr>
          <w:trHeight w:hRule="atLeast"/>
          <w:cantSplit/>
          <w:cantSplit/>
          <w:cantSplit/>
        </w:trPr>
        <w:tc>
          <w:tcPr>
            <w:tcW w:type="dxa" w:w="1790"/>
            <w:vAlign w:val="top"/>
            <w:tcMar>
              <w:top w:w="80" w:type="dxa"/>
              <w:start w:w="120" w:type="dxa"/>
              <w:bottom w:w="80" w:type="dxa"/>
              <w:end w:w="120" w:type="dxa"/>
            </w:tcMar>
          </w:tcPr>
          <w:p>
            <w:pPr>
              <w:spacing w:before="0" w:after="40" w:line="240" w:lineRule="auto"/>
            </w:pPr>
            <w:r>
              <w:rPr>
                <w:rFonts w:ascii="Calibri" w:hAnsi="Calibri"/>
                <w:b w:val="0"/>
                <w:color w:val="1F2328"/>
                <w:sz w:val="15"/>
              </w:rPr>
              <w:t>Support &amp; operations</w:t>
            </w:r>
          </w:p>
        </w:tc>
        <w:tc>
          <w:tcPr>
            <w:tcW w:type="dxa" w:w="4700"/>
            <w:vAlign w:val="top"/>
            <w:tcMar>
              <w:top w:w="80" w:type="dxa"/>
              <w:start w:w="120" w:type="dxa"/>
              <w:bottom w:w="80" w:type="dxa"/>
              <w:end w:w="120" w:type="dxa"/>
            </w:tcMar>
          </w:tcPr>
          <w:p>
            <w:pPr>
              <w:spacing w:before="0" w:after="40" w:line="240" w:lineRule="auto"/>
            </w:pPr>
            <w:r>
              <w:rPr>
                <w:rFonts w:ascii="Calibri" w:hAnsi="Calibri"/>
                <w:b w:val="0"/>
                <w:color w:val="1F2328"/>
                <w:sz w:val="15"/>
              </w:rPr>
              <w:t>Support cases, approved impersonation, data export, tenant health, migration controls</w:t>
            </w:r>
          </w:p>
        </w:tc>
        <w:tc>
          <w:tcPr>
            <w:tcW w:type="dxa" w:w="2870"/>
            <w:vAlign w:val="top"/>
            <w:tcMar>
              <w:top w:w="80" w:type="dxa"/>
              <w:start w:w="120" w:type="dxa"/>
              <w:bottom w:w="80" w:type="dxa"/>
              <w:end w:w="120" w:type="dxa"/>
            </w:tcMar>
          </w:tcPr>
          <w:p>
            <w:pPr>
              <w:spacing w:before="0" w:after="40" w:line="240" w:lineRule="auto"/>
            </w:pPr>
            <w:r>
              <w:rPr>
                <w:rFonts w:ascii="Calibri" w:hAnsi="Calibri"/>
                <w:b w:val="0"/>
                <w:color w:val="1F2328"/>
                <w:sz w:val="15"/>
              </w:rPr>
              <w:t>Every privileged support action is justified and audited</w:t>
            </w:r>
          </w:p>
        </w:tc>
      </w:tr>
    </w:tbl>
    <w:p>
      <w:pPr>
        <w:spacing w:after="0"/>
      </w:pPr>
    </w:p>
    <w:p>
      <w:pPr>
        <w:pStyle w:val="Heading2"/>
      </w:pPr>
      <w:r>
        <w:t>7.1 Tenant isolation model</w:t>
      </w:r>
    </w:p>
    <w:p>
      <w:pPr>
        <w:pStyle w:val="ListBullet"/>
      </w:pPr>
      <w:r>
        <w:t>Set tenant context on every database transaction using a server-controlled session variable; never accept it from request payloads.</w:t>
      </w:r>
    </w:p>
    <w:p>
      <w:pPr>
        <w:pStyle w:val="ListBullet"/>
      </w:pPr>
      <w:r>
        <w:t>Enable PostgreSQL RLS on all tenant-owned tables with deny-by-default policies.</w:t>
      </w:r>
    </w:p>
    <w:p>
      <w:pPr>
        <w:pStyle w:val="ListBullet"/>
      </w:pPr>
      <w:r>
        <w:t>Use composite keys and foreign keys that include tenant_id so a child cannot reference another tenant’s parent—even through direct SQL.</w:t>
      </w:r>
    </w:p>
    <w:p>
      <w:pPr>
        <w:pStyle w:val="ListBullet"/>
      </w:pPr>
      <w:r>
        <w:t>Partition operational roles by tenant, legal entity, rooftop, department, resource, and action; layer attributes for amount thresholds and sensitive purposes.</w:t>
      </w:r>
    </w:p>
    <w:p>
      <w:pPr>
        <w:pStyle w:val="ListBullet"/>
      </w:pPr>
      <w:r>
        <w:t>Run automated tenant-escape mutation tests that remove application predicates and prove the database still denies access.</w:t>
      </w:r>
    </w:p>
    <w:p>
      <w:pPr>
        <w:pStyle w:val="ListBullet"/>
      </w:pPr>
      <w:r>
        <w:t>Keep support access outside ordinary dealer roles: approval, reason, expiration, visible banner, full audit, and customer-configurable restrictions.</w:t>
      </w:r>
    </w:p>
    <w:p>
      <w:pPr>
        <w:pStyle w:val="Heading2"/>
      </w:pPr>
      <w:r>
        <w:t>7.2 Configuration model</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850"/>
        <w:gridCol w:w="3680"/>
        <w:gridCol w:w="3830"/>
      </w:tblGrid>
      <w:tr>
        <w:trPr>
          <w:cantSplit/>
          <w:tblHeader w:val="true"/>
        </w:trPr>
        <w:tc>
          <w:tcPr>
            <w:tcW w:type="dxa" w:w="1850"/>
            <w:tcMar>
              <w:top w:w="80" w:type="dxa"/>
              <w:start w:w="120" w:type="dxa"/>
              <w:bottom w:w="80" w:type="dxa"/>
              <w:end w:w="120" w:type="dxa"/>
            </w:tcMar>
            <w:shd w:fill="F2F4F7"/>
            <w:vAlign w:val="center"/>
          </w:tcPr>
          <w:p>
            <w:pPr>
              <w:keepNext/>
              <w:spacing w:after="0"/>
            </w:pPr>
            <w:r>
              <w:rPr>
                <w:rFonts w:ascii="Calibri" w:hAnsi="Calibri"/>
                <w:b/>
                <w:color w:val="0B2545"/>
                <w:sz w:val="17"/>
              </w:rPr>
              <w:t>Configuration class</w:t>
            </w:r>
          </w:p>
        </w:tc>
        <w:tc>
          <w:tcPr>
            <w:tcW w:type="dxa" w:w="3680"/>
            <w:tcMar>
              <w:top w:w="80" w:type="dxa"/>
              <w:start w:w="120" w:type="dxa"/>
              <w:bottom w:w="80" w:type="dxa"/>
              <w:end w:w="120" w:type="dxa"/>
            </w:tcMar>
            <w:shd w:fill="F2F4F7"/>
            <w:vAlign w:val="center"/>
          </w:tcPr>
          <w:p>
            <w:pPr>
              <w:keepNext/>
              <w:spacing w:after="0"/>
            </w:pPr>
            <w:r>
              <w:rPr>
                <w:rFonts w:ascii="Calibri" w:hAnsi="Calibri"/>
                <w:b/>
                <w:color w:val="0B2545"/>
                <w:sz w:val="17"/>
              </w:rPr>
              <w:t>Examples</w:t>
            </w:r>
          </w:p>
        </w:tc>
        <w:tc>
          <w:tcPr>
            <w:tcW w:type="dxa" w:w="3830"/>
            <w:tcMar>
              <w:top w:w="80" w:type="dxa"/>
              <w:start w:w="120" w:type="dxa"/>
              <w:bottom w:w="80" w:type="dxa"/>
              <w:end w:w="120" w:type="dxa"/>
            </w:tcMar>
            <w:shd w:fill="F2F4F7"/>
            <w:vAlign w:val="center"/>
          </w:tcPr>
          <w:p>
            <w:pPr>
              <w:keepNext/>
              <w:spacing w:after="0"/>
            </w:pPr>
            <w:r>
              <w:rPr>
                <w:rFonts w:ascii="Calibri" w:hAnsi="Calibri"/>
                <w:b/>
                <w:color w:val="0B2545"/>
                <w:sz w:val="17"/>
              </w:rPr>
              <w:t>Rules</w:t>
            </w:r>
          </w:p>
        </w:tc>
      </w:tr>
      <w:tr>
        <w:trPr>
          <w:trHeight w:hRule="atLeast"/>
          <w:cantSplit/>
          <w:cantSplit/>
          <w:cantSplit/>
        </w:trPr>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7"/>
              </w:rPr>
              <w:t>Commercial</w:t>
            </w:r>
          </w:p>
        </w:tc>
        <w:tc>
          <w:tcPr>
            <w:tcW w:type="dxa" w:w="3680"/>
            <w:vAlign w:val="top"/>
            <w:tcMar>
              <w:top w:w="80" w:type="dxa"/>
              <w:start w:w="120" w:type="dxa"/>
              <w:bottom w:w="80" w:type="dxa"/>
              <w:end w:w="120" w:type="dxa"/>
            </w:tcMar>
          </w:tcPr>
          <w:p>
            <w:pPr>
              <w:spacing w:before="0" w:after="40" w:line="240" w:lineRule="auto"/>
            </w:pPr>
            <w:r>
              <w:rPr>
                <w:rFonts w:ascii="Calibri" w:hAnsi="Calibri"/>
                <w:b w:val="0"/>
                <w:color w:val="1F2328"/>
                <w:sz w:val="17"/>
              </w:rPr>
              <w:t>Plan, modules, user/rooftop/transaction limits</w:t>
            </w:r>
          </w:p>
        </w:tc>
        <w:tc>
          <w:tcPr>
            <w:tcW w:type="dxa" w:w="3830"/>
            <w:vAlign w:val="top"/>
            <w:tcMar>
              <w:top w:w="80" w:type="dxa"/>
              <w:start w:w="120" w:type="dxa"/>
              <w:bottom w:w="80" w:type="dxa"/>
              <w:end w:w="120" w:type="dxa"/>
            </w:tcMar>
          </w:tcPr>
          <w:p>
            <w:pPr>
              <w:spacing w:before="0" w:after="40" w:line="240" w:lineRule="auto"/>
            </w:pPr>
            <w:r>
              <w:rPr>
                <w:rFonts w:ascii="Calibri" w:hAnsi="Calibri"/>
                <w:b w:val="0"/>
                <w:color w:val="1F2328"/>
                <w:sz w:val="17"/>
              </w:rPr>
              <w:t>Control-plane owned; metered; auditable</w:t>
            </w:r>
          </w:p>
        </w:tc>
      </w:tr>
      <w:tr>
        <w:trPr>
          <w:trHeight w:hRule="atLeast"/>
          <w:cantSplit/>
          <w:cantSplit/>
          <w:cantSplit/>
        </w:trPr>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7"/>
              </w:rPr>
              <w:t>Operational</w:t>
            </w:r>
          </w:p>
        </w:tc>
        <w:tc>
          <w:tcPr>
            <w:tcW w:type="dxa" w:w="3680"/>
            <w:vAlign w:val="top"/>
            <w:tcMar>
              <w:top w:w="80" w:type="dxa"/>
              <w:start w:w="120" w:type="dxa"/>
              <w:bottom w:w="80" w:type="dxa"/>
              <w:end w:w="120" w:type="dxa"/>
            </w:tcMar>
          </w:tcPr>
          <w:p>
            <w:pPr>
              <w:spacing w:before="0" w:after="40" w:line="240" w:lineRule="auto"/>
            </w:pPr>
            <w:r>
              <w:rPr>
                <w:rFonts w:ascii="Calibri" w:hAnsi="Calibri"/>
                <w:b w:val="0"/>
                <w:color w:val="1F2328"/>
                <w:sz w:val="17"/>
              </w:rPr>
              <w:t>Hours, calendars, bays, technician skills, dispatch rules</w:t>
            </w:r>
          </w:p>
        </w:tc>
        <w:tc>
          <w:tcPr>
            <w:tcW w:type="dxa" w:w="3830"/>
            <w:vAlign w:val="top"/>
            <w:tcMar>
              <w:top w:w="80" w:type="dxa"/>
              <w:start w:w="120" w:type="dxa"/>
              <w:bottom w:w="80" w:type="dxa"/>
              <w:end w:w="120" w:type="dxa"/>
            </w:tcMar>
          </w:tcPr>
          <w:p>
            <w:pPr>
              <w:spacing w:before="0" w:after="40" w:line="240" w:lineRule="auto"/>
            </w:pPr>
            <w:r>
              <w:rPr>
                <w:rFonts w:ascii="Calibri" w:hAnsi="Calibri"/>
                <w:b w:val="0"/>
                <w:color w:val="1F2328"/>
                <w:sz w:val="17"/>
              </w:rPr>
              <w:t>Rooftop-effective; simulation before activation</w:t>
            </w:r>
          </w:p>
        </w:tc>
      </w:tr>
      <w:tr>
        <w:trPr>
          <w:trHeight w:hRule="atLeast"/>
          <w:cantSplit/>
          <w:cantSplit/>
          <w:cantSplit/>
        </w:trPr>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7"/>
              </w:rPr>
              <w:t>Financial</w:t>
            </w:r>
          </w:p>
        </w:tc>
        <w:tc>
          <w:tcPr>
            <w:tcW w:type="dxa" w:w="3680"/>
            <w:vAlign w:val="top"/>
            <w:tcMar>
              <w:top w:w="80" w:type="dxa"/>
              <w:start w:w="120" w:type="dxa"/>
              <w:bottom w:w="80" w:type="dxa"/>
              <w:end w:w="120" w:type="dxa"/>
            </w:tcMar>
          </w:tcPr>
          <w:p>
            <w:pPr>
              <w:spacing w:before="0" w:after="40" w:line="240" w:lineRule="auto"/>
            </w:pPr>
            <w:r>
              <w:rPr>
                <w:rFonts w:ascii="Calibri" w:hAnsi="Calibri"/>
                <w:b w:val="0"/>
                <w:color w:val="1F2328"/>
                <w:sz w:val="17"/>
              </w:rPr>
              <w:t>Labor rates, markups, taxes, fees, rounding, account mappings</w:t>
            </w:r>
          </w:p>
        </w:tc>
        <w:tc>
          <w:tcPr>
            <w:tcW w:type="dxa" w:w="3830"/>
            <w:vAlign w:val="top"/>
            <w:tcMar>
              <w:top w:w="80" w:type="dxa"/>
              <w:start w:w="120" w:type="dxa"/>
              <w:bottom w:w="80" w:type="dxa"/>
              <w:end w:w="120" w:type="dxa"/>
            </w:tcMar>
          </w:tcPr>
          <w:p>
            <w:pPr>
              <w:spacing w:before="0" w:after="40" w:line="240" w:lineRule="auto"/>
            </w:pPr>
            <w:r>
              <w:rPr>
                <w:rFonts w:ascii="Calibri" w:hAnsi="Calibri"/>
                <w:b w:val="0"/>
                <w:color w:val="1F2328"/>
                <w:sz w:val="17"/>
              </w:rPr>
              <w:t>Four-eyes approval; immutable effective versions</w:t>
            </w:r>
          </w:p>
        </w:tc>
      </w:tr>
      <w:tr>
        <w:trPr>
          <w:trHeight w:hRule="atLeast"/>
          <w:cantSplit/>
          <w:cantSplit/>
          <w:cantSplit/>
        </w:trPr>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7"/>
              </w:rPr>
              <w:t>Compliance</w:t>
            </w:r>
          </w:p>
        </w:tc>
        <w:tc>
          <w:tcPr>
            <w:tcW w:type="dxa" w:w="3680"/>
            <w:vAlign w:val="top"/>
            <w:tcMar>
              <w:top w:w="80" w:type="dxa"/>
              <w:start w:w="120" w:type="dxa"/>
              <w:bottom w:w="80" w:type="dxa"/>
              <w:end w:w="120" w:type="dxa"/>
            </w:tcMar>
          </w:tcPr>
          <w:p>
            <w:pPr>
              <w:spacing w:before="0" w:after="40" w:line="240" w:lineRule="auto"/>
            </w:pPr>
            <w:r>
              <w:rPr>
                <w:rFonts w:ascii="Calibri" w:hAnsi="Calibri"/>
                <w:b w:val="0"/>
                <w:color w:val="1F2328"/>
                <w:sz w:val="17"/>
              </w:rPr>
              <w:t>Retention, consent, notice templates, risk rules, jurisdiction</w:t>
            </w:r>
          </w:p>
        </w:tc>
        <w:tc>
          <w:tcPr>
            <w:tcW w:type="dxa" w:w="3830"/>
            <w:vAlign w:val="top"/>
            <w:tcMar>
              <w:top w:w="80" w:type="dxa"/>
              <w:start w:w="120" w:type="dxa"/>
              <w:bottom w:w="80" w:type="dxa"/>
              <w:end w:w="120" w:type="dxa"/>
            </w:tcMar>
          </w:tcPr>
          <w:p>
            <w:pPr>
              <w:spacing w:before="0" w:after="40" w:line="240" w:lineRule="auto"/>
            </w:pPr>
            <w:r>
              <w:rPr>
                <w:rFonts w:ascii="Calibri" w:hAnsi="Calibri"/>
                <w:b w:val="0"/>
                <w:color w:val="1F2328"/>
                <w:sz w:val="17"/>
              </w:rPr>
              <w:t>Policy owner and legal basis recorded</w:t>
            </w:r>
          </w:p>
        </w:tc>
      </w:tr>
      <w:tr>
        <w:trPr>
          <w:trHeight w:hRule="atLeast"/>
          <w:cantSplit/>
          <w:cantSplit/>
          <w:cantSplit/>
        </w:trPr>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7"/>
              </w:rPr>
              <w:t>OEM/provider</w:t>
            </w:r>
          </w:p>
        </w:tc>
        <w:tc>
          <w:tcPr>
            <w:tcW w:type="dxa" w:w="3680"/>
            <w:vAlign w:val="top"/>
            <w:tcMar>
              <w:top w:w="80" w:type="dxa"/>
              <w:start w:w="120" w:type="dxa"/>
              <w:bottom w:w="80" w:type="dxa"/>
              <w:end w:w="120" w:type="dxa"/>
            </w:tcMar>
          </w:tcPr>
          <w:p>
            <w:pPr>
              <w:spacing w:before="0" w:after="40" w:line="240" w:lineRule="auto"/>
            </w:pPr>
            <w:r>
              <w:rPr>
                <w:rFonts w:ascii="Calibri" w:hAnsi="Calibri"/>
                <w:b w:val="0"/>
                <w:color w:val="1F2328"/>
                <w:sz w:val="17"/>
              </w:rPr>
              <w:t>Warranty codes, op codes, document packages, connection mappings</w:t>
            </w:r>
          </w:p>
        </w:tc>
        <w:tc>
          <w:tcPr>
            <w:tcW w:type="dxa" w:w="3830"/>
            <w:vAlign w:val="top"/>
            <w:tcMar>
              <w:top w:w="80" w:type="dxa"/>
              <w:start w:w="120" w:type="dxa"/>
              <w:bottom w:w="80" w:type="dxa"/>
              <w:end w:w="120" w:type="dxa"/>
            </w:tcMar>
          </w:tcPr>
          <w:p>
            <w:pPr>
              <w:spacing w:before="0" w:after="40" w:line="240" w:lineRule="auto"/>
            </w:pPr>
            <w:r>
              <w:rPr>
                <w:rFonts w:ascii="Calibri" w:hAnsi="Calibri"/>
                <w:b w:val="0"/>
                <w:color w:val="1F2328"/>
                <w:sz w:val="17"/>
              </w:rPr>
              <w:t>Adapter-specific validation and certification version</w:t>
            </w:r>
          </w:p>
        </w:tc>
      </w:tr>
      <w:tr>
        <w:trPr>
          <w:trHeight w:hRule="atLeast"/>
          <w:cantSplit/>
          <w:cantSplit/>
          <w:cantSplit/>
        </w:trPr>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7"/>
              </w:rPr>
              <w:t>Experience</w:t>
            </w:r>
          </w:p>
        </w:tc>
        <w:tc>
          <w:tcPr>
            <w:tcW w:type="dxa" w:w="3680"/>
            <w:vAlign w:val="top"/>
            <w:tcMar>
              <w:top w:w="80" w:type="dxa"/>
              <w:start w:w="120" w:type="dxa"/>
              <w:bottom w:w="80" w:type="dxa"/>
              <w:end w:w="120" w:type="dxa"/>
            </w:tcMar>
          </w:tcPr>
          <w:p>
            <w:pPr>
              <w:spacing w:before="0" w:after="40" w:line="240" w:lineRule="auto"/>
            </w:pPr>
            <w:r>
              <w:rPr>
                <w:rFonts w:ascii="Calibri" w:hAnsi="Calibri"/>
                <w:b w:val="0"/>
                <w:color w:val="1F2328"/>
                <w:sz w:val="17"/>
              </w:rPr>
              <w:t>Brand, locale, templates, portal features</w:t>
            </w:r>
          </w:p>
        </w:tc>
        <w:tc>
          <w:tcPr>
            <w:tcW w:type="dxa" w:w="3830"/>
            <w:vAlign w:val="top"/>
            <w:tcMar>
              <w:top w:w="80" w:type="dxa"/>
              <w:start w:w="120" w:type="dxa"/>
              <w:bottom w:w="80" w:type="dxa"/>
              <w:end w:w="120" w:type="dxa"/>
            </w:tcMar>
          </w:tcPr>
          <w:p>
            <w:pPr>
              <w:spacing w:before="0" w:after="40" w:line="240" w:lineRule="auto"/>
            </w:pPr>
            <w:r>
              <w:rPr>
                <w:rFonts w:ascii="Calibri" w:hAnsi="Calibri"/>
                <w:b w:val="0"/>
                <w:color w:val="1F2328"/>
                <w:sz w:val="17"/>
              </w:rPr>
              <w:t>Accessible defaults; no code forks</w:t>
            </w:r>
          </w:p>
        </w:tc>
      </w:tr>
    </w:tbl>
    <w:p>
      <w:pPr>
        <w:spacing w:after="0"/>
      </w:pPr>
    </w:p>
    <w:p>
      <w:r>
        <w:br w:type="page"/>
      </w:r>
    </w:p>
    <w:p>
      <w:pPr>
        <w:pStyle w:val="Heading1"/>
      </w:pPr>
      <w:r>
        <w:t>8. Dealership Bounded Contexts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900"/>
        <w:gridCol w:w="5560"/>
        <w:gridCol w:w="1900"/>
      </w:tblGrid>
      <w:tr>
        <w:trPr>
          <w:cantSplit/>
          <w:tblHeader w:val="true"/>
        </w:trPr>
        <w:tc>
          <w:tcPr>
            <w:tcW w:type="dxa" w:w="1900"/>
            <w:tcMar>
              <w:top w:w="80" w:type="dxa"/>
              <w:start w:w="120" w:type="dxa"/>
              <w:bottom w:w="80" w:type="dxa"/>
              <w:end w:w="120" w:type="dxa"/>
            </w:tcMar>
            <w:shd w:fill="F2F4F7"/>
            <w:vAlign w:val="center"/>
          </w:tcPr>
          <w:p>
            <w:pPr>
              <w:keepNext/>
              <w:spacing w:after="0"/>
            </w:pPr>
            <w:r>
              <w:rPr>
                <w:rFonts w:ascii="Calibri" w:hAnsi="Calibri"/>
                <w:b/>
                <w:color w:val="0B2545"/>
                <w:sz w:val="15"/>
              </w:rPr>
              <w:t>Context</w:t>
            </w:r>
          </w:p>
        </w:tc>
        <w:tc>
          <w:tcPr>
            <w:tcW w:type="dxa" w:w="5560"/>
            <w:tcMar>
              <w:top w:w="80" w:type="dxa"/>
              <w:start w:w="120" w:type="dxa"/>
              <w:bottom w:w="80" w:type="dxa"/>
              <w:end w:w="120" w:type="dxa"/>
            </w:tcMar>
            <w:shd w:fill="F2F4F7"/>
            <w:vAlign w:val="center"/>
          </w:tcPr>
          <w:p>
            <w:pPr>
              <w:keepNext/>
              <w:spacing w:after="0"/>
            </w:pPr>
            <w:r>
              <w:rPr>
                <w:rFonts w:ascii="Calibri" w:hAnsi="Calibri"/>
                <w:b/>
                <w:color w:val="0B2545"/>
                <w:sz w:val="15"/>
              </w:rPr>
              <w:t>Owns</w:t>
            </w:r>
          </w:p>
        </w:tc>
        <w:tc>
          <w:tcPr>
            <w:tcW w:type="dxa" w:w="1900"/>
            <w:tcMar>
              <w:top w:w="80" w:type="dxa"/>
              <w:start w:w="120" w:type="dxa"/>
              <w:bottom w:w="80" w:type="dxa"/>
              <w:end w:w="120" w:type="dxa"/>
            </w:tcMar>
            <w:shd w:fill="F2F4F7"/>
            <w:vAlign w:val="center"/>
          </w:tcPr>
          <w:p>
            <w:pPr>
              <w:keepNext/>
              <w:spacing w:after="0"/>
            </w:pPr>
            <w:r>
              <w:rPr>
                <w:rFonts w:ascii="Calibri" w:hAnsi="Calibri"/>
                <w:b/>
                <w:color w:val="0B2545"/>
                <w:sz w:val="15"/>
              </w:rPr>
              <w:t>Key relationships</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Party / Customer 360</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Person, business, household, contact points, consent, identity match/merge, relationship</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All journeys</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Vehicle Master</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VIN, decode/build, ownership, mileage, telematics reference, history</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Inventory, sales, service</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Inventory</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Stock unit, acquisition, appraisal, trade, recon, location, merchandising, listing, aging</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Sales, accounting</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CRM / BDC / Marketing</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Lead, opportunity, activity, task, campaign, attribution, appointment</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Sales and service demand</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Sales / Desking</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Quote, deal scenario, payment, trade, incentives, taxes, approvals</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Deal jacket, F&amp;I</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Digital Retail</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Customer identity, saved journey, pricing, trade, credit handoff, checkout</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Sales orchestration</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F&amp;I / Credit</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Application, bureau permission, lender submission/decision, menu, products, contract</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Partner-heavy and regulated</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Deal Jacket / Documents</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Deal version, checklist, document package, signature, funding conditions</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Immutable evidence</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Title / Registration</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Jurisdiction case, fees, forms, status, exceptions</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Provider integrations</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Fixed Operations</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Capacity, appointment, intake, RO, operation, DVI, estimate, authorization, dispatch, QC</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Current repo seed</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Parts</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Catalog/SKU, supersession, bins, on-hand/available, reservation, PO, receipt, transfer, core/return</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Ledger-based</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Warranty</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Eligibility, claim lines, validation, submission, response, recovery, reconciliation</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OEM-certified adapters</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Accounting</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COA, journal, subledgers, AR/AP, cashiering, bank rec, tax, floorplan, consolidation</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Balanced immutable postings</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Workforce</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Employee/profile, skill, certification, schedule, clock, productivity, payroll export</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Identity distinct from HR master</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Compliance / Risk</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Red flags, privacy, sanctions, notices, cash reporting, control evidence</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Policy service; counsel-owned rules</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Analytics / AI</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Semantic metrics, forecasts, recommendations, evaluation, model/prompt governance</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Derived data only</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Integration Ecosystem</w:t>
            </w:r>
          </w:p>
        </w:tc>
        <w:tc>
          <w:tcPr>
            <w:tcW w:type="dxa" w:w="5560"/>
            <w:vAlign w:val="top"/>
            <w:tcMar>
              <w:top w:w="80" w:type="dxa"/>
              <w:start w:w="120" w:type="dxa"/>
              <w:bottom w:w="80" w:type="dxa"/>
              <w:end w:w="120" w:type="dxa"/>
            </w:tcMar>
          </w:tcPr>
          <w:p>
            <w:pPr>
              <w:spacing w:before="0" w:after="40" w:line="240" w:lineRule="auto"/>
            </w:pPr>
            <w:r>
              <w:rPr>
                <w:rFonts w:ascii="Calibri" w:hAnsi="Calibri"/>
                <w:b w:val="0"/>
                <w:color w:val="1F2328"/>
                <w:sz w:val="15"/>
              </w:rPr>
              <w:t>Connection lifecycle, canonical mapping, delivery, replay, certification, marketplace</w:t>
            </w:r>
          </w:p>
        </w:tc>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Contract and reconciliation layer</w:t>
            </w:r>
          </w:p>
        </w:tc>
      </w:tr>
    </w:tbl>
    <w:p>
      <w:pPr>
        <w:spacing w:after="0"/>
      </w:pPr>
    </w:p>
    <w:p>
      <w:pPr>
        <w:pStyle w:val="Heading2"/>
      </w:pPr>
      <w:r>
        <w:t>8.1 Fixed Operations redesign</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100"/>
        <w:gridCol w:w="3620"/>
        <w:gridCol w:w="3640"/>
      </w:tblGrid>
      <w:tr>
        <w:trPr>
          <w:cantSplit/>
          <w:tblHeader w:val="true"/>
        </w:trPr>
        <w:tc>
          <w:tcPr>
            <w:tcW w:type="dxa" w:w="2100"/>
            <w:tcMar>
              <w:top w:w="80" w:type="dxa"/>
              <w:start w:w="120" w:type="dxa"/>
              <w:bottom w:w="80" w:type="dxa"/>
              <w:end w:w="120" w:type="dxa"/>
            </w:tcMar>
            <w:shd w:fill="F2F4F7"/>
            <w:vAlign w:val="center"/>
          </w:tcPr>
          <w:p>
            <w:pPr>
              <w:keepNext/>
              <w:spacing w:after="0"/>
            </w:pPr>
            <w:r>
              <w:rPr>
                <w:rFonts w:ascii="Calibri" w:hAnsi="Calibri"/>
                <w:b/>
                <w:color w:val="0B2545"/>
                <w:sz w:val="16"/>
              </w:rPr>
              <w:t>Aggregate/workflow</w:t>
            </w:r>
          </w:p>
        </w:tc>
        <w:tc>
          <w:tcPr>
            <w:tcW w:type="dxa" w:w="3620"/>
            <w:tcMar>
              <w:top w:w="80" w:type="dxa"/>
              <w:start w:w="120" w:type="dxa"/>
              <w:bottom w:w="80" w:type="dxa"/>
              <w:end w:w="120" w:type="dxa"/>
            </w:tcMar>
            <w:shd w:fill="F2F4F7"/>
            <w:vAlign w:val="center"/>
          </w:tcPr>
          <w:p>
            <w:pPr>
              <w:keepNext/>
              <w:spacing w:after="0"/>
            </w:pPr>
            <w:r>
              <w:rPr>
                <w:rFonts w:ascii="Calibri" w:hAnsi="Calibri"/>
                <w:b/>
                <w:color w:val="0B2545"/>
                <w:sz w:val="16"/>
              </w:rPr>
              <w:t>Lifecycle</w:t>
            </w:r>
          </w:p>
        </w:tc>
        <w:tc>
          <w:tcPr>
            <w:tcW w:type="dxa" w:w="3640"/>
            <w:tcMar>
              <w:top w:w="80" w:type="dxa"/>
              <w:start w:w="120" w:type="dxa"/>
              <w:bottom w:w="80" w:type="dxa"/>
              <w:end w:w="120" w:type="dxa"/>
            </w:tcMar>
            <w:shd w:fill="F2F4F7"/>
            <w:vAlign w:val="center"/>
          </w:tcPr>
          <w:p>
            <w:pPr>
              <w:keepNext/>
              <w:spacing w:after="0"/>
            </w:pPr>
            <w:r>
              <w:rPr>
                <w:rFonts w:ascii="Calibri" w:hAnsi="Calibri"/>
                <w:b/>
                <w:color w:val="0B2545"/>
                <w:sz w:val="16"/>
              </w:rPr>
              <w:t>Required improvement</w:t>
            </w:r>
          </w:p>
        </w:tc>
      </w:tr>
      <w:tr>
        <w:trPr>
          <w:trHeight w:hRule="atLeast"/>
          <w:cantSpli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6"/>
              </w:rPr>
              <w:t>Demand &amp; capacity</w:t>
            </w:r>
          </w:p>
        </w:tc>
        <w:tc>
          <w:tcPr>
            <w:tcW w:type="dxa" w:w="3620"/>
            <w:vAlign w:val="top"/>
            <w:tcMar>
              <w:top w:w="80" w:type="dxa"/>
              <w:start w:w="120" w:type="dxa"/>
              <w:bottom w:w="80" w:type="dxa"/>
              <w:end w:w="120" w:type="dxa"/>
            </w:tcMar>
          </w:tcPr>
          <w:p>
            <w:pPr>
              <w:spacing w:before="0" w:after="40" w:line="240" w:lineRule="auto"/>
            </w:pPr>
            <w:r>
              <w:rPr>
                <w:rFonts w:ascii="Calibri" w:hAnsi="Calibri"/>
                <w:b w:val="0"/>
                <w:color w:val="1F2328"/>
                <w:sz w:val="16"/>
              </w:rPr>
              <w:t>Appointment request → capacity hold → confirmed appointment → arrival</w:t>
            </w:r>
          </w:p>
        </w:tc>
        <w:tc>
          <w:tcPr>
            <w:tcW w:type="dxa" w:w="3640"/>
            <w:vAlign w:val="top"/>
            <w:tcMar>
              <w:top w:w="80" w:type="dxa"/>
              <w:start w:w="120" w:type="dxa"/>
              <w:bottom w:w="80" w:type="dxa"/>
              <w:end w:w="120" w:type="dxa"/>
            </w:tcMar>
          </w:tcPr>
          <w:p>
            <w:pPr>
              <w:spacing w:before="0" w:after="40" w:line="240" w:lineRule="auto"/>
            </w:pPr>
            <w:r>
              <w:rPr>
                <w:rFonts w:ascii="Calibri" w:hAnsi="Calibri"/>
                <w:b w:val="0"/>
                <w:color w:val="1F2328"/>
                <w:sz w:val="16"/>
              </w:rPr>
              <w:t>Skills, bays, technician calendars, transportation, promised time</w:t>
            </w:r>
          </w:p>
        </w:tc>
      </w:tr>
      <w:tr>
        <w:trPr>
          <w:trHeight w:hRule="atLeast"/>
          <w:cantSpli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6"/>
              </w:rPr>
              <w:t>Intake</w:t>
            </w:r>
          </w:p>
        </w:tc>
        <w:tc>
          <w:tcPr>
            <w:tcW w:type="dxa" w:w="3620"/>
            <w:vAlign w:val="top"/>
            <w:tcMar>
              <w:top w:w="80" w:type="dxa"/>
              <w:start w:w="120" w:type="dxa"/>
              <w:bottom w:w="80" w:type="dxa"/>
              <w:end w:w="120" w:type="dxa"/>
            </w:tcMar>
          </w:tcPr>
          <w:p>
            <w:pPr>
              <w:spacing w:before="0" w:after="40" w:line="240" w:lineRule="auto"/>
            </w:pPr>
            <w:r>
              <w:rPr>
                <w:rFonts w:ascii="Calibri" w:hAnsi="Calibri"/>
                <w:b w:val="0"/>
                <w:color w:val="1F2328"/>
                <w:sz w:val="16"/>
              </w:rPr>
              <w:t>Identity/vehicle verification, concerns, walkaround, mileage/fuel, consent, keys</w:t>
            </w:r>
          </w:p>
        </w:tc>
        <w:tc>
          <w:tcPr>
            <w:tcW w:type="dxa" w:w="3640"/>
            <w:vAlign w:val="top"/>
            <w:tcMar>
              <w:top w:w="80" w:type="dxa"/>
              <w:start w:w="120" w:type="dxa"/>
              <w:bottom w:w="80" w:type="dxa"/>
              <w:end w:w="120" w:type="dxa"/>
            </w:tcMar>
          </w:tcPr>
          <w:p>
            <w:pPr>
              <w:spacing w:before="0" w:after="40" w:line="240" w:lineRule="auto"/>
            </w:pPr>
            <w:r>
              <w:rPr>
                <w:rFonts w:ascii="Calibri" w:hAnsi="Calibri"/>
                <w:b w:val="0"/>
                <w:color w:val="1F2328"/>
                <w:sz w:val="16"/>
              </w:rPr>
              <w:t>Photos and damage evidence as immutable artifacts</w:t>
            </w:r>
          </w:p>
        </w:tc>
      </w:tr>
      <w:tr>
        <w:trPr>
          <w:trHeight w:hRule="atLeast"/>
          <w:cantSpli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6"/>
              </w:rPr>
              <w:t>Repair order</w:t>
            </w:r>
          </w:p>
        </w:tc>
        <w:tc>
          <w:tcPr>
            <w:tcW w:type="dxa" w:w="3620"/>
            <w:vAlign w:val="top"/>
            <w:tcMar>
              <w:top w:w="80" w:type="dxa"/>
              <w:start w:w="120" w:type="dxa"/>
              <w:bottom w:w="80" w:type="dxa"/>
              <w:end w:w="120" w:type="dxa"/>
            </w:tcMar>
          </w:tcPr>
          <w:p>
            <w:pPr>
              <w:spacing w:before="0" w:after="40" w:line="240" w:lineRule="auto"/>
            </w:pPr>
            <w:r>
              <w:rPr>
                <w:rFonts w:ascii="Calibri" w:hAnsi="Calibri"/>
                <w:b w:val="0"/>
                <w:color w:val="1F2328"/>
                <w:sz w:val="16"/>
              </w:rPr>
              <w:t>RO plus operation/complaint/cause/correction, pay type, priority, dependencies</w:t>
            </w:r>
          </w:p>
        </w:tc>
        <w:tc>
          <w:tcPr>
            <w:tcW w:type="dxa" w:w="3640"/>
            <w:vAlign w:val="top"/>
            <w:tcMar>
              <w:top w:w="80" w:type="dxa"/>
              <w:start w:w="120" w:type="dxa"/>
              <w:bottom w:w="80" w:type="dxa"/>
              <w:end w:w="120" w:type="dxa"/>
            </w:tcMar>
          </w:tcPr>
          <w:p>
            <w:pPr>
              <w:spacing w:before="0" w:after="40" w:line="240" w:lineRule="auto"/>
            </w:pPr>
            <w:r>
              <w:rPr>
                <w:rFonts w:ascii="Calibri" w:hAnsi="Calibri"/>
                <w:b w:val="0"/>
                <w:color w:val="1F2328"/>
                <w:sz w:val="16"/>
              </w:rPr>
              <w:t>State machine separate from financial document state</w:t>
            </w:r>
          </w:p>
        </w:tc>
      </w:tr>
      <w:tr>
        <w:trPr>
          <w:trHeight w:hRule="atLeast"/>
          <w:cantSpli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6"/>
              </w:rPr>
              <w:t>Inspection</w:t>
            </w:r>
          </w:p>
        </w:tc>
        <w:tc>
          <w:tcPr>
            <w:tcW w:type="dxa" w:w="3620"/>
            <w:vAlign w:val="top"/>
            <w:tcMar>
              <w:top w:w="80" w:type="dxa"/>
              <w:start w:w="120" w:type="dxa"/>
              <w:bottom w:w="80" w:type="dxa"/>
              <w:end w:w="120" w:type="dxa"/>
            </w:tcMar>
          </w:tcPr>
          <w:p>
            <w:pPr>
              <w:spacing w:before="0" w:after="40" w:line="240" w:lineRule="auto"/>
            </w:pPr>
            <w:r>
              <w:rPr>
                <w:rFonts w:ascii="Calibri" w:hAnsi="Calibri"/>
                <w:b w:val="0"/>
                <w:color w:val="1F2328"/>
                <w:sz w:val="16"/>
              </w:rPr>
              <w:t>Versioned template, required items/evidence, severity, recommendation</w:t>
            </w:r>
          </w:p>
        </w:tc>
        <w:tc>
          <w:tcPr>
            <w:tcW w:type="dxa" w:w="3640"/>
            <w:vAlign w:val="top"/>
            <w:tcMar>
              <w:top w:w="80" w:type="dxa"/>
              <w:start w:w="120" w:type="dxa"/>
              <w:bottom w:w="80" w:type="dxa"/>
              <w:end w:w="120" w:type="dxa"/>
            </w:tcMar>
          </w:tcPr>
          <w:p>
            <w:pPr>
              <w:spacing w:before="0" w:after="40" w:line="240" w:lineRule="auto"/>
            </w:pPr>
            <w:r>
              <w:rPr>
                <w:rFonts w:ascii="Calibri" w:hAnsi="Calibri"/>
                <w:b w:val="0"/>
                <w:color w:val="1F2328"/>
                <w:sz w:val="16"/>
              </w:rPr>
              <w:t>Completeness and photo rules enforced before submission</w:t>
            </w:r>
          </w:p>
        </w:tc>
      </w:tr>
      <w:tr>
        <w:trPr>
          <w:trHeight w:hRule="atLeast"/>
          <w:cantSpli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6"/>
              </w:rPr>
              <w:t>Estimate</w:t>
            </w:r>
          </w:p>
        </w:tc>
        <w:tc>
          <w:tcPr>
            <w:tcW w:type="dxa" w:w="3620"/>
            <w:vAlign w:val="top"/>
            <w:tcMar>
              <w:top w:w="80" w:type="dxa"/>
              <w:start w:w="120" w:type="dxa"/>
              <w:bottom w:w="80" w:type="dxa"/>
              <w:end w:w="120" w:type="dxa"/>
            </w:tcMar>
          </w:tcPr>
          <w:p>
            <w:pPr>
              <w:spacing w:before="0" w:after="40" w:line="240" w:lineRule="auto"/>
            </w:pPr>
            <w:r>
              <w:rPr>
                <w:rFonts w:ascii="Calibri" w:hAnsi="Calibri"/>
                <w:b w:val="0"/>
                <w:color w:val="1F2328"/>
                <w:sz w:val="16"/>
              </w:rPr>
              <w:t>Labor, parts, sublet, supplies, fees, discounts, tax, currency, rounding</w:t>
            </w:r>
          </w:p>
        </w:tc>
        <w:tc>
          <w:tcPr>
            <w:tcW w:type="dxa" w:w="3640"/>
            <w:vAlign w:val="top"/>
            <w:tcMar>
              <w:top w:w="80" w:type="dxa"/>
              <w:start w:w="120" w:type="dxa"/>
              <w:bottom w:w="80" w:type="dxa"/>
              <w:end w:w="120" w:type="dxa"/>
            </w:tcMar>
          </w:tcPr>
          <w:p>
            <w:pPr>
              <w:spacing w:before="0" w:after="40" w:line="240" w:lineRule="auto"/>
            </w:pPr>
            <w:r>
              <w:rPr>
                <w:rFonts w:ascii="Calibri" w:hAnsi="Calibri"/>
                <w:b w:val="0"/>
                <w:color w:val="1F2328"/>
                <w:sz w:val="16"/>
              </w:rPr>
              <w:t>Deterministic pricing engine and immutable estimate versions</w:t>
            </w:r>
          </w:p>
        </w:tc>
      </w:tr>
      <w:tr>
        <w:trPr>
          <w:trHeight w:hRule="atLeast"/>
          <w:cantSpli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6"/>
              </w:rPr>
              <w:t>Authorization</w:t>
            </w:r>
          </w:p>
        </w:tc>
        <w:tc>
          <w:tcPr>
            <w:tcW w:type="dxa" w:w="3620"/>
            <w:vAlign w:val="top"/>
            <w:tcMar>
              <w:top w:w="80" w:type="dxa"/>
              <w:start w:w="120" w:type="dxa"/>
              <w:bottom w:w="80" w:type="dxa"/>
              <w:end w:w="120" w:type="dxa"/>
            </w:tcMar>
          </w:tcPr>
          <w:p>
            <w:pPr>
              <w:spacing w:before="0" w:after="40" w:line="240" w:lineRule="auto"/>
            </w:pPr>
            <w:r>
              <w:rPr>
                <w:rFonts w:ascii="Calibri" w:hAnsi="Calibri"/>
                <w:b w:val="0"/>
                <w:color w:val="1F2328"/>
                <w:sz w:val="16"/>
              </w:rPr>
              <w:t>Customer/authorized party approves exact estimate version and scope</w:t>
            </w:r>
          </w:p>
        </w:tc>
        <w:tc>
          <w:tcPr>
            <w:tcW w:type="dxa" w:w="3640"/>
            <w:vAlign w:val="top"/>
            <w:tcMar>
              <w:top w:w="80" w:type="dxa"/>
              <w:start w:w="120" w:type="dxa"/>
              <w:bottom w:w="80" w:type="dxa"/>
              <w:end w:w="120" w:type="dxa"/>
            </w:tcMar>
          </w:tcPr>
          <w:p>
            <w:pPr>
              <w:spacing w:before="0" w:after="40" w:line="240" w:lineRule="auto"/>
            </w:pPr>
            <w:r>
              <w:rPr>
                <w:rFonts w:ascii="Calibri" w:hAnsi="Calibri"/>
                <w:b w:val="0"/>
                <w:color w:val="1F2328"/>
                <w:sz w:val="16"/>
              </w:rPr>
              <w:t>Identity assurance, signature method, artifact hash, timestamp</w:t>
            </w:r>
          </w:p>
        </w:tc>
      </w:tr>
      <w:tr>
        <w:trPr>
          <w:trHeight w:hRule="atLeast"/>
          <w:cantSpli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6"/>
              </w:rPr>
              <w:t>Execution</w:t>
            </w:r>
          </w:p>
        </w:tc>
        <w:tc>
          <w:tcPr>
            <w:tcW w:type="dxa" w:w="3620"/>
            <w:vAlign w:val="top"/>
            <w:tcMar>
              <w:top w:w="80" w:type="dxa"/>
              <w:start w:w="120" w:type="dxa"/>
              <w:bottom w:w="80" w:type="dxa"/>
              <w:end w:w="120" w:type="dxa"/>
            </w:tcMar>
          </w:tcPr>
          <w:p>
            <w:pPr>
              <w:spacing w:before="0" w:after="40" w:line="240" w:lineRule="auto"/>
            </w:pPr>
            <w:r>
              <w:rPr>
                <w:rFonts w:ascii="Calibri" w:hAnsi="Calibri"/>
                <w:b w:val="0"/>
                <w:color w:val="1F2328"/>
                <w:sz w:val="16"/>
              </w:rPr>
              <w:t>Dispatch tickets, time entries, part reservations, sublet orders, blockers</w:t>
            </w:r>
          </w:p>
        </w:tc>
        <w:tc>
          <w:tcPr>
            <w:tcW w:type="dxa" w:w="3640"/>
            <w:vAlign w:val="top"/>
            <w:tcMar>
              <w:top w:w="80" w:type="dxa"/>
              <w:start w:w="120" w:type="dxa"/>
              <w:bottom w:w="80" w:type="dxa"/>
              <w:end w:w="120" w:type="dxa"/>
            </w:tcMar>
          </w:tcPr>
          <w:p>
            <w:pPr>
              <w:spacing w:before="0" w:after="40" w:line="240" w:lineRule="auto"/>
            </w:pPr>
            <w:r>
              <w:rPr>
                <w:rFonts w:ascii="Calibri" w:hAnsi="Calibri"/>
                <w:b w:val="0"/>
                <w:color w:val="1F2328"/>
                <w:sz w:val="16"/>
              </w:rPr>
              <w:t>Self-attribution; supervisor overrides audited</w:t>
            </w:r>
          </w:p>
        </w:tc>
      </w:tr>
      <w:tr>
        <w:trPr>
          <w:trHeight w:hRule="atLeast"/>
          <w:cantSpli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6"/>
              </w:rPr>
              <w:t>Quality control</w:t>
            </w:r>
          </w:p>
        </w:tc>
        <w:tc>
          <w:tcPr>
            <w:tcW w:type="dxa" w:w="3620"/>
            <w:vAlign w:val="top"/>
            <w:tcMar>
              <w:top w:w="80" w:type="dxa"/>
              <w:start w:w="120" w:type="dxa"/>
              <w:bottom w:w="80" w:type="dxa"/>
              <w:end w:w="120" w:type="dxa"/>
            </w:tcMar>
          </w:tcPr>
          <w:p>
            <w:pPr>
              <w:spacing w:before="0" w:after="40" w:line="240" w:lineRule="auto"/>
            </w:pPr>
            <w:r>
              <w:rPr>
                <w:rFonts w:ascii="Calibri" w:hAnsi="Calibri"/>
                <w:b w:val="0"/>
                <w:color w:val="1F2328"/>
                <w:sz w:val="16"/>
              </w:rPr>
              <w:t>Checklist, test drive, inspection exceptions, signoff</w:t>
            </w:r>
          </w:p>
        </w:tc>
        <w:tc>
          <w:tcPr>
            <w:tcW w:type="dxa" w:w="3640"/>
            <w:vAlign w:val="top"/>
            <w:tcMar>
              <w:top w:w="80" w:type="dxa"/>
              <w:start w:w="120" w:type="dxa"/>
              <w:bottom w:w="80" w:type="dxa"/>
              <w:end w:w="120" w:type="dxa"/>
            </w:tcMar>
          </w:tcPr>
          <w:p>
            <w:pPr>
              <w:spacing w:before="0" w:after="40" w:line="240" w:lineRule="auto"/>
            </w:pPr>
            <w:r>
              <w:rPr>
                <w:rFonts w:ascii="Calibri" w:hAnsi="Calibri"/>
                <w:b w:val="0"/>
                <w:color w:val="1F2328"/>
                <w:sz w:val="16"/>
              </w:rPr>
              <w:t>Cannot complete until blocking safety and QC rules pass</w:t>
            </w:r>
          </w:p>
        </w:tc>
      </w:tr>
      <w:tr>
        <w:trPr>
          <w:trHeight w:hRule="atLeast"/>
          <w:cantSpli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6"/>
              </w:rPr>
              <w:t>Invoice &amp; payment</w:t>
            </w:r>
          </w:p>
        </w:tc>
        <w:tc>
          <w:tcPr>
            <w:tcW w:type="dxa" w:w="3620"/>
            <w:vAlign w:val="top"/>
            <w:tcMar>
              <w:top w:w="80" w:type="dxa"/>
              <w:start w:w="120" w:type="dxa"/>
              <w:bottom w:w="80" w:type="dxa"/>
              <w:end w:w="120" w:type="dxa"/>
            </w:tcMar>
          </w:tcPr>
          <w:p>
            <w:pPr>
              <w:spacing w:before="0" w:after="40" w:line="240" w:lineRule="auto"/>
            </w:pPr>
            <w:r>
              <w:rPr>
                <w:rFonts w:ascii="Calibri" w:hAnsi="Calibri"/>
                <w:b w:val="0"/>
                <w:color w:val="1F2328"/>
                <w:sz w:val="16"/>
              </w:rPr>
              <w:t>Final invoice, tenders, deposit/refund, AR, settlement, receipt</w:t>
            </w:r>
          </w:p>
        </w:tc>
        <w:tc>
          <w:tcPr>
            <w:tcW w:type="dxa" w:w="3640"/>
            <w:vAlign w:val="top"/>
            <w:tcMar>
              <w:top w:w="80" w:type="dxa"/>
              <w:start w:w="120" w:type="dxa"/>
              <w:bottom w:w="80" w:type="dxa"/>
              <w:end w:w="120" w:type="dxa"/>
            </w:tcMar>
          </w:tcPr>
          <w:p>
            <w:pPr>
              <w:spacing w:before="0" w:after="40" w:line="240" w:lineRule="auto"/>
            </w:pPr>
            <w:r>
              <w:rPr>
                <w:rFonts w:ascii="Calibri" w:hAnsi="Calibri"/>
                <w:b w:val="0"/>
                <w:color w:val="1F2328"/>
                <w:sz w:val="16"/>
              </w:rPr>
              <w:t>Close only after financial policy passes</w:t>
            </w:r>
          </w:p>
        </w:tc>
      </w:tr>
      <w:tr>
        <w:trPr>
          <w:trHeight w:hRule="atLeast"/>
          <w:cantSpli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6"/>
              </w:rPr>
              <w:t>Follow-up</w:t>
            </w:r>
          </w:p>
        </w:tc>
        <w:tc>
          <w:tcPr>
            <w:tcW w:type="dxa" w:w="3620"/>
            <w:vAlign w:val="top"/>
            <w:tcMar>
              <w:top w:w="80" w:type="dxa"/>
              <w:start w:w="120" w:type="dxa"/>
              <w:bottom w:w="80" w:type="dxa"/>
              <w:end w:w="120" w:type="dxa"/>
            </w:tcMar>
          </w:tcPr>
          <w:p>
            <w:pPr>
              <w:spacing w:before="0" w:after="40" w:line="240" w:lineRule="auto"/>
            </w:pPr>
            <w:r>
              <w:rPr>
                <w:rFonts w:ascii="Calibri" w:hAnsi="Calibri"/>
                <w:b w:val="0"/>
                <w:color w:val="1F2328"/>
                <w:sz w:val="16"/>
              </w:rPr>
              <w:t>Delivery, declined-work campaigns, comeback, CSI, first-service offer</w:t>
            </w:r>
          </w:p>
        </w:tc>
        <w:tc>
          <w:tcPr>
            <w:tcW w:type="dxa" w:w="3640"/>
            <w:vAlign w:val="top"/>
            <w:tcMar>
              <w:top w:w="80" w:type="dxa"/>
              <w:start w:w="120" w:type="dxa"/>
              <w:bottom w:w="80" w:type="dxa"/>
              <w:end w:w="120" w:type="dxa"/>
            </w:tcMar>
          </w:tcPr>
          <w:p>
            <w:pPr>
              <w:spacing w:before="0" w:after="40" w:line="240" w:lineRule="auto"/>
            </w:pPr>
            <w:r>
              <w:rPr>
                <w:rFonts w:ascii="Calibri" w:hAnsi="Calibri"/>
                <w:b w:val="0"/>
                <w:color w:val="1F2328"/>
                <w:sz w:val="16"/>
              </w:rPr>
              <w:t>Offer does not create an appointment without confirmation</w:t>
            </w:r>
          </w:p>
        </w:tc>
      </w:tr>
    </w:tbl>
    <w:p>
      <w:pPr>
        <w:spacing w:after="0"/>
      </w:pPr>
    </w:p>
    <w:p>
      <w:pPr>
        <w:pStyle w:val="Heading2"/>
      </w:pPr>
      <w:r>
        <w:t>8.2 Accounting rule</w:t>
      </w:r>
    </w:p>
    <w:tbl>
      <w:tblPr>
        <w:tblW w:type="dxa" w:w="9360"/>
        <w:jc w:val="left"/>
        <w:tblLayout w:type="fixed"/>
        <w:tblLook w:firstColumn="1" w:firstRow="1" w:lastColumn="0" w:lastRow="0" w:noHBand="0" w:noVBand="1" w:val="04A0"/>
        <w:tblInd w:w="120" w:type="dxa"/>
        <w:tblBorders>
          <w:top w:val="single" w:sz="6" w:space="0" w:color="7A5A00"/>
          <w:left w:val="single" w:sz="6" w:space="0" w:color="7A5A00"/>
          <w:bottom w:val="single" w:sz="6" w:space="0" w:color="7A5A00"/>
          <w:right w:val="single" w:sz="6" w:space="0" w:color="7A5A00"/>
          <w:insideH w:val="single" w:sz="6" w:space="0" w:color="7A5A00"/>
          <w:insideV w:val="single" w:sz="6" w:space="0" w:color="7A5A00"/>
        </w:tblBorders>
      </w:tblPr>
      <w:tblGrid>
        <w:gridCol w:w="9360"/>
      </w:tblGrid>
      <w:tr>
        <w:trPr>
          <w:cantSplit/>
        </w:trPr>
        <w:tc>
          <w:tcPr>
            <w:tcW w:type="dxa" w:w="9360"/>
            <w:tcMar>
              <w:top w:w="80" w:type="dxa"/>
              <w:start w:w="120" w:type="dxa"/>
              <w:bottom w:w="80" w:type="dxa"/>
              <w:end w:w="120" w:type="dxa"/>
            </w:tcMar>
            <w:shd w:fill="FFF4CE"/>
            <w:vAlign w:val="center"/>
          </w:tcPr>
          <w:p>
            <w:pPr>
              <w:spacing w:after="60"/>
            </w:pPr>
            <w:r>
              <w:rPr>
                <w:rFonts w:ascii="Calibri" w:hAnsi="Calibri"/>
                <w:b/>
                <w:color w:val="7A5A00"/>
                <w:sz w:val="21"/>
              </w:rPr>
              <w:t>No dealership platform is complete without a financial spine</w:t>
            </w:r>
          </w:p>
          <w:p>
            <w:pPr>
              <w:spacing w:after="0" w:line="264" w:lineRule="auto"/>
            </w:pPr>
            <w:r>
              <w:rPr>
                <w:rFonts w:ascii="Calibri" w:hAnsi="Calibri"/>
                <w:color w:val="1F2328"/>
                <w:sz w:val="21"/>
              </w:rPr>
              <w:t>Operational events propose accounting intents; the accounting context validates effective mappings and posts balanced journal entries. Posted entries are never edited—corrections reverse and repost. Each journal line traces back to the deal, RO, invoice, payment, part movement, or provider settlement that caused it.</w:t>
            </w:r>
          </w:p>
        </w:tc>
      </w:tr>
    </w:tbl>
    <w:p>
      <w:pPr>
        <w:spacing w:after="0"/>
      </w:pPr>
    </w:p>
    <w:p>
      <w:pPr>
        <w:pStyle w:val="ListBullet"/>
      </w:pPr>
      <w:r>
        <w:t>Represent money as currency plus fixed-scale decimal or integer minor units according to the currency; never floating point.</w:t>
      </w:r>
    </w:p>
    <w:p>
      <w:pPr>
        <w:pStyle w:val="ListBullet"/>
      </w:pPr>
      <w:r>
        <w:t>Version all prices, taxes, fees, discounts, reserve, pack, commissions, and account mappings.</w:t>
      </w:r>
    </w:p>
    <w:p>
      <w:pPr>
        <w:pStyle w:val="ListBullet"/>
      </w:pPr>
      <w:r>
        <w:t>Maintain AR, AP, inventory, cash, floorplan, and customer deposit subledgers with reconciliation status.</w:t>
      </w:r>
    </w:p>
    <w:p>
      <w:pPr>
        <w:pStyle w:val="ListBullet"/>
      </w:pPr>
      <w:r>
        <w:t>Require legal-entity and accounting-period context; prevent cross-entity balancing.</w:t>
      </w:r>
    </w:p>
    <w:p>
      <w:pPr>
        <w:pStyle w:val="ListBullet"/>
      </w:pPr>
      <w:r>
        <w:t>Build accounting after real transaction models stabilize, but define accounting intents from the beginning.</w:t>
      </w:r>
    </w:p>
    <w:p>
      <w:r>
        <w:br w:type="page"/>
      </w:r>
    </w:p>
    <w:p>
      <w:pPr>
        <w:pStyle w:val="Heading1"/>
      </w:pPr>
      <w:r>
        <w:t>9. Data, API, and Event Contracts</w:t>
      </w:r>
    </w:p>
    <w:p>
      <w:pPr>
        <w:pStyle w:val="Heading2"/>
      </w:pPr>
      <w:r>
        <w:t>9.1 Canonical identity and records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650"/>
        <w:gridCol w:w="7710"/>
      </w:tblGrid>
      <w:tr>
        <w:trPr>
          <w:cantSplit/>
          <w:tblHeader w:val="true"/>
        </w:trPr>
        <w:tc>
          <w:tcPr>
            <w:tcW w:type="dxa" w:w="1650"/>
            <w:tcMar>
              <w:top w:w="80" w:type="dxa"/>
              <w:start w:w="120" w:type="dxa"/>
              <w:bottom w:w="80" w:type="dxa"/>
              <w:end w:w="120" w:type="dxa"/>
            </w:tcMar>
            <w:shd w:fill="F2F4F7"/>
            <w:vAlign w:val="center"/>
          </w:tcPr>
          <w:p>
            <w:pPr>
              <w:keepNext/>
              <w:spacing w:after="0"/>
            </w:pPr>
            <w:r>
              <w:rPr>
                <w:rFonts w:ascii="Calibri" w:hAnsi="Calibri"/>
                <w:b/>
                <w:color w:val="0B2545"/>
                <w:sz w:val="17"/>
              </w:rPr>
              <w:t>Domain</w:t>
            </w:r>
          </w:p>
        </w:tc>
        <w:tc>
          <w:tcPr>
            <w:tcW w:type="dxa" w:w="7710"/>
            <w:tcMar>
              <w:top w:w="80" w:type="dxa"/>
              <w:start w:w="120" w:type="dxa"/>
              <w:bottom w:w="80" w:type="dxa"/>
              <w:end w:w="120" w:type="dxa"/>
            </w:tcMar>
            <w:shd w:fill="F2F4F7"/>
            <w:vAlign w:val="center"/>
          </w:tcPr>
          <w:p>
            <w:pPr>
              <w:keepNext/>
              <w:spacing w:after="0"/>
            </w:pPr>
            <w:r>
              <w:rPr>
                <w:rFonts w:ascii="Calibri" w:hAnsi="Calibri"/>
                <w:b/>
                <w:color w:val="0B2545"/>
                <w:sz w:val="17"/>
              </w:rPr>
              <w:t>Canonical records</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Organization</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Tenant, DealerGroup, LegalEntity, Rooftop, Department, CostCenter</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Identity</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User, EmployeeProfile, RoleBinding, PolicyDecision, SessionAssurance</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Party</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Party, Person, Business, ContactPoint, Consent, MergeRecord</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Vehicle</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Vehicle, VINIdentity, Ownership, MileageEvent, StockUnit, LocationEvent</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Demand</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Lead, Opportunity, Activity, Campaign, AppointmentRequest, Appointment</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Retail</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Appraisal, Trade, Quote, DeskingScenario, Deal, DealVersion, DealDocument</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Finance</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CreditApplication, LenderSubmission, Decision, FIProduct, Contract, FundingCondition</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Service</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RepairOrder, Operation, Inspection, Recommendation, Estimate, Authorization, WorkTicket, TimeEntry, Invoice</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Parts</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PartSKU, InventoryLocation, InventoryMovement, Reservation, PurchaseOrder, Receipt, Return</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Accounting</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Account, JournalEntry, JournalLine, Receivable, Payable, Payment, Settlement, Reconciliation</w:t>
            </w:r>
          </w:p>
        </w:tc>
      </w:tr>
      <w:tr>
        <w:trPr>
          <w:trHeight w:hRule="atLeast"/>
          <w:cantSplit/>
          <w:cantSplit/>
        </w:trPr>
        <w:tc>
          <w:tcPr>
            <w:tcW w:type="dxa" w:w="1650"/>
            <w:vAlign w:val="top"/>
            <w:tcMar>
              <w:top w:w="80" w:type="dxa"/>
              <w:start w:w="120" w:type="dxa"/>
              <w:bottom w:w="80" w:type="dxa"/>
              <w:end w:w="120" w:type="dxa"/>
            </w:tcMar>
          </w:tcPr>
          <w:p>
            <w:pPr>
              <w:spacing w:before="0" w:after="40" w:line="240" w:lineRule="auto"/>
            </w:pPr>
            <w:r>
              <w:rPr>
                <w:rFonts w:ascii="Calibri" w:hAnsi="Calibri"/>
                <w:b w:val="0"/>
                <w:color w:val="1F2328"/>
                <w:sz w:val="17"/>
              </w:rPr>
              <w:t>Platform</w:t>
            </w:r>
          </w:p>
        </w:tc>
        <w:tc>
          <w:tcPr>
            <w:tcW w:type="dxa" w:w="7710"/>
            <w:vAlign w:val="top"/>
            <w:tcMar>
              <w:top w:w="80" w:type="dxa"/>
              <w:start w:w="120" w:type="dxa"/>
              <w:bottom w:w="80" w:type="dxa"/>
              <w:end w:w="120" w:type="dxa"/>
            </w:tcMar>
          </w:tcPr>
          <w:p>
            <w:pPr>
              <w:spacing w:before="0" w:after="40" w:line="240" w:lineRule="auto"/>
            </w:pPr>
            <w:r>
              <w:rPr>
                <w:rFonts w:ascii="Calibri" w:hAnsi="Calibri"/>
                <w:b w:val="0"/>
                <w:color w:val="1F2328"/>
                <w:sz w:val="17"/>
              </w:rPr>
              <w:t>IdempotencyRecord, DomainEvent, OutboxMessage, AuditEvidence, Attachment, WorkflowInstance</w:t>
            </w:r>
          </w:p>
        </w:tc>
      </w:tr>
    </w:tbl>
    <w:p>
      <w:pPr>
        <w:spacing w:after="0"/>
      </w:pPr>
    </w:p>
    <w:p>
      <w:pPr>
        <w:pStyle w:val="Heading2"/>
      </w:pPr>
      <w:r>
        <w:t>9.2 Data rules</w:t>
      </w:r>
    </w:p>
    <w:p>
      <w:pPr>
        <w:pStyle w:val="ListBullet"/>
      </w:pPr>
      <w:r>
        <w:t>UUID/ULID identifiers are opaque. Human document numbers are separate, tenant-scoped, and generated by versioned policy.</w:t>
      </w:r>
    </w:p>
    <w:p>
      <w:pPr>
        <w:pStyle w:val="ListBullet"/>
      </w:pPr>
      <w:r>
        <w:t>Every mutable record carries created_at, created_by, updated_at, updated_by, and optimistic version; sensitive changes include reason.</w:t>
      </w:r>
    </w:p>
    <w:p>
      <w:pPr>
        <w:pStyle w:val="ListBullet"/>
      </w:pPr>
      <w:r>
        <w:t>Temporal facts use effective_from/effective_to and recorded_at where business truth can arrive late or be corrected.</w:t>
      </w:r>
    </w:p>
    <w:p>
      <w:pPr>
        <w:pStyle w:val="ListBullet"/>
      </w:pPr>
      <w:r>
        <w:t>Soft deletion is not a universal answer. Use explicit lifecycle states, retention rules, legal holds, and anonymization where appropriate.</w:t>
      </w:r>
    </w:p>
    <w:p>
      <w:pPr>
        <w:pStyle w:val="ListBullet"/>
      </w:pPr>
      <w:r>
        <w:t>JSONB is allowed for provider payload capture, extensible metadata, and versioned envelopes—not for core monetary lines, relationships, status, or authorization facts.</w:t>
      </w:r>
    </w:p>
    <w:p>
      <w:pPr>
        <w:pStyle w:val="ListBullet"/>
      </w:pPr>
      <w:r>
        <w:t>Artifacts live in object storage; rows carry tenant, classification, hash, content type, size, malware status, encryption key reference, retention, and legal hold.</w:t>
      </w:r>
    </w:p>
    <w:p>
      <w:pPr>
        <w:pStyle w:val="ListBullet"/>
      </w:pPr>
      <w:r>
        <w:t>PII fields are classified and purpose-bound. Analytics uses minimized, tokenized, or de-identified projections.</w:t>
      </w:r>
    </w:p>
    <w:p>
      <w:pPr>
        <w:pStyle w:val="Heading2"/>
      </w:pPr>
      <w:r>
        <w:t>9.3 HTTP contract</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000"/>
        <w:gridCol w:w="7360"/>
      </w:tblGrid>
      <w:tr>
        <w:trPr>
          <w:cantSplit/>
          <w:tblHeader w:val="true"/>
        </w:trPr>
        <w:tc>
          <w:tcPr>
            <w:tcW w:type="dxa" w:w="2000"/>
            <w:tcMar>
              <w:top w:w="80" w:type="dxa"/>
              <w:start w:w="120" w:type="dxa"/>
              <w:bottom w:w="80" w:type="dxa"/>
              <w:end w:w="120" w:type="dxa"/>
            </w:tcMar>
            <w:shd w:fill="F2F4F7"/>
            <w:vAlign w:val="center"/>
          </w:tcPr>
          <w:p>
            <w:pPr>
              <w:keepNext/>
              <w:spacing w:after="0"/>
            </w:pPr>
            <w:r>
              <w:rPr>
                <w:rFonts w:ascii="Calibri" w:hAnsi="Calibri"/>
                <w:b/>
                <w:color w:val="0B2545"/>
                <w:sz w:val="17"/>
              </w:rPr>
              <w:t>Concern</w:t>
            </w:r>
          </w:p>
        </w:tc>
        <w:tc>
          <w:tcPr>
            <w:tcW w:type="dxa" w:w="7360"/>
            <w:tcMar>
              <w:top w:w="80" w:type="dxa"/>
              <w:start w:w="120" w:type="dxa"/>
              <w:bottom w:w="80" w:type="dxa"/>
              <w:end w:w="120" w:type="dxa"/>
            </w:tcMar>
            <w:shd w:fill="F2F4F7"/>
            <w:vAlign w:val="center"/>
          </w:tcPr>
          <w:p>
            <w:pPr>
              <w:keepNext/>
              <w:spacing w:after="0"/>
            </w:pPr>
            <w:r>
              <w:rPr>
                <w:rFonts w:ascii="Calibri" w:hAnsi="Calibri"/>
                <w:b/>
                <w:color w:val="0B2545"/>
                <w:sz w:val="17"/>
              </w:rPr>
              <w:t>Standard</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Versioning</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/api/v1 with additive compatibility policy; breaking changes require a new major contract</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Schema</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OpenAPI 3.1 and JSON Schema generated/validated from one source of truth</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Errors</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RFC 9457 Problem Details with stable type codes, request_id, and safe field details</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Concurrency</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ETag/If-Match or explicit version on updates; 409/412 on conflict</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Idempotency</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Idempotency-Key for all externally retriable mutations; same key + same body returns same result</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Pagination</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Opaque cursor with stable ordering; no unbounded list or offset at high scale</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Identity</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Bearer token from trusted issuer; tenant and assurance derived by server policy</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Audit</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X-Request-ID propagated; actor, purpose, policy decision, and resource version recorded</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Files</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Pre-signed upload/download with classification, scan, and short-lived authorization</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Webhooks</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Signed timestamped payload, unique event ID, replay window, subscription secret rotation, delivery log</w:t>
            </w:r>
          </w:p>
        </w:tc>
      </w:tr>
      <w:tr>
        <w:trPr>
          <w:trHeight w:hRule="atLeast"/>
          <w:cantSplit/>
          <w:cantSplit/>
        </w:trPr>
        <w:tc>
          <w:tcPr>
            <w:tcW w:type="dxa" w:w="2000"/>
            <w:vAlign w:val="top"/>
            <w:tcMar>
              <w:top w:w="80" w:type="dxa"/>
              <w:start w:w="120" w:type="dxa"/>
              <w:bottom w:w="80" w:type="dxa"/>
              <w:end w:w="120" w:type="dxa"/>
            </w:tcMar>
          </w:tcPr>
          <w:p>
            <w:pPr>
              <w:spacing w:before="0" w:after="40" w:line="240" w:lineRule="auto"/>
            </w:pPr>
            <w:r>
              <w:rPr>
                <w:rFonts w:ascii="Calibri" w:hAnsi="Calibri"/>
                <w:b w:val="0"/>
                <w:color w:val="1F2328"/>
                <w:sz w:val="17"/>
              </w:rPr>
              <w:t>Async work</w:t>
            </w:r>
          </w:p>
        </w:tc>
        <w:tc>
          <w:tcPr>
            <w:tcW w:type="dxa" w:w="7360"/>
            <w:vAlign w:val="top"/>
            <w:tcMar>
              <w:top w:w="80" w:type="dxa"/>
              <w:start w:w="120" w:type="dxa"/>
              <w:bottom w:w="80" w:type="dxa"/>
              <w:end w:w="120" w:type="dxa"/>
            </w:tcMar>
          </w:tcPr>
          <w:p>
            <w:pPr>
              <w:spacing w:before="0" w:after="40" w:line="240" w:lineRule="auto"/>
            </w:pPr>
            <w:r>
              <w:rPr>
                <w:rFonts w:ascii="Calibri" w:hAnsi="Calibri"/>
                <w:b w:val="0"/>
                <w:color w:val="1F2328"/>
                <w:sz w:val="17"/>
              </w:rPr>
              <w:t>202 Accepted plus operation resource for long jobs; cancellation and status defined</w:t>
            </w:r>
          </w:p>
        </w:tc>
      </w:tr>
    </w:tbl>
    <w:p>
      <w:pPr>
        <w:spacing w:after="0"/>
      </w:pPr>
    </w:p>
    <w:p>
      <w:pPr>
        <w:pStyle w:val="Heading2"/>
      </w:pPr>
      <w:r>
        <w:t>9.4 Event contract</w:t>
      </w:r>
    </w:p>
    <w:p>
      <w:pPr>
        <w:spacing w:before="0" w:after="120" w:line="264" w:lineRule="auto"/>
      </w:pPr>
      <w:r>
        <w:rPr>
          <w:rFonts w:ascii="Calibri" w:hAnsi="Calibri"/>
          <w:b w:val="0"/>
          <w:i w:val="0"/>
          <w:color w:val="1F2328"/>
        </w:rPr>
        <w:t>A domain transaction writes state and an outbox record atomically. A relay publishes an immutable envelope. Consumers record processed event IDs. Events describe completed facts, not remote procedure calls.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000"/>
        <w:gridCol w:w="6360"/>
      </w:tblGrid>
      <w:tr>
        <w:trPr>
          <w:cantSplit/>
          <w:tblHeader w:val="true"/>
        </w:trPr>
        <w:tc>
          <w:tcPr>
            <w:tcW w:type="dxa" w:w="3000"/>
            <w:tcMar>
              <w:top w:w="80" w:type="dxa"/>
              <w:start w:w="120" w:type="dxa"/>
              <w:bottom w:w="80" w:type="dxa"/>
              <w:end w:w="120" w:type="dxa"/>
            </w:tcMar>
            <w:shd w:fill="F2F4F7"/>
            <w:vAlign w:val="center"/>
          </w:tcPr>
          <w:p>
            <w:pPr>
              <w:keepNext/>
              <w:spacing w:after="0"/>
            </w:pPr>
            <w:r>
              <w:rPr>
                <w:rFonts w:ascii="Calibri" w:hAnsi="Calibri"/>
                <w:b/>
                <w:color w:val="0B2545"/>
                <w:sz w:val="17"/>
              </w:rPr>
              <w:t>Envelope field</w:t>
            </w:r>
          </w:p>
        </w:tc>
        <w:tc>
          <w:tcPr>
            <w:tcW w:type="dxa" w:w="6360"/>
            <w:tcMar>
              <w:top w:w="80" w:type="dxa"/>
              <w:start w:w="120" w:type="dxa"/>
              <w:bottom w:w="80" w:type="dxa"/>
              <w:end w:w="120" w:type="dxa"/>
            </w:tcMar>
            <w:shd w:fill="F2F4F7"/>
            <w:vAlign w:val="center"/>
          </w:tcPr>
          <w:p>
            <w:pPr>
              <w:keepNext/>
              <w:spacing w:after="0"/>
            </w:pPr>
            <w:r>
              <w:rPr>
                <w:rFonts w:ascii="Calibri" w:hAnsi="Calibri"/>
                <w:b/>
                <w:color w:val="0B2545"/>
                <w:sz w:val="17"/>
              </w:rPr>
              <w:t>Requirement</w:t>
            </w:r>
          </w:p>
        </w:tc>
      </w:tr>
      <w:tr>
        <w:trPr>
          <w:trHeight w:hRule="atLeast"/>
          <w:cantSplit/>
          <w:cantSplit/>
        </w:trPr>
        <w:tc>
          <w:tcPr>
            <w:tcW w:type="dxa" w:w="3000"/>
            <w:vAlign w:val="top"/>
            <w:tcMar>
              <w:top w:w="80" w:type="dxa"/>
              <w:start w:w="120" w:type="dxa"/>
              <w:bottom w:w="80" w:type="dxa"/>
              <w:end w:w="120" w:type="dxa"/>
            </w:tcMar>
          </w:tcPr>
          <w:p>
            <w:pPr>
              <w:spacing w:before="0" w:after="40" w:line="240" w:lineRule="auto"/>
            </w:pPr>
            <w:r>
              <w:rPr>
                <w:rFonts w:ascii="Calibri" w:hAnsi="Calibri"/>
                <w:b w:val="0"/>
                <w:color w:val="1F2328"/>
                <w:sz w:val="17"/>
              </w:rPr>
              <w:t>event_id</w:t>
            </w:r>
          </w:p>
        </w:tc>
        <w:tc>
          <w:tcPr>
            <w:tcW w:type="dxa" w:w="6360"/>
            <w:vAlign w:val="top"/>
            <w:tcMar>
              <w:top w:w="80" w:type="dxa"/>
              <w:start w:w="120" w:type="dxa"/>
              <w:bottom w:w="80" w:type="dxa"/>
              <w:end w:w="120" w:type="dxa"/>
            </w:tcMar>
          </w:tcPr>
          <w:p>
            <w:pPr>
              <w:spacing w:before="0" w:after="40" w:line="240" w:lineRule="auto"/>
            </w:pPr>
            <w:r>
              <w:rPr>
                <w:rFonts w:ascii="Calibri" w:hAnsi="Calibri"/>
                <w:b w:val="0"/>
                <w:color w:val="1F2328"/>
                <w:sz w:val="17"/>
              </w:rPr>
              <w:t>Globally unique; used for deduplication</w:t>
            </w:r>
          </w:p>
        </w:tc>
      </w:tr>
      <w:tr>
        <w:trPr>
          <w:trHeight w:hRule="atLeast"/>
          <w:cantSplit/>
          <w:cantSplit/>
        </w:trPr>
        <w:tc>
          <w:tcPr>
            <w:tcW w:type="dxa" w:w="3000"/>
            <w:vAlign w:val="top"/>
            <w:tcMar>
              <w:top w:w="80" w:type="dxa"/>
              <w:start w:w="120" w:type="dxa"/>
              <w:bottom w:w="80" w:type="dxa"/>
              <w:end w:w="120" w:type="dxa"/>
            </w:tcMar>
          </w:tcPr>
          <w:p>
            <w:pPr>
              <w:spacing w:before="0" w:after="40" w:line="240" w:lineRule="auto"/>
            </w:pPr>
            <w:r>
              <w:rPr>
                <w:rFonts w:ascii="Calibri" w:hAnsi="Calibri"/>
                <w:b w:val="0"/>
                <w:color w:val="1F2328"/>
                <w:sz w:val="17"/>
              </w:rPr>
              <w:t>event_type / version</w:t>
            </w:r>
          </w:p>
        </w:tc>
        <w:tc>
          <w:tcPr>
            <w:tcW w:type="dxa" w:w="6360"/>
            <w:vAlign w:val="top"/>
            <w:tcMar>
              <w:top w:w="80" w:type="dxa"/>
              <w:start w:w="120" w:type="dxa"/>
              <w:bottom w:w="80" w:type="dxa"/>
              <w:end w:w="120" w:type="dxa"/>
            </w:tcMar>
          </w:tcPr>
          <w:p>
            <w:pPr>
              <w:spacing w:before="0" w:after="40" w:line="240" w:lineRule="auto"/>
            </w:pPr>
            <w:r>
              <w:rPr>
                <w:rFonts w:ascii="Calibri" w:hAnsi="Calibri"/>
                <w:b w:val="0"/>
                <w:color w:val="1F2328"/>
                <w:sz w:val="17"/>
              </w:rPr>
              <w:t>Namespaced past-tense fact, e.g., service.estimate_authorized.v1</w:t>
            </w:r>
          </w:p>
        </w:tc>
      </w:tr>
      <w:tr>
        <w:trPr>
          <w:trHeight w:hRule="atLeast"/>
          <w:cantSplit/>
          <w:cantSplit/>
        </w:trPr>
        <w:tc>
          <w:tcPr>
            <w:tcW w:type="dxa" w:w="3000"/>
            <w:vAlign w:val="top"/>
            <w:tcMar>
              <w:top w:w="80" w:type="dxa"/>
              <w:start w:w="120" w:type="dxa"/>
              <w:bottom w:w="80" w:type="dxa"/>
              <w:end w:w="120" w:type="dxa"/>
            </w:tcMar>
          </w:tcPr>
          <w:p>
            <w:pPr>
              <w:spacing w:before="0" w:after="40" w:line="240" w:lineRule="auto"/>
            </w:pPr>
            <w:r>
              <w:rPr>
                <w:rFonts w:ascii="Calibri" w:hAnsi="Calibri"/>
                <w:b w:val="0"/>
                <w:color w:val="1F2328"/>
                <w:sz w:val="17"/>
              </w:rPr>
              <w:t>occurred_at / recorded_at</w:t>
            </w:r>
          </w:p>
        </w:tc>
        <w:tc>
          <w:tcPr>
            <w:tcW w:type="dxa" w:w="6360"/>
            <w:vAlign w:val="top"/>
            <w:tcMar>
              <w:top w:w="80" w:type="dxa"/>
              <w:start w:w="120" w:type="dxa"/>
              <w:bottom w:w="80" w:type="dxa"/>
              <w:end w:w="120" w:type="dxa"/>
            </w:tcMar>
          </w:tcPr>
          <w:p>
            <w:pPr>
              <w:spacing w:before="0" w:after="40" w:line="240" w:lineRule="auto"/>
            </w:pPr>
            <w:r>
              <w:rPr>
                <w:rFonts w:ascii="Calibri" w:hAnsi="Calibri"/>
                <w:b w:val="0"/>
                <w:color w:val="1F2328"/>
                <w:sz w:val="17"/>
              </w:rPr>
              <w:t>Business time and system time</w:t>
            </w:r>
          </w:p>
        </w:tc>
      </w:tr>
      <w:tr>
        <w:trPr>
          <w:trHeight w:hRule="atLeast"/>
          <w:cantSplit/>
          <w:cantSplit/>
        </w:trPr>
        <w:tc>
          <w:tcPr>
            <w:tcW w:type="dxa" w:w="3000"/>
            <w:vAlign w:val="top"/>
            <w:tcMar>
              <w:top w:w="80" w:type="dxa"/>
              <w:start w:w="120" w:type="dxa"/>
              <w:bottom w:w="80" w:type="dxa"/>
              <w:end w:w="120" w:type="dxa"/>
            </w:tcMar>
          </w:tcPr>
          <w:p>
            <w:pPr>
              <w:spacing w:before="0" w:after="40" w:line="240" w:lineRule="auto"/>
            </w:pPr>
            <w:r>
              <w:rPr>
                <w:rFonts w:ascii="Calibri" w:hAnsi="Calibri"/>
                <w:b w:val="0"/>
                <w:color w:val="1F2328"/>
                <w:sz w:val="17"/>
              </w:rPr>
              <w:t>tenant_id / organization scope</w:t>
            </w:r>
          </w:p>
        </w:tc>
        <w:tc>
          <w:tcPr>
            <w:tcW w:type="dxa" w:w="6360"/>
            <w:vAlign w:val="top"/>
            <w:tcMar>
              <w:top w:w="80" w:type="dxa"/>
              <w:start w:w="120" w:type="dxa"/>
              <w:bottom w:w="80" w:type="dxa"/>
              <w:end w:w="120" w:type="dxa"/>
            </w:tcMar>
          </w:tcPr>
          <w:p>
            <w:pPr>
              <w:spacing w:before="0" w:after="40" w:line="240" w:lineRule="auto"/>
            </w:pPr>
            <w:r>
              <w:rPr>
                <w:rFonts w:ascii="Calibri" w:hAnsi="Calibri"/>
                <w:b w:val="0"/>
                <w:color w:val="1F2328"/>
                <w:sz w:val="17"/>
              </w:rPr>
              <w:t>Mandatory; never inferred by consumer</w:t>
            </w:r>
          </w:p>
        </w:tc>
      </w:tr>
      <w:tr>
        <w:trPr>
          <w:trHeight w:hRule="atLeast"/>
          <w:cantSplit/>
          <w:cantSplit/>
        </w:trPr>
        <w:tc>
          <w:tcPr>
            <w:tcW w:type="dxa" w:w="3000"/>
            <w:vAlign w:val="top"/>
            <w:tcMar>
              <w:top w:w="80" w:type="dxa"/>
              <w:start w:w="120" w:type="dxa"/>
              <w:bottom w:w="80" w:type="dxa"/>
              <w:end w:w="120" w:type="dxa"/>
            </w:tcMar>
          </w:tcPr>
          <w:p>
            <w:pPr>
              <w:spacing w:before="0" w:after="40" w:line="240" w:lineRule="auto"/>
            </w:pPr>
            <w:r>
              <w:rPr>
                <w:rFonts w:ascii="Calibri" w:hAnsi="Calibri"/>
                <w:b w:val="0"/>
                <w:color w:val="1F2328"/>
                <w:sz w:val="17"/>
              </w:rPr>
              <w:t>aggregate_type / aggregate_id / version</w:t>
            </w:r>
          </w:p>
        </w:tc>
        <w:tc>
          <w:tcPr>
            <w:tcW w:type="dxa" w:w="6360"/>
            <w:vAlign w:val="top"/>
            <w:tcMar>
              <w:top w:w="80" w:type="dxa"/>
              <w:start w:w="120" w:type="dxa"/>
              <w:bottom w:w="80" w:type="dxa"/>
              <w:end w:w="120" w:type="dxa"/>
            </w:tcMar>
          </w:tcPr>
          <w:p>
            <w:pPr>
              <w:spacing w:before="0" w:after="40" w:line="240" w:lineRule="auto"/>
            </w:pPr>
            <w:r>
              <w:rPr>
                <w:rFonts w:ascii="Calibri" w:hAnsi="Calibri"/>
                <w:b w:val="0"/>
                <w:color w:val="1F2328"/>
                <w:sz w:val="17"/>
              </w:rPr>
              <w:t>Supports ordering and optimistic consistency</w:t>
            </w:r>
          </w:p>
        </w:tc>
      </w:tr>
      <w:tr>
        <w:trPr>
          <w:trHeight w:hRule="atLeast"/>
          <w:cantSplit/>
          <w:cantSplit/>
        </w:trPr>
        <w:tc>
          <w:tcPr>
            <w:tcW w:type="dxa" w:w="3000"/>
            <w:vAlign w:val="top"/>
            <w:tcMar>
              <w:top w:w="80" w:type="dxa"/>
              <w:start w:w="120" w:type="dxa"/>
              <w:bottom w:w="80" w:type="dxa"/>
              <w:end w:w="120" w:type="dxa"/>
            </w:tcMar>
          </w:tcPr>
          <w:p>
            <w:pPr>
              <w:spacing w:before="0" w:after="40" w:line="240" w:lineRule="auto"/>
            </w:pPr>
            <w:r>
              <w:rPr>
                <w:rFonts w:ascii="Calibri" w:hAnsi="Calibri"/>
                <w:b w:val="0"/>
                <w:color w:val="1F2328"/>
                <w:sz w:val="17"/>
              </w:rPr>
              <w:t>actor / assurance / purpose</w:t>
            </w:r>
          </w:p>
        </w:tc>
        <w:tc>
          <w:tcPr>
            <w:tcW w:type="dxa" w:w="6360"/>
            <w:vAlign w:val="top"/>
            <w:tcMar>
              <w:top w:w="80" w:type="dxa"/>
              <w:start w:w="120" w:type="dxa"/>
              <w:bottom w:w="80" w:type="dxa"/>
              <w:end w:w="120" w:type="dxa"/>
            </w:tcMar>
          </w:tcPr>
          <w:p>
            <w:pPr>
              <w:spacing w:before="0" w:after="40" w:line="240" w:lineRule="auto"/>
            </w:pPr>
            <w:r>
              <w:rPr>
                <w:rFonts w:ascii="Calibri" w:hAnsi="Calibri"/>
                <w:b w:val="0"/>
                <w:color w:val="1F2328"/>
                <w:sz w:val="17"/>
              </w:rPr>
              <w:t>Who or what caused the event and under what authority</w:t>
            </w:r>
          </w:p>
        </w:tc>
      </w:tr>
      <w:tr>
        <w:trPr>
          <w:trHeight w:hRule="atLeast"/>
          <w:cantSplit/>
          <w:cantSplit/>
        </w:trPr>
        <w:tc>
          <w:tcPr>
            <w:tcW w:type="dxa" w:w="3000"/>
            <w:vAlign w:val="top"/>
            <w:tcMar>
              <w:top w:w="80" w:type="dxa"/>
              <w:start w:w="120" w:type="dxa"/>
              <w:bottom w:w="80" w:type="dxa"/>
              <w:end w:w="120" w:type="dxa"/>
            </w:tcMar>
          </w:tcPr>
          <w:p>
            <w:pPr>
              <w:spacing w:before="0" w:after="40" w:line="240" w:lineRule="auto"/>
            </w:pPr>
            <w:r>
              <w:rPr>
                <w:rFonts w:ascii="Calibri" w:hAnsi="Calibri"/>
                <w:b w:val="0"/>
                <w:color w:val="1F2328"/>
                <w:sz w:val="17"/>
              </w:rPr>
              <w:t>correlation_id / causation_id / trace_id</w:t>
            </w:r>
          </w:p>
        </w:tc>
        <w:tc>
          <w:tcPr>
            <w:tcW w:type="dxa" w:w="6360"/>
            <w:vAlign w:val="top"/>
            <w:tcMar>
              <w:top w:w="80" w:type="dxa"/>
              <w:start w:w="120" w:type="dxa"/>
              <w:bottom w:w="80" w:type="dxa"/>
              <w:end w:w="120" w:type="dxa"/>
            </w:tcMar>
          </w:tcPr>
          <w:p>
            <w:pPr>
              <w:spacing w:before="0" w:after="40" w:line="240" w:lineRule="auto"/>
            </w:pPr>
            <w:r>
              <w:rPr>
                <w:rFonts w:ascii="Calibri" w:hAnsi="Calibri"/>
                <w:b w:val="0"/>
                <w:color w:val="1F2328"/>
                <w:sz w:val="17"/>
              </w:rPr>
              <w:t>End-to-end workflow and diagnostic linkage</w:t>
            </w:r>
          </w:p>
        </w:tc>
      </w:tr>
      <w:tr>
        <w:trPr>
          <w:trHeight w:hRule="atLeast"/>
          <w:cantSplit/>
          <w:cantSplit/>
        </w:trPr>
        <w:tc>
          <w:tcPr>
            <w:tcW w:type="dxa" w:w="3000"/>
            <w:vAlign w:val="top"/>
            <w:tcMar>
              <w:top w:w="80" w:type="dxa"/>
              <w:start w:w="120" w:type="dxa"/>
              <w:bottom w:w="80" w:type="dxa"/>
              <w:end w:w="120" w:type="dxa"/>
            </w:tcMar>
          </w:tcPr>
          <w:p>
            <w:pPr>
              <w:spacing w:before="0" w:after="40" w:line="240" w:lineRule="auto"/>
            </w:pPr>
            <w:r>
              <w:rPr>
                <w:rFonts w:ascii="Calibri" w:hAnsi="Calibri"/>
                <w:b w:val="0"/>
                <w:color w:val="1F2328"/>
                <w:sz w:val="17"/>
              </w:rPr>
              <w:t>data / metadata</w:t>
            </w:r>
          </w:p>
        </w:tc>
        <w:tc>
          <w:tcPr>
            <w:tcW w:type="dxa" w:w="6360"/>
            <w:vAlign w:val="top"/>
            <w:tcMar>
              <w:top w:w="80" w:type="dxa"/>
              <w:start w:w="120" w:type="dxa"/>
              <w:bottom w:w="80" w:type="dxa"/>
              <w:end w:w="120" w:type="dxa"/>
            </w:tcMar>
          </w:tcPr>
          <w:p>
            <w:pPr>
              <w:spacing w:before="0" w:after="40" w:line="240" w:lineRule="auto"/>
            </w:pPr>
            <w:r>
              <w:rPr>
                <w:rFonts w:ascii="Calibri" w:hAnsi="Calibri"/>
                <w:b w:val="0"/>
                <w:color w:val="1F2328"/>
                <w:sz w:val="17"/>
              </w:rPr>
              <w:t>Schema-validated; PII minimized; artifact references instead of large payloads</w:t>
            </w:r>
          </w:p>
        </w:tc>
      </w:tr>
    </w:tbl>
    <w:p>
      <w:pPr>
        <w:spacing w:after="0"/>
      </w:pPr>
    </w:p>
    <w:p>
      <w:pPr>
        <w:pStyle w:val="Heading2"/>
      </w:pPr>
      <w:r>
        <w:t>9.5 Initial event catalog</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180"/>
        <w:gridCol w:w="1550"/>
        <w:gridCol w:w="4630"/>
      </w:tblGrid>
      <w:tr>
        <w:trPr>
          <w:cantSplit/>
          <w:tblHeader w:val="true"/>
        </w:trPr>
        <w:tc>
          <w:tcPr>
            <w:tcW w:type="dxa" w:w="3180"/>
            <w:tcMar>
              <w:top w:w="80" w:type="dxa"/>
              <w:start w:w="120" w:type="dxa"/>
              <w:bottom w:w="80" w:type="dxa"/>
              <w:end w:w="120" w:type="dxa"/>
            </w:tcMar>
            <w:shd w:fill="F2F4F7"/>
            <w:vAlign w:val="center"/>
          </w:tcPr>
          <w:p>
            <w:pPr>
              <w:keepNext/>
              <w:spacing w:after="0"/>
            </w:pPr>
            <w:r>
              <w:rPr>
                <w:rFonts w:ascii="Calibri" w:hAnsi="Calibri"/>
                <w:b/>
                <w:color w:val="0B2545"/>
                <w:sz w:val="16"/>
              </w:rPr>
              <w:t>Event</w:t>
            </w:r>
          </w:p>
        </w:tc>
        <w:tc>
          <w:tcPr>
            <w:tcW w:type="dxa" w:w="1550"/>
            <w:tcMar>
              <w:top w:w="80" w:type="dxa"/>
              <w:start w:w="120" w:type="dxa"/>
              <w:bottom w:w="80" w:type="dxa"/>
              <w:end w:w="120" w:type="dxa"/>
            </w:tcMar>
            <w:shd w:fill="F2F4F7"/>
            <w:vAlign w:val="center"/>
          </w:tcPr>
          <w:p>
            <w:pPr>
              <w:keepNext/>
              <w:spacing w:after="0"/>
            </w:pPr>
            <w:r>
              <w:rPr>
                <w:rFonts w:ascii="Calibri" w:hAnsi="Calibri"/>
                <w:b/>
                <w:color w:val="0B2545"/>
                <w:sz w:val="16"/>
              </w:rPr>
              <w:t>Owner</w:t>
            </w:r>
          </w:p>
        </w:tc>
        <w:tc>
          <w:tcPr>
            <w:tcW w:type="dxa" w:w="4630"/>
            <w:tcMar>
              <w:top w:w="80" w:type="dxa"/>
              <w:start w:w="120" w:type="dxa"/>
              <w:bottom w:w="80" w:type="dxa"/>
              <w:end w:w="120" w:type="dxa"/>
            </w:tcMar>
            <w:shd w:fill="F2F4F7"/>
            <w:vAlign w:val="center"/>
          </w:tcPr>
          <w:p>
            <w:pPr>
              <w:keepNext/>
              <w:spacing w:after="0"/>
            </w:pPr>
            <w:r>
              <w:rPr>
                <w:rFonts w:ascii="Calibri" w:hAnsi="Calibri"/>
                <w:b/>
                <w:color w:val="0B2545"/>
                <w:sz w:val="16"/>
              </w:rPr>
              <w:t>Consumers</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party.merged.v1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Party</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CRM, service, deal, analytics projections</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vehicle.ownership_recorded.v1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Vehicle</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Customer 360 and compliance</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inventory.stock_acquired.v1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Inventory</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Recon, merchandising, accounting intent</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crm.opportunity_stage_changed.v1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CRM</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Tasks, attribution, analytics</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sales.deal_version_accepted.v1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Sales</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Deal jacket, F&amp;I, accounting intent</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service.appointment_confirmed.v1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Fixed Ops</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Capacity and customer communications</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service.estimate_authorized.v1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Fixed Ops</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Dispatch, parts reservations, evidence</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service.operation_completed.v1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Fixed Ops</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QC and invoice readiness</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parts.inventory_moved.v1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Parts</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Availability and accounting intent</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billing.invoice_finalized.v1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Accounting</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AR/cashiering and customer receipt</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payment.settled.v1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Payments</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Reconciliation and journal posting</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accounting.journal_posted.v1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Accounting</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Analytics and close status</w:t>
            </w:r>
          </w:p>
        </w:tc>
      </w:tr>
      <w:tr>
        <w:trPr>
          <w:trHeight w:hRule="atLeast"/>
          <w:cantSplit/>
          <w:cantSplit/>
          <w:cantSplit/>
        </w:trPr>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6"/>
              </w:rPr>
              <w:t>integration.delivery_failed.v1</w:t>
            </w:r>
          </w:p>
        </w:tc>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Integration</w:t>
            </w:r>
          </w:p>
        </w:tc>
        <w:tc>
          <w:tcPr>
            <w:tcW w:type="dxa" w:w="4630"/>
            <w:vAlign w:val="top"/>
            <w:tcMar>
              <w:top w:w="80" w:type="dxa"/>
              <w:start w:w="120" w:type="dxa"/>
              <w:bottom w:w="80" w:type="dxa"/>
              <w:end w:w="120" w:type="dxa"/>
            </w:tcMar>
          </w:tcPr>
          <w:p>
            <w:pPr>
              <w:spacing w:before="0" w:after="40" w:line="240" w:lineRule="auto"/>
            </w:pPr>
            <w:r>
              <w:rPr>
                <w:rFonts w:ascii="Calibri" w:hAnsi="Calibri"/>
                <w:b w:val="0"/>
                <w:color w:val="1F2328"/>
                <w:sz w:val="16"/>
              </w:rPr>
              <w:t>Ops exception queue</w:t>
            </w:r>
          </w:p>
        </w:tc>
      </w:tr>
    </w:tbl>
    <w:p>
      <w:pPr>
        <w:spacing w:after="0"/>
      </w:pPr>
    </w:p>
    <w:p>
      <w:r>
        <w:br w:type="page"/>
      </w:r>
    </w:p>
    <w:p>
      <w:pPr>
        <w:pStyle w:val="Heading1"/>
      </w:pPr>
      <w:r>
        <w:t>10. Security, Privacy, and Compliance</w:t>
      </w:r>
    </w:p>
    <w:p>
      <w:pPr>
        <w:pStyle w:val="Heading2"/>
      </w:pPr>
      <w:r>
        <w:t>10.1 Security architecture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900"/>
        <w:gridCol w:w="7460"/>
      </w:tblGrid>
      <w:tr>
        <w:trPr>
          <w:cantSplit/>
          <w:tblHeader w:val="true"/>
        </w:trPr>
        <w:tc>
          <w:tcPr>
            <w:tcW w:type="dxa" w:w="1900"/>
            <w:tcMar>
              <w:top w:w="80" w:type="dxa"/>
              <w:start w:w="120" w:type="dxa"/>
              <w:bottom w:w="80" w:type="dxa"/>
              <w:end w:w="120" w:type="dxa"/>
            </w:tcMar>
            <w:shd w:fill="F2F4F7"/>
            <w:vAlign w:val="center"/>
          </w:tcPr>
          <w:p>
            <w:pPr>
              <w:keepNext/>
              <w:spacing w:after="0"/>
            </w:pPr>
            <w:r>
              <w:rPr>
                <w:rFonts w:ascii="Calibri" w:hAnsi="Calibri"/>
                <w:b/>
                <w:color w:val="0B2545"/>
                <w:sz w:val="16"/>
              </w:rPr>
              <w:t>Control plane</w:t>
            </w:r>
          </w:p>
        </w:tc>
        <w:tc>
          <w:tcPr>
            <w:tcW w:type="dxa" w:w="7460"/>
            <w:tcMar>
              <w:top w:w="80" w:type="dxa"/>
              <w:start w:w="120" w:type="dxa"/>
              <w:bottom w:w="80" w:type="dxa"/>
              <w:end w:w="120" w:type="dxa"/>
            </w:tcMar>
            <w:shd w:fill="F2F4F7"/>
            <w:vAlign w:val="center"/>
          </w:tcPr>
          <w:p>
            <w:pPr>
              <w:keepNext/>
              <w:spacing w:after="0"/>
            </w:pPr>
            <w:r>
              <w:rPr>
                <w:rFonts w:ascii="Calibri" w:hAnsi="Calibri"/>
                <w:b/>
                <w:color w:val="0B2545"/>
                <w:sz w:val="16"/>
              </w:rPr>
              <w:t>Required design</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Identity</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OIDC; SAML for enterprise; passkeys/MFA; adaptive assurance; SCIM; short sessions for sensitive roles</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Authorization</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RBAC baseline plus ABAC for tenant, legal entity, rooftop, department, ownership, amount, purpose, and assurance</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Data isolation</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RLS, tenant-qualified FKs, per-tenant export, support-access approvals, continuous negative tests</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Encryption</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TLS; KMS envelope encryption; rotation; field-level protection/tokenization for highly sensitive identifiers</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Secrets</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Managed secret store, workload identity, no long-lived cloud keys, provider credential rotation</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Application edge</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WAF, rate limits, request/body caps, secure headers, CORS allowlists, bot/fraud controls</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Software supply chain</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Pinned lockfiles/images, SAST/SCA/secret scan, SBOM, signed artifacts, provenance, patch SLO</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Audit</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Append-only evidence, hash chaining or WORM export, clock integrity, actor/session/policy/resource versions</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Secure operations</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Least privilege, break glass, JIT production access, session recording, change approval, incident playbooks</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Testing</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6"/>
              </w:rPr>
              <w:t>Threat models, code review, DAST, penetration testing, tenant-isolation suite, backup restore, abuse cases</w:t>
            </w:r>
          </w:p>
        </w:tc>
      </w:tr>
    </w:tbl>
    <w:p>
      <w:pPr>
        <w:spacing w:after="0"/>
      </w:pPr>
    </w:p>
    <w:p>
      <w:pPr>
        <w:pStyle w:val="Heading2"/>
      </w:pPr>
      <w:r>
        <w:t>10.2 U.S. dealer control map</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800"/>
        <w:gridCol w:w="4200"/>
        <w:gridCol w:w="3360"/>
      </w:tblGrid>
      <w:tr>
        <w:trPr>
          <w:cantSplit/>
          <w:tblHeader w:val="true"/>
        </w:trPr>
        <w:tc>
          <w:tcPr>
            <w:tcW w:type="dxa" w:w="1800"/>
            <w:tcMar>
              <w:top w:w="80" w:type="dxa"/>
              <w:start w:w="120" w:type="dxa"/>
              <w:bottom w:w="80" w:type="dxa"/>
              <w:end w:w="120" w:type="dxa"/>
            </w:tcMar>
            <w:shd w:fill="FFF4CE"/>
            <w:vAlign w:val="center"/>
          </w:tcPr>
          <w:p>
            <w:pPr>
              <w:keepNext/>
              <w:spacing w:after="0"/>
            </w:pPr>
            <w:r>
              <w:rPr>
                <w:rFonts w:ascii="Calibri" w:hAnsi="Calibri"/>
                <w:b/>
                <w:color w:val="0B2545"/>
                <w:sz w:val="14"/>
              </w:rPr>
              <w:t>Area</w:t>
            </w:r>
          </w:p>
        </w:tc>
        <w:tc>
          <w:tcPr>
            <w:tcW w:type="dxa" w:w="4200"/>
            <w:tcMar>
              <w:top w:w="80" w:type="dxa"/>
              <w:start w:w="120" w:type="dxa"/>
              <w:bottom w:w="80" w:type="dxa"/>
              <w:end w:w="120" w:type="dxa"/>
            </w:tcMar>
            <w:shd w:fill="FFF4CE"/>
            <w:vAlign w:val="center"/>
          </w:tcPr>
          <w:p>
            <w:pPr>
              <w:keepNext/>
              <w:spacing w:after="0"/>
            </w:pPr>
            <w:r>
              <w:rPr>
                <w:rFonts w:ascii="Calibri" w:hAnsi="Calibri"/>
                <w:b/>
                <w:color w:val="0B2545"/>
                <w:sz w:val="14"/>
              </w:rPr>
              <w:t>Engineering implication</w:t>
            </w:r>
          </w:p>
        </w:tc>
        <w:tc>
          <w:tcPr>
            <w:tcW w:type="dxa" w:w="3360"/>
            <w:tcMar>
              <w:top w:w="80" w:type="dxa"/>
              <w:start w:w="120" w:type="dxa"/>
              <w:bottom w:w="80" w:type="dxa"/>
              <w:end w:w="120" w:type="dxa"/>
            </w:tcMar>
            <w:shd w:fill="FFF4CE"/>
            <w:vAlign w:val="center"/>
          </w:tcPr>
          <w:p>
            <w:pPr>
              <w:keepNext/>
              <w:spacing w:after="0"/>
            </w:pPr>
            <w:r>
              <w:rPr>
                <w:rFonts w:ascii="Calibri" w:hAnsi="Calibri"/>
                <w:b/>
                <w:color w:val="0B2545"/>
                <w:sz w:val="14"/>
              </w:rPr>
              <w:t>Product control</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FTC Safeguards Rule / GLBA</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Qualified security program, risk assessment, access controls, encryption, MFA, monitoring, service-provider oversight, incident response, reporting</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Security control library and annual evidence package [C1–C2]</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FTC breach notification</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Evaluate notification duty for unauthorized acquisition of unencrypted customer information affecting at least 500 consumers; FTC FAQ states 30 days after discovery</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Incident workflow, data inventory, affected-record query, decision/evidence clock [C1]</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FTC Red Flags Rule</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Written identity-theft prevention program appropriate to covered accounts and detected red flags</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Policy, alerts, case management, resolution evidence, periodic review [C3]</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FCRA / risk-based pricing</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Permissible purpose, consumer report controls, adverse action and risk-based pricing/credit score disclosures</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Consent/evidence, provider response lineage, compliant notice generation and delivery [C6]</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ECOA / Regulation B</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Fair treatment, action-taken and adverse-action notices, reasons, timing, retention</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Decision provenance, reason codes, human/compliance review, immutable notices [C5]</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PCI DSS v4.0.1</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Protect payment account data and operate applicable PCI controls</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Use hosted/tokenized payments to reduce scope; never store raw PAN/CVV [C4]</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IRS Form 8300</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Report qualifying cash transactions over $10,000 and retain supporting evidence</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Cash aggregation rules, alerts, case workflow, filing/reference tracking [C7]</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OFAC sanctions</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Risk-based sanctions compliance and screening appropriate to transactions and parties</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Provider integration, fuzzy match case review, list/version evidence, re-screen policy [C8]</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TCPA / CAN-SPAM / privacy</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Purpose- and channel-specific consent, opt-outs, quiet hours, suppression, notices, retention</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Central consent ledger and communication policy</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E-SIGN / UETA / records</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Consent to electronic records, attribution, intent, integrity, accessibility, retention</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Versioned document package, signing ceremony, certificate/evidence artifact</w:t>
            </w:r>
          </w:p>
        </w:tc>
      </w:tr>
      <w:tr>
        <w:trPr>
          <w:trHeight w:hRule="atLeast"/>
          <w:cantSpli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State/OEM/DMV obligations</w:t>
            </w:r>
          </w:p>
        </w:tc>
        <w:tc>
          <w:tcPr>
            <w:tcW w:type="dxa" w:w="4200"/>
            <w:vAlign w:val="top"/>
            <w:tcMar>
              <w:top w:w="80" w:type="dxa"/>
              <w:start w:w="120" w:type="dxa"/>
              <w:bottom w:w="80" w:type="dxa"/>
              <w:end w:w="120" w:type="dxa"/>
            </w:tcMar>
          </w:tcPr>
          <w:p>
            <w:pPr>
              <w:spacing w:before="0" w:after="40" w:line="240" w:lineRule="auto"/>
            </w:pPr>
            <w:r>
              <w:rPr>
                <w:rFonts w:ascii="Calibri" w:hAnsi="Calibri"/>
                <w:b w:val="0"/>
                <w:color w:val="1F2328"/>
                <w:sz w:val="14"/>
              </w:rPr>
              <w:t>Jurisdiction- and franchise-specific forms, fees, disclosures, warranty, titling, record rules</w:t>
            </w:r>
          </w:p>
        </w:tc>
        <w:tc>
          <w:tcPr>
            <w:tcW w:type="dxa" w:w="3360"/>
            <w:vAlign w:val="top"/>
            <w:tcMar>
              <w:top w:w="80" w:type="dxa"/>
              <w:start w:w="120" w:type="dxa"/>
              <w:bottom w:w="80" w:type="dxa"/>
              <w:end w:w="120" w:type="dxa"/>
            </w:tcMar>
          </w:tcPr>
          <w:p>
            <w:pPr>
              <w:spacing w:before="0" w:after="40" w:line="240" w:lineRule="auto"/>
            </w:pPr>
            <w:r>
              <w:rPr>
                <w:rFonts w:ascii="Calibri" w:hAnsi="Calibri"/>
                <w:b w:val="0"/>
                <w:color w:val="1F2328"/>
                <w:sz w:val="14"/>
              </w:rPr>
              <w:t>Effective-dated jurisdiction packs validated by counsel/provider</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9B1C1C"/>
          <w:left w:val="single" w:sz="6" w:space="0" w:color="9B1C1C"/>
          <w:bottom w:val="single" w:sz="6" w:space="0" w:color="9B1C1C"/>
          <w:right w:val="single" w:sz="6" w:space="0" w:color="9B1C1C"/>
          <w:insideH w:val="single" w:sz="6" w:space="0" w:color="9B1C1C"/>
          <w:insideV w:val="single" w:sz="6" w:space="0" w:color="9B1C1C"/>
        </w:tblBorders>
      </w:tblPr>
      <w:tblGrid>
        <w:gridCol w:w="9360"/>
      </w:tblGrid>
      <w:tr>
        <w:trPr>
          <w:cantSplit/>
        </w:trPr>
        <w:tc>
          <w:tcPr>
            <w:tcW w:type="dxa" w:w="9360"/>
            <w:tcMar>
              <w:top w:w="80" w:type="dxa"/>
              <w:start w:w="120" w:type="dxa"/>
              <w:bottom w:w="80" w:type="dxa"/>
              <w:end w:w="120" w:type="dxa"/>
            </w:tcMar>
            <w:shd w:fill="FCE8E6"/>
            <w:vAlign w:val="center"/>
          </w:tcPr>
          <w:p>
            <w:pPr>
              <w:spacing w:after="60"/>
            </w:pPr>
            <w:r>
              <w:rPr>
                <w:rFonts w:ascii="Calibri" w:hAnsi="Calibri"/>
                <w:b/>
                <w:color w:val="9B1C1C"/>
                <w:sz w:val="21"/>
              </w:rPr>
              <w:t>Legal validation required</w:t>
            </w:r>
          </w:p>
          <w:p>
            <w:pPr>
              <w:spacing w:after="0" w:line="264" w:lineRule="auto"/>
            </w:pPr>
            <w:r>
              <w:rPr>
                <w:rFonts w:ascii="Calibri" w:hAnsi="Calibri"/>
                <w:color w:val="1F2328"/>
                <w:sz w:val="21"/>
              </w:rPr>
              <w:t>The product must support compliant operations, but software architecture cannot decide which entity is the creditor, which dealer activities create specific duties, or which state/OEM rules apply. Assign accountable legal/compliance owners and preserve their approved policy versions.</w:t>
            </w:r>
          </w:p>
        </w:tc>
      </w:tr>
    </w:tbl>
    <w:p>
      <w:pPr>
        <w:spacing w:after="0"/>
      </w:pPr>
    </w:p>
    <w:p>
      <w:pPr>
        <w:pStyle w:val="Heading2"/>
      </w:pPr>
      <w:r>
        <w:t>10.3 Data privacy and retention</w:t>
      </w:r>
    </w:p>
    <w:p>
      <w:pPr>
        <w:pStyle w:val="ListBullet"/>
      </w:pPr>
      <w:r>
        <w:t>Maintain a data catalog mapping field → classification → purpose → lawful/business basis → processors → retention → deletion/anonymization method.</w:t>
      </w:r>
    </w:p>
    <w:p>
      <w:pPr>
        <w:pStyle w:val="ListBullet"/>
      </w:pPr>
      <w:r>
        <w:t>Separate customer-facing access from employee access; require reauthentication for sensitive documents, identity data, and payment changes.</w:t>
      </w:r>
    </w:p>
    <w:p>
      <w:pPr>
        <w:pStyle w:val="ListBullet"/>
      </w:pPr>
      <w:r>
        <w:t>Support access, export, correction, restriction, and deletion/anonymization workflows subject to statutory and accounting retention.</w:t>
      </w:r>
    </w:p>
    <w:p>
      <w:pPr>
        <w:pStyle w:val="ListBullet"/>
      </w:pPr>
      <w:r>
        <w:t>Partition analytics and AI datasets from operational access; remove direct identifiers where not essential.</w:t>
      </w:r>
    </w:p>
    <w:p>
      <w:pPr>
        <w:pStyle w:val="ListBullet"/>
      </w:pPr>
      <w:r>
        <w:t>Provide dealer-configurable legal holds and immutable record preservation without making every operational record permanently mutable or undeletable.</w:t>
      </w:r>
    </w:p>
    <w:p>
      <w:r>
        <w:br w:type="page"/>
      </w:r>
    </w:p>
    <w:p>
      <w:pPr>
        <w:pStyle w:val="Heading1"/>
      </w:pPr>
      <w:r>
        <w:t>11. Reliability, Operations, and Quality</w:t>
      </w:r>
    </w:p>
    <w:p>
      <w:pPr>
        <w:pStyle w:val="Heading2"/>
      </w:pPr>
      <w:r>
        <w:t>11.1 Initial service objectives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900"/>
        <w:gridCol w:w="4440"/>
        <w:gridCol w:w="3020"/>
      </w:tblGrid>
      <w:tr>
        <w:trPr>
          <w:cantSplit/>
          <w:tblHeader w:val="true"/>
        </w:trPr>
        <w:tc>
          <w:tcPr>
            <w:tcW w:type="dxa" w:w="1900"/>
            <w:tcMar>
              <w:top w:w="80" w:type="dxa"/>
              <w:start w:w="120" w:type="dxa"/>
              <w:bottom w:w="80" w:type="dxa"/>
              <w:end w:w="120" w:type="dxa"/>
            </w:tcMar>
            <w:shd w:fill="F2F4F7"/>
            <w:vAlign w:val="center"/>
          </w:tcPr>
          <w:p>
            <w:pPr>
              <w:keepNext/>
              <w:spacing w:after="0"/>
            </w:pPr>
            <w:r>
              <w:rPr>
                <w:rFonts w:ascii="Calibri" w:hAnsi="Calibri"/>
                <w:b/>
                <w:color w:val="0B2545"/>
                <w:sz w:val="16"/>
              </w:rPr>
              <w:t>Objective</w:t>
            </w:r>
          </w:p>
        </w:tc>
        <w:tc>
          <w:tcPr>
            <w:tcW w:type="dxa" w:w="4440"/>
            <w:tcMar>
              <w:top w:w="80" w:type="dxa"/>
              <w:start w:w="120" w:type="dxa"/>
              <w:bottom w:w="80" w:type="dxa"/>
              <w:end w:w="120" w:type="dxa"/>
            </w:tcMar>
            <w:shd w:fill="F2F4F7"/>
            <w:vAlign w:val="center"/>
          </w:tcPr>
          <w:p>
            <w:pPr>
              <w:keepNext/>
              <w:spacing w:after="0"/>
            </w:pPr>
            <w:r>
              <w:rPr>
                <w:rFonts w:ascii="Calibri" w:hAnsi="Calibri"/>
                <w:b/>
                <w:color w:val="0B2545"/>
                <w:sz w:val="16"/>
              </w:rPr>
              <w:t>Target</w:t>
            </w:r>
          </w:p>
        </w:tc>
        <w:tc>
          <w:tcPr>
            <w:tcW w:type="dxa" w:w="3020"/>
            <w:tcMar>
              <w:top w:w="80" w:type="dxa"/>
              <w:start w:w="120" w:type="dxa"/>
              <w:bottom w:w="80" w:type="dxa"/>
              <w:end w:w="120" w:type="dxa"/>
            </w:tcMar>
            <w:shd w:fill="F2F4F7"/>
            <w:vAlign w:val="center"/>
          </w:tcPr>
          <w:p>
            <w:pPr>
              <w:keepNext/>
              <w:spacing w:after="0"/>
            </w:pPr>
            <w:r>
              <w:rPr>
                <w:rFonts w:ascii="Calibri" w:hAnsi="Calibri"/>
                <w:b/>
                <w:color w:val="0B2545"/>
                <w:sz w:val="16"/>
              </w:rPr>
              <w:t>Proof</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Availability</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99.9% sellable V1; 99.95% enterprise tier after proven operations</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Monthly SLO with error-budget policy</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Interactive API</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p95 reads &lt;300 ms; p95 writes &lt;700 ms excluding documented external/async work</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Measured per endpoint class and tenant-safe</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Customer authorization</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p95 page/action &lt;2 s on mobile broadband</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Synthetic journey plus real-user monitoring</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Async delivery</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95% of ordinary events/webhooks dispatched &lt;60 s</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Backlog age and poison-message SLO</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Durability</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No acknowledged transaction loss</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ACID state + transactional outbox</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Recovery</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RPO ≤5 min; RTO ≤60 min for critical transaction path</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Quarterly restore and annual regional exercise</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Accessibility</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WCAG 2.2 AA</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Automated and manual keyboard/screen-reader checks</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Localization</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English and Spanish for V1 customer/fixed-ops journeys</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No hard-coded customer-facing strings</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Audit retention</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Configurable policy, commonly seven years for financial/evidence records</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Legal/compliance approval by record class</w:t>
            </w:r>
          </w:p>
        </w:tc>
      </w:tr>
      <w:tr>
        <w:trPr>
          <w:trHeight w:hRule="atLeas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6"/>
              </w:rPr>
              <w:t>Offline tolerance</w:t>
            </w:r>
          </w:p>
        </w:tc>
        <w:tc>
          <w:tcPr>
            <w:tcW w:type="dxa" w:w="4440"/>
            <w:vAlign w:val="top"/>
            <w:tcMar>
              <w:top w:w="80" w:type="dxa"/>
              <w:start w:w="120" w:type="dxa"/>
              <w:bottom w:w="80" w:type="dxa"/>
              <w:end w:w="120" w:type="dxa"/>
            </w:tcMar>
          </w:tcPr>
          <w:p>
            <w:pPr>
              <w:spacing w:before="0" w:after="40" w:line="240" w:lineRule="auto"/>
            </w:pPr>
            <w:r>
              <w:rPr>
                <w:rFonts w:ascii="Calibri" w:hAnsi="Calibri"/>
                <w:b w:val="0"/>
                <w:color w:val="1F2328"/>
                <w:sz w:val="16"/>
              </w:rPr>
              <w:t>Technician PWA can safely cache assigned work and queue permitted updates</w:t>
            </w:r>
          </w:p>
        </w:tc>
        <w:tc>
          <w:tcPr>
            <w:tcW w:type="dxa" w:w="3020"/>
            <w:vAlign w:val="top"/>
            <w:tcMar>
              <w:top w:w="80" w:type="dxa"/>
              <w:start w:w="120" w:type="dxa"/>
              <w:bottom w:w="80" w:type="dxa"/>
              <w:end w:w="120" w:type="dxa"/>
            </w:tcMar>
          </w:tcPr>
          <w:p>
            <w:pPr>
              <w:spacing w:before="0" w:after="40" w:line="240" w:lineRule="auto"/>
            </w:pPr>
            <w:r>
              <w:rPr>
                <w:rFonts w:ascii="Calibri" w:hAnsi="Calibri"/>
                <w:b w:val="0"/>
                <w:color w:val="1F2328"/>
                <w:sz w:val="16"/>
              </w:rPr>
              <w:t>Conflict policy and encrypted local storage</w:t>
            </w:r>
          </w:p>
        </w:tc>
      </w:tr>
    </w:tbl>
    <w:p>
      <w:pPr>
        <w:spacing w:after="0"/>
      </w:pPr>
    </w:p>
    <w:p>
      <w:pPr>
        <w:pStyle w:val="Heading2"/>
      </w:pPr>
      <w:r>
        <w:t>11.2 Delivery and migration discipline</w:t>
      </w:r>
    </w:p>
    <w:p>
      <w:pPr>
        <w:pStyle w:val="ListBullet"/>
      </w:pPr>
      <w:r>
        <w:t>Migrations are immutable, checksummed, serialized with advisory locks, and tested from every supported prior version.</w:t>
      </w:r>
    </w:p>
    <w:p>
      <w:pPr>
        <w:pStyle w:val="ListBullet"/>
      </w:pPr>
      <w:r>
        <w:t>Use expand/migrate/contract changes. Application versions remain compatible across rolling deployment windows.</w:t>
      </w:r>
    </w:p>
    <w:p>
      <w:pPr>
        <w:pStyle w:val="ListBullet"/>
      </w:pPr>
      <w:r>
        <w:t>Backfills are resumable, rate-limited, observable, tenant-scoped, and produce reconciliation reports.</w:t>
      </w:r>
    </w:p>
    <w:p>
      <w:pPr>
        <w:pStyle w:val="ListBullet"/>
      </w:pPr>
      <w:r>
        <w:t>Every release includes database compatibility, rollback decision, feature-flag plan, and post-deploy verification.</w:t>
      </w:r>
    </w:p>
    <w:p>
      <w:pPr>
        <w:pStyle w:val="ListBullet"/>
      </w:pPr>
      <w:r>
        <w:t>Production deploys use progressive exposure and automatic rollback on defined SLO/error signals.</w:t>
      </w:r>
    </w:p>
    <w:p>
      <w:pPr>
        <w:pStyle w:val="ListBullet"/>
      </w:pPr>
      <w:r>
        <w:t>Backups are not accepted until a separate environment restores them and application-level integrity checks pass.</w:t>
      </w:r>
    </w:p>
    <w:p>
      <w:pPr>
        <w:pStyle w:val="Heading2"/>
      </w:pPr>
      <w:r>
        <w:t>11.3 Required test pyramid</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550"/>
        <w:gridCol w:w="4430"/>
        <w:gridCol w:w="3380"/>
      </w:tblGrid>
      <w:tr>
        <w:trPr>
          <w:cantSplit/>
          <w:tblHeader w:val="true"/>
        </w:trPr>
        <w:tc>
          <w:tcPr>
            <w:tcW w:type="dxa" w:w="1550"/>
            <w:tcMar>
              <w:top w:w="80" w:type="dxa"/>
              <w:start w:w="120" w:type="dxa"/>
              <w:bottom w:w="80" w:type="dxa"/>
              <w:end w:w="120" w:type="dxa"/>
            </w:tcMar>
            <w:shd w:fill="F2F4F7"/>
            <w:vAlign w:val="center"/>
          </w:tcPr>
          <w:p>
            <w:pPr>
              <w:keepNext/>
              <w:spacing w:after="0"/>
            </w:pPr>
            <w:r>
              <w:rPr>
                <w:rFonts w:ascii="Calibri" w:hAnsi="Calibri"/>
                <w:b/>
                <w:color w:val="0B2545"/>
                <w:sz w:val="16"/>
              </w:rPr>
              <w:t>Layer</w:t>
            </w:r>
          </w:p>
        </w:tc>
        <w:tc>
          <w:tcPr>
            <w:tcW w:type="dxa" w:w="4430"/>
            <w:tcMar>
              <w:top w:w="80" w:type="dxa"/>
              <w:start w:w="120" w:type="dxa"/>
              <w:bottom w:w="80" w:type="dxa"/>
              <w:end w:w="120" w:type="dxa"/>
            </w:tcMar>
            <w:shd w:fill="F2F4F7"/>
            <w:vAlign w:val="center"/>
          </w:tcPr>
          <w:p>
            <w:pPr>
              <w:keepNext/>
              <w:spacing w:after="0"/>
            </w:pPr>
            <w:r>
              <w:rPr>
                <w:rFonts w:ascii="Calibri" w:hAnsi="Calibri"/>
                <w:b/>
                <w:color w:val="0B2545"/>
                <w:sz w:val="16"/>
              </w:rPr>
              <w:t>Examples</w:t>
            </w:r>
          </w:p>
        </w:tc>
        <w:tc>
          <w:tcPr>
            <w:tcW w:type="dxa" w:w="3380"/>
            <w:tcMar>
              <w:top w:w="80" w:type="dxa"/>
              <w:start w:w="120" w:type="dxa"/>
              <w:bottom w:w="80" w:type="dxa"/>
              <w:end w:w="120" w:type="dxa"/>
            </w:tcMar>
            <w:shd w:fill="F2F4F7"/>
            <w:vAlign w:val="center"/>
          </w:tcPr>
          <w:p>
            <w:pPr>
              <w:keepNext/>
              <w:spacing w:after="0"/>
            </w:pPr>
            <w:r>
              <w:rPr>
                <w:rFonts w:ascii="Calibri" w:hAnsi="Calibri"/>
                <w:b/>
                <w:color w:val="0B2545"/>
                <w:sz w:val="16"/>
              </w:rPr>
              <w:t>Minimum proof</w:t>
            </w:r>
          </w:p>
        </w:tc>
      </w:tr>
      <w:tr>
        <w:trPr>
          <w:trHeight w:hRule="atLeast"/>
          <w:cantSplit/>
          <w:cantSplit/>
          <w:cantSplit/>
        </w:trPr>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Domain</w:t>
            </w:r>
          </w:p>
        </w:tc>
        <w:tc>
          <w:tcPr>
            <w:tcW w:type="dxa" w:w="4430"/>
            <w:vAlign w:val="top"/>
            <w:tcMar>
              <w:top w:w="80" w:type="dxa"/>
              <w:start w:w="120" w:type="dxa"/>
              <w:bottom w:w="80" w:type="dxa"/>
              <w:end w:w="120" w:type="dxa"/>
            </w:tcMar>
          </w:tcPr>
          <w:p>
            <w:pPr>
              <w:spacing w:before="0" w:after="40" w:line="240" w:lineRule="auto"/>
            </w:pPr>
            <w:r>
              <w:rPr>
                <w:rFonts w:ascii="Calibri" w:hAnsi="Calibri"/>
                <w:b w:val="0"/>
                <w:color w:val="1F2328"/>
                <w:sz w:val="16"/>
              </w:rPr>
              <w:t>State-machine, pricing, tax, allocation, ledger balance, policy</w:t>
            </w:r>
          </w:p>
        </w:tc>
        <w:tc>
          <w:tcPr>
            <w:tcW w:type="dxa" w:w="3380"/>
            <w:vAlign w:val="top"/>
            <w:tcMar>
              <w:top w:w="80" w:type="dxa"/>
              <w:start w:w="120" w:type="dxa"/>
              <w:bottom w:w="80" w:type="dxa"/>
              <w:end w:w="120" w:type="dxa"/>
            </w:tcMar>
          </w:tcPr>
          <w:p>
            <w:pPr>
              <w:spacing w:before="0" w:after="40" w:line="240" w:lineRule="auto"/>
            </w:pPr>
            <w:r>
              <w:rPr>
                <w:rFonts w:ascii="Calibri" w:hAnsi="Calibri"/>
                <w:b w:val="0"/>
                <w:color w:val="1F2328"/>
                <w:sz w:val="16"/>
              </w:rPr>
              <w:t>Unit + property-based + mutation</w:t>
            </w:r>
          </w:p>
        </w:tc>
      </w:tr>
      <w:tr>
        <w:trPr>
          <w:trHeight w:hRule="atLeast"/>
          <w:cantSplit/>
          <w:cantSplit/>
          <w:cantSplit/>
        </w:trPr>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Application</w:t>
            </w:r>
          </w:p>
        </w:tc>
        <w:tc>
          <w:tcPr>
            <w:tcW w:type="dxa" w:w="4430"/>
            <w:vAlign w:val="top"/>
            <w:tcMar>
              <w:top w:w="80" w:type="dxa"/>
              <w:start w:w="120" w:type="dxa"/>
              <w:bottom w:w="80" w:type="dxa"/>
              <w:end w:w="120" w:type="dxa"/>
            </w:tcMar>
          </w:tcPr>
          <w:p>
            <w:pPr>
              <w:spacing w:before="0" w:after="40" w:line="240" w:lineRule="auto"/>
            </w:pPr>
            <w:r>
              <w:rPr>
                <w:rFonts w:ascii="Calibri" w:hAnsi="Calibri"/>
                <w:b w:val="0"/>
                <w:color w:val="1F2328"/>
                <w:sz w:val="16"/>
              </w:rPr>
              <w:t>Commands/queries, authorization, idempotency, workflows</w:t>
            </w:r>
          </w:p>
        </w:tc>
        <w:tc>
          <w:tcPr>
            <w:tcW w:type="dxa" w:w="3380"/>
            <w:vAlign w:val="top"/>
            <w:tcMar>
              <w:top w:w="80" w:type="dxa"/>
              <w:start w:w="120" w:type="dxa"/>
              <w:bottom w:w="80" w:type="dxa"/>
              <w:end w:w="120" w:type="dxa"/>
            </w:tcMar>
          </w:tcPr>
          <w:p>
            <w:pPr>
              <w:spacing w:before="0" w:after="40" w:line="240" w:lineRule="auto"/>
            </w:pPr>
            <w:r>
              <w:rPr>
                <w:rFonts w:ascii="Calibri" w:hAnsi="Calibri"/>
                <w:b w:val="0"/>
                <w:color w:val="1F2328"/>
                <w:sz w:val="16"/>
              </w:rPr>
              <w:t>Integration with real Postgres/Redis/queue emulators</w:t>
            </w:r>
          </w:p>
        </w:tc>
      </w:tr>
      <w:tr>
        <w:trPr>
          <w:trHeight w:hRule="atLeast"/>
          <w:cantSplit/>
          <w:cantSplit/>
          <w:cantSplit/>
        </w:trPr>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Contract</w:t>
            </w:r>
          </w:p>
        </w:tc>
        <w:tc>
          <w:tcPr>
            <w:tcW w:type="dxa" w:w="4430"/>
            <w:vAlign w:val="top"/>
            <w:tcMar>
              <w:top w:w="80" w:type="dxa"/>
              <w:start w:w="120" w:type="dxa"/>
              <w:bottom w:w="80" w:type="dxa"/>
              <w:end w:w="120" w:type="dxa"/>
            </w:tcMar>
          </w:tcPr>
          <w:p>
            <w:pPr>
              <w:spacing w:before="0" w:after="40" w:line="240" w:lineRule="auto"/>
            </w:pPr>
            <w:r>
              <w:rPr>
                <w:rFonts w:ascii="Calibri" w:hAnsi="Calibri"/>
                <w:b w:val="0"/>
                <w:color w:val="1F2328"/>
                <w:sz w:val="16"/>
              </w:rPr>
              <w:t>OpenAPI compatibility, provider adapters, webhooks, events</w:t>
            </w:r>
          </w:p>
        </w:tc>
        <w:tc>
          <w:tcPr>
            <w:tcW w:type="dxa" w:w="3380"/>
            <w:vAlign w:val="top"/>
            <w:tcMar>
              <w:top w:w="80" w:type="dxa"/>
              <w:start w:w="120" w:type="dxa"/>
              <w:bottom w:w="80" w:type="dxa"/>
              <w:end w:w="120" w:type="dxa"/>
            </w:tcMar>
          </w:tcPr>
          <w:p>
            <w:pPr>
              <w:spacing w:before="0" w:after="40" w:line="240" w:lineRule="auto"/>
            </w:pPr>
            <w:r>
              <w:rPr>
                <w:rFonts w:ascii="Calibri" w:hAnsi="Calibri"/>
                <w:b w:val="0"/>
                <w:color w:val="1F2328"/>
                <w:sz w:val="16"/>
              </w:rPr>
              <w:t>Schema and consumer-driven contract suites</w:t>
            </w:r>
          </w:p>
        </w:tc>
      </w:tr>
      <w:tr>
        <w:trPr>
          <w:trHeight w:hRule="atLeast"/>
          <w:cantSplit/>
          <w:cantSplit/>
          <w:cantSplit/>
        </w:trPr>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Tenant/security</w:t>
            </w:r>
          </w:p>
        </w:tc>
        <w:tc>
          <w:tcPr>
            <w:tcW w:type="dxa" w:w="4430"/>
            <w:vAlign w:val="top"/>
            <w:tcMar>
              <w:top w:w="80" w:type="dxa"/>
              <w:start w:w="120" w:type="dxa"/>
              <w:bottom w:w="80" w:type="dxa"/>
              <w:end w:w="120" w:type="dxa"/>
            </w:tcMar>
          </w:tcPr>
          <w:p>
            <w:pPr>
              <w:spacing w:before="0" w:after="40" w:line="240" w:lineRule="auto"/>
            </w:pPr>
            <w:r>
              <w:rPr>
                <w:rFonts w:ascii="Calibri" w:hAnsi="Calibri"/>
                <w:b w:val="0"/>
                <w:color w:val="1F2328"/>
                <w:sz w:val="16"/>
              </w:rPr>
              <w:t>Cross-tenant references, RLS, roles, support, enumeration</w:t>
            </w:r>
          </w:p>
        </w:tc>
        <w:tc>
          <w:tcPr>
            <w:tcW w:type="dxa" w:w="3380"/>
            <w:vAlign w:val="top"/>
            <w:tcMar>
              <w:top w:w="80" w:type="dxa"/>
              <w:start w:w="120" w:type="dxa"/>
              <w:bottom w:w="80" w:type="dxa"/>
              <w:end w:w="120" w:type="dxa"/>
            </w:tcMar>
          </w:tcPr>
          <w:p>
            <w:pPr>
              <w:spacing w:before="0" w:after="40" w:line="240" w:lineRule="auto"/>
            </w:pPr>
            <w:r>
              <w:rPr>
                <w:rFonts w:ascii="Calibri" w:hAnsi="Calibri"/>
                <w:b w:val="0"/>
                <w:color w:val="1F2328"/>
                <w:sz w:val="16"/>
              </w:rPr>
              <w:t>Negative mutation tests and penetration tests</w:t>
            </w:r>
          </w:p>
        </w:tc>
      </w:tr>
      <w:tr>
        <w:trPr>
          <w:trHeight w:hRule="atLeast"/>
          <w:cantSplit/>
          <w:cantSplit/>
          <w:cantSplit/>
        </w:trPr>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Concurrency</w:t>
            </w:r>
          </w:p>
        </w:tc>
        <w:tc>
          <w:tcPr>
            <w:tcW w:type="dxa" w:w="4430"/>
            <w:vAlign w:val="top"/>
            <w:tcMar>
              <w:top w:w="80" w:type="dxa"/>
              <w:start w:w="120" w:type="dxa"/>
              <w:bottom w:w="80" w:type="dxa"/>
              <w:end w:w="120" w:type="dxa"/>
            </w:tcMar>
          </w:tcPr>
          <w:p>
            <w:pPr>
              <w:spacing w:before="0" w:after="40" w:line="240" w:lineRule="auto"/>
            </w:pPr>
            <w:r>
              <w:rPr>
                <w:rFonts w:ascii="Calibri" w:hAnsi="Calibri"/>
                <w:b w:val="0"/>
                <w:color w:val="1F2328"/>
                <w:sz w:val="16"/>
              </w:rPr>
              <w:t>Double booking, double authorization, reservation, clocking, payment</w:t>
            </w:r>
          </w:p>
        </w:tc>
        <w:tc>
          <w:tcPr>
            <w:tcW w:type="dxa" w:w="3380"/>
            <w:vAlign w:val="top"/>
            <w:tcMar>
              <w:top w:w="80" w:type="dxa"/>
              <w:start w:w="120" w:type="dxa"/>
              <w:bottom w:w="80" w:type="dxa"/>
              <w:end w:w="120" w:type="dxa"/>
            </w:tcMar>
          </w:tcPr>
          <w:p>
            <w:pPr>
              <w:spacing w:before="0" w:after="40" w:line="240" w:lineRule="auto"/>
            </w:pPr>
            <w:r>
              <w:rPr>
                <w:rFonts w:ascii="Calibri" w:hAnsi="Calibri"/>
                <w:b w:val="0"/>
                <w:color w:val="1F2328"/>
                <w:sz w:val="16"/>
              </w:rPr>
              <w:t>Deterministic race suites with locks/retries</w:t>
            </w:r>
          </w:p>
        </w:tc>
      </w:tr>
      <w:tr>
        <w:trPr>
          <w:trHeight w:hRule="atLeast"/>
          <w:cantSplit/>
          <w:cantSplit/>
          <w:cantSplit/>
        </w:trPr>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Journey</w:t>
            </w:r>
          </w:p>
        </w:tc>
        <w:tc>
          <w:tcPr>
            <w:tcW w:type="dxa" w:w="4430"/>
            <w:vAlign w:val="top"/>
            <w:tcMar>
              <w:top w:w="80" w:type="dxa"/>
              <w:start w:w="120" w:type="dxa"/>
              <w:bottom w:w="80" w:type="dxa"/>
              <w:end w:w="120" w:type="dxa"/>
            </w:tcMar>
          </w:tcPr>
          <w:p>
            <w:pPr>
              <w:spacing w:before="0" w:after="40" w:line="240" w:lineRule="auto"/>
            </w:pPr>
            <w:r>
              <w:rPr>
                <w:rFonts w:ascii="Calibri" w:hAnsi="Calibri"/>
                <w:b w:val="0"/>
                <w:color w:val="1F2328"/>
                <w:sz w:val="16"/>
              </w:rPr>
              <w:t>Lead-to-sale; appointment-to-payment; returns/refunds; close/reopen</w:t>
            </w:r>
          </w:p>
        </w:tc>
        <w:tc>
          <w:tcPr>
            <w:tcW w:type="dxa" w:w="3380"/>
            <w:vAlign w:val="top"/>
            <w:tcMar>
              <w:top w:w="80" w:type="dxa"/>
              <w:start w:w="120" w:type="dxa"/>
              <w:bottom w:w="80" w:type="dxa"/>
              <w:end w:w="120" w:type="dxa"/>
            </w:tcMar>
          </w:tcPr>
          <w:p>
            <w:pPr>
              <w:spacing w:before="0" w:after="40" w:line="240" w:lineRule="auto"/>
            </w:pPr>
            <w:r>
              <w:rPr>
                <w:rFonts w:ascii="Calibri" w:hAnsi="Calibri"/>
                <w:b w:val="0"/>
                <w:color w:val="1F2328"/>
                <w:sz w:val="16"/>
              </w:rPr>
              <w:t>Browser/mobile E2E against production-like env</w:t>
            </w:r>
          </w:p>
        </w:tc>
      </w:tr>
      <w:tr>
        <w:trPr>
          <w:trHeight w:hRule="atLeast"/>
          <w:cantSplit/>
          <w:cantSplit/>
          <w:cantSplit/>
        </w:trPr>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Data</w:t>
            </w:r>
          </w:p>
        </w:tc>
        <w:tc>
          <w:tcPr>
            <w:tcW w:type="dxa" w:w="4430"/>
            <w:vAlign w:val="top"/>
            <w:tcMar>
              <w:top w:w="80" w:type="dxa"/>
              <w:start w:w="120" w:type="dxa"/>
              <w:bottom w:w="80" w:type="dxa"/>
              <w:end w:w="120" w:type="dxa"/>
            </w:tcMar>
          </w:tcPr>
          <w:p>
            <w:pPr>
              <w:spacing w:before="0" w:after="40" w:line="240" w:lineRule="auto"/>
            </w:pPr>
            <w:r>
              <w:rPr>
                <w:rFonts w:ascii="Calibri" w:hAnsi="Calibri"/>
                <w:b w:val="0"/>
                <w:color w:val="1F2328"/>
                <w:sz w:val="16"/>
              </w:rPr>
              <w:t>Migrations, backfills, reconciliation, import, export, restore</w:t>
            </w:r>
          </w:p>
        </w:tc>
        <w:tc>
          <w:tcPr>
            <w:tcW w:type="dxa" w:w="3380"/>
            <w:vAlign w:val="top"/>
            <w:tcMar>
              <w:top w:w="80" w:type="dxa"/>
              <w:start w:w="120" w:type="dxa"/>
              <w:bottom w:w="80" w:type="dxa"/>
              <w:end w:w="120" w:type="dxa"/>
            </w:tcMar>
          </w:tcPr>
          <w:p>
            <w:pPr>
              <w:spacing w:before="0" w:after="40" w:line="240" w:lineRule="auto"/>
            </w:pPr>
            <w:r>
              <w:rPr>
                <w:rFonts w:ascii="Calibri" w:hAnsi="Calibri"/>
                <w:b w:val="0"/>
                <w:color w:val="1F2328"/>
                <w:sz w:val="16"/>
              </w:rPr>
              <w:t>Golden datasets and sampled production-like volume</w:t>
            </w:r>
          </w:p>
        </w:tc>
      </w:tr>
      <w:tr>
        <w:trPr>
          <w:trHeight w:hRule="atLeast"/>
          <w:cantSplit/>
          <w:cantSplit/>
          <w:cantSplit/>
        </w:trPr>
        <w:tc>
          <w:tcPr>
            <w:tcW w:type="dxa" w:w="1550"/>
            <w:vAlign w:val="top"/>
            <w:tcMar>
              <w:top w:w="80" w:type="dxa"/>
              <w:start w:w="120" w:type="dxa"/>
              <w:bottom w:w="80" w:type="dxa"/>
              <w:end w:w="120" w:type="dxa"/>
            </w:tcMar>
          </w:tcPr>
          <w:p>
            <w:pPr>
              <w:spacing w:before="0" w:after="40" w:line="240" w:lineRule="auto"/>
            </w:pPr>
            <w:r>
              <w:rPr>
                <w:rFonts w:ascii="Calibri" w:hAnsi="Calibri"/>
                <w:b w:val="0"/>
                <w:color w:val="1F2328"/>
                <w:sz w:val="16"/>
              </w:rPr>
              <w:t>Nonfunctional</w:t>
            </w:r>
          </w:p>
        </w:tc>
        <w:tc>
          <w:tcPr>
            <w:tcW w:type="dxa" w:w="4430"/>
            <w:vAlign w:val="top"/>
            <w:tcMar>
              <w:top w:w="80" w:type="dxa"/>
              <w:start w:w="120" w:type="dxa"/>
              <w:bottom w:w="80" w:type="dxa"/>
              <w:end w:w="120" w:type="dxa"/>
            </w:tcMar>
          </w:tcPr>
          <w:p>
            <w:pPr>
              <w:spacing w:before="0" w:after="40" w:line="240" w:lineRule="auto"/>
            </w:pPr>
            <w:r>
              <w:rPr>
                <w:rFonts w:ascii="Calibri" w:hAnsi="Calibri"/>
                <w:b w:val="0"/>
                <w:color w:val="1F2328"/>
                <w:sz w:val="16"/>
              </w:rPr>
              <w:t>Load, soak, chaos, accessibility, localization, DR</w:t>
            </w:r>
          </w:p>
        </w:tc>
        <w:tc>
          <w:tcPr>
            <w:tcW w:type="dxa" w:w="3380"/>
            <w:vAlign w:val="top"/>
            <w:tcMar>
              <w:top w:w="80" w:type="dxa"/>
              <w:start w:w="120" w:type="dxa"/>
              <w:bottom w:w="80" w:type="dxa"/>
              <w:end w:w="120" w:type="dxa"/>
            </w:tcMar>
          </w:tcPr>
          <w:p>
            <w:pPr>
              <w:spacing w:before="0" w:after="40" w:line="240" w:lineRule="auto"/>
            </w:pPr>
            <w:r>
              <w:rPr>
                <w:rFonts w:ascii="Calibri" w:hAnsi="Calibri"/>
                <w:b w:val="0"/>
                <w:color w:val="1F2328"/>
                <w:sz w:val="16"/>
              </w:rPr>
              <w:t>Release and quarterly gates</w:t>
            </w:r>
          </w:p>
        </w:tc>
      </w:tr>
    </w:tbl>
    <w:p>
      <w:pPr>
        <w:spacing w:after="0"/>
      </w:pPr>
    </w:p>
    <w:p>
      <w:pPr>
        <w:pStyle w:val="Heading2"/>
      </w:pPr>
      <w:r>
        <w:t>11.4 Operational dashboards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200"/>
        <w:gridCol w:w="7160"/>
      </w:tblGrid>
      <w:tr>
        <w:trPr>
          <w:cantSplit/>
          <w:tblHeader w:val="true"/>
        </w:trPr>
        <w:tc>
          <w:tcPr>
            <w:tcW w:type="dxa" w:w="2200"/>
            <w:tcMar>
              <w:top w:w="80" w:type="dxa"/>
              <w:start w:w="120" w:type="dxa"/>
              <w:bottom w:w="80" w:type="dxa"/>
              <w:end w:w="120" w:type="dxa"/>
            </w:tcMar>
            <w:shd w:fill="F2F4F7"/>
            <w:vAlign w:val="center"/>
          </w:tcPr>
          <w:p>
            <w:pPr>
              <w:keepNext/>
              <w:spacing w:after="0"/>
            </w:pPr>
            <w:r>
              <w:rPr>
                <w:rFonts w:ascii="Calibri" w:hAnsi="Calibri"/>
                <w:b/>
                <w:color w:val="0B2545"/>
                <w:sz w:val="17"/>
              </w:rPr>
              <w:t>Audience</w:t>
            </w:r>
          </w:p>
        </w:tc>
        <w:tc>
          <w:tcPr>
            <w:tcW w:type="dxa" w:w="7160"/>
            <w:tcMar>
              <w:top w:w="80" w:type="dxa"/>
              <w:start w:w="120" w:type="dxa"/>
              <w:bottom w:w="80" w:type="dxa"/>
              <w:end w:w="120" w:type="dxa"/>
            </w:tcMar>
            <w:shd w:fill="F2F4F7"/>
            <w:vAlign w:val="center"/>
          </w:tcPr>
          <w:p>
            <w:pPr>
              <w:keepNext/>
              <w:spacing w:after="0"/>
            </w:pPr>
            <w:r>
              <w:rPr>
                <w:rFonts w:ascii="Calibri" w:hAnsi="Calibri"/>
                <w:b/>
                <w:color w:val="0B2545"/>
                <w:sz w:val="17"/>
              </w:rPr>
              <w:t>Signals</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Engineering on-call</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SLO burn, saturation, queue age, DB locks, retries, integration failures, deployment health</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Dealer operator</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Appointments, cycle time, WIP, technician utilization, parts fill, authorization conversion, CSI, gross</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Finance</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Unposted intents, journal imbalance attempts, cash/settlement variance, AR/AP aging, close progress</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Security/compliance</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Privileged access, red flags, identity assurance, control failures, evidence completeness, retention holds</w:t>
            </w:r>
          </w:p>
        </w:tc>
      </w:tr>
      <w:tr>
        <w:trPr>
          <w:trHeight w:hRule="atLeast"/>
          <w:cantSplit/>
          <w:cantSplit/>
        </w:trPr>
        <w:tc>
          <w:tcPr>
            <w:tcW w:type="dxa" w:w="2200"/>
            <w:vAlign w:val="top"/>
            <w:tcMar>
              <w:top w:w="80" w:type="dxa"/>
              <w:start w:w="120" w:type="dxa"/>
              <w:bottom w:w="80" w:type="dxa"/>
              <w:end w:w="120" w:type="dxa"/>
            </w:tcMar>
          </w:tcPr>
          <w:p>
            <w:pPr>
              <w:spacing w:before="0" w:after="40" w:line="240" w:lineRule="auto"/>
            </w:pPr>
            <w:r>
              <w:rPr>
                <w:rFonts w:ascii="Calibri" w:hAnsi="Calibri"/>
                <w:b w:val="0"/>
                <w:color w:val="1F2328"/>
                <w:sz w:val="17"/>
              </w:rPr>
              <w:t>SaaS operations</w:t>
            </w:r>
          </w:p>
        </w:tc>
        <w:tc>
          <w:tcPr>
            <w:tcW w:type="dxa" w:w="7160"/>
            <w:vAlign w:val="top"/>
            <w:tcMar>
              <w:top w:w="80" w:type="dxa"/>
              <w:start w:w="120" w:type="dxa"/>
              <w:bottom w:w="80" w:type="dxa"/>
              <w:end w:w="120" w:type="dxa"/>
            </w:tcMar>
          </w:tcPr>
          <w:p>
            <w:pPr>
              <w:spacing w:before="0" w:after="40" w:line="240" w:lineRule="auto"/>
            </w:pPr>
            <w:r>
              <w:rPr>
                <w:rFonts w:ascii="Calibri" w:hAnsi="Calibri"/>
                <w:b w:val="0"/>
                <w:color w:val="1F2328"/>
                <w:sz w:val="17"/>
              </w:rPr>
              <w:t>Tenant provisioning, plan usage, connector health, data migration, support access, cost-to-serve</w:t>
            </w:r>
          </w:p>
        </w:tc>
      </w:tr>
    </w:tbl>
    <w:p>
      <w:pPr>
        <w:spacing w:after="0"/>
      </w:pPr>
    </w:p>
    <w:p>
      <w:r>
        <w:br w:type="page"/>
      </w:r>
    </w:p>
    <w:p>
      <w:pPr>
        <w:pStyle w:val="Heading1"/>
      </w:pPr>
      <w:r>
        <w:t>12. Experience, Analytics, and Governed AI</w:t>
      </w:r>
    </w:p>
    <w:p>
      <w:pPr>
        <w:pStyle w:val="Heading2"/>
      </w:pPr>
      <w:r>
        <w:t>12.1 Product surfaces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150"/>
        <w:gridCol w:w="7210"/>
      </w:tblGrid>
      <w:tr>
        <w:trPr>
          <w:cantSplit/>
          <w:tblHeader w:val="true"/>
        </w:trPr>
        <w:tc>
          <w:tcPr>
            <w:tcW w:type="dxa" w:w="2150"/>
            <w:tcMar>
              <w:top w:w="80" w:type="dxa"/>
              <w:start w:w="120" w:type="dxa"/>
              <w:bottom w:w="80" w:type="dxa"/>
              <w:end w:w="120" w:type="dxa"/>
            </w:tcMar>
            <w:shd w:fill="F2F4F7"/>
            <w:vAlign w:val="center"/>
          </w:tcPr>
          <w:p>
            <w:pPr>
              <w:keepNext/>
              <w:spacing w:after="0"/>
            </w:pPr>
            <w:r>
              <w:rPr>
                <w:rFonts w:ascii="Calibri" w:hAnsi="Calibri"/>
                <w:b/>
                <w:color w:val="0B2545"/>
                <w:sz w:val="17"/>
              </w:rPr>
              <w:t>Surface</w:t>
            </w:r>
          </w:p>
        </w:tc>
        <w:tc>
          <w:tcPr>
            <w:tcW w:type="dxa" w:w="7210"/>
            <w:tcMar>
              <w:top w:w="80" w:type="dxa"/>
              <w:start w:w="120" w:type="dxa"/>
              <w:bottom w:w="80" w:type="dxa"/>
              <w:end w:w="120" w:type="dxa"/>
            </w:tcMar>
            <w:shd w:fill="F2F4F7"/>
            <w:vAlign w:val="center"/>
          </w:tcPr>
          <w:p>
            <w:pPr>
              <w:keepNext/>
              <w:spacing w:after="0"/>
            </w:pPr>
            <w:r>
              <w:rPr>
                <w:rFonts w:ascii="Calibri" w:hAnsi="Calibri"/>
                <w:b/>
                <w:color w:val="0B2545"/>
                <w:sz w:val="17"/>
              </w:rPr>
              <w:t>Core jobs</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Advisor / service manager</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Appointment board, intake, DVI, estimate, customer comms, dispatch exceptions, invoice readiness</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Technician PWA</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Assigned work, inspection, evidence capture, time, parts request, offline queue, safety/QC</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Parts</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Availability, reservations, sourcing, PO/receipt, transfer, cores/returns, reconciliation</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Sales / CRM</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Customer 360, leads, tasks, communications, inventory, appraisal, desking, deal collaboration</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Customer</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Identity, appointment, status, DVI, estimate authorization, documents, payment, digital retail</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Accounting / controller</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Cashiering, exceptions, subledgers, journals, reconciliation, close, consolidated reporting</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Group executive</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Cross-rooftop performance with permission-aware benchmarks and drill-down</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Admin / support</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Tenant/org setup, policies, entitlements, imports, integrations, access, health, evidence</w:t>
            </w:r>
          </w:p>
        </w:tc>
      </w:tr>
      <w:tr>
        <w:trPr>
          <w:trHeight w:hRule="atLeast"/>
          <w:cantSplit/>
          <w:cantSplit/>
        </w:trPr>
        <w:tc>
          <w:tcPr>
            <w:tcW w:type="dxa" w:w="2150"/>
            <w:vAlign w:val="top"/>
            <w:tcMar>
              <w:top w:w="80" w:type="dxa"/>
              <w:start w:w="120" w:type="dxa"/>
              <w:bottom w:w="80" w:type="dxa"/>
              <w:end w:w="120" w:type="dxa"/>
            </w:tcMar>
          </w:tcPr>
          <w:p>
            <w:pPr>
              <w:spacing w:before="0" w:after="40" w:line="240" w:lineRule="auto"/>
            </w:pPr>
            <w:r>
              <w:rPr>
                <w:rFonts w:ascii="Calibri" w:hAnsi="Calibri"/>
                <w:b w:val="0"/>
                <w:color w:val="1F2328"/>
                <w:sz w:val="17"/>
              </w:rPr>
              <w:t>Developer / partner</w:t>
            </w:r>
          </w:p>
        </w:tc>
        <w:tc>
          <w:tcPr>
            <w:tcW w:type="dxa" w:w="7210"/>
            <w:vAlign w:val="top"/>
            <w:tcMar>
              <w:top w:w="80" w:type="dxa"/>
              <w:start w:w="120" w:type="dxa"/>
              <w:bottom w:w="80" w:type="dxa"/>
              <w:end w:w="120" w:type="dxa"/>
            </w:tcMar>
          </w:tcPr>
          <w:p>
            <w:pPr>
              <w:spacing w:before="0" w:after="40" w:line="240" w:lineRule="auto"/>
            </w:pPr>
            <w:r>
              <w:rPr>
                <w:rFonts w:ascii="Calibri" w:hAnsi="Calibri"/>
                <w:b w:val="0"/>
                <w:color w:val="1F2328"/>
                <w:sz w:val="17"/>
              </w:rPr>
              <w:t>API docs, sandbox, credentials, scopes, subscriptions, usage, delivery logs, certification</w:t>
            </w:r>
          </w:p>
        </w:tc>
      </w:tr>
    </w:tbl>
    <w:p>
      <w:pPr>
        <w:spacing w:after="0"/>
      </w:pPr>
    </w:p>
    <w:p>
      <w:pPr>
        <w:pStyle w:val="Heading2"/>
      </w:pPr>
      <w:r>
        <w:t>12.2 Experience rules</w:t>
      </w:r>
    </w:p>
    <w:p>
      <w:pPr>
        <w:pStyle w:val="ListBullet"/>
      </w:pPr>
      <w:r>
        <w:t>Design around exception queues and next-best actions, not database CRUD screens.</w:t>
      </w:r>
    </w:p>
    <w:p>
      <w:pPr>
        <w:pStyle w:val="ListBullet"/>
      </w:pPr>
      <w:r>
        <w:t>Show the source and effective version of price, policy, customer consent, and external decision.</w:t>
      </w:r>
    </w:p>
    <w:p>
      <w:pPr>
        <w:pStyle w:val="ListBullet"/>
      </w:pPr>
      <w:r>
        <w:t>Preserve a shared timeline across customer, vehicle, deal, RO, and communication while respecting role scopes.</w:t>
      </w:r>
    </w:p>
    <w:p>
      <w:pPr>
        <w:pStyle w:val="ListBullet"/>
      </w:pPr>
      <w:r>
        <w:t>Make high-risk actions visually distinct and require reason, preview, assurance, and confirmation.</w:t>
      </w:r>
    </w:p>
    <w:p>
      <w:pPr>
        <w:pStyle w:val="ListBullet"/>
      </w:pPr>
      <w:r>
        <w:t>Build responsive, keyboard-complete, screen-reader-friendly workflows; technicians need glove-friendly touch targets and resilient capture.</w:t>
      </w:r>
    </w:p>
    <w:p>
      <w:pPr>
        <w:pStyle w:val="ListBullet"/>
      </w:pPr>
      <w:r>
        <w:t>Use a common design system, localization keys, telemetry events, and generated typed clients across every surface.</w:t>
      </w:r>
    </w:p>
    <w:p>
      <w:pPr>
        <w:pStyle w:val="Heading2"/>
      </w:pPr>
      <w:r>
        <w:t>12.3 Analytics architecture</w:t>
      </w:r>
    </w:p>
    <w:p>
      <w:pPr>
        <w:spacing w:before="0" w:after="120" w:line="264" w:lineRule="auto"/>
      </w:pPr>
      <w:r>
        <w:rPr>
          <w:rFonts w:ascii="Calibri" w:hAnsi="Calibri"/>
          <w:b w:val="0"/>
          <w:i w:val="0"/>
          <w:color w:val="1F2328"/>
        </w:rPr>
        <w:t>Operational metrics must be defined in a versioned semantic layer. Domain events and CDC feed a warehouse/lakehouse; transformations produce conformed customer, vehicle, inventory, deal, RO, parts, and accounting dimensions/facts. Every dashboard metric declares grain, filters, time semantics, currency conversion, and source lineage.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100"/>
        <w:gridCol w:w="7260"/>
      </w:tblGrid>
      <w:tr>
        <w:trPr>
          <w:cantSplit/>
          <w:tblHeader w:val="true"/>
        </w:trPr>
        <w:tc>
          <w:tcPr>
            <w:tcW w:type="dxa" w:w="2100"/>
            <w:tcMar>
              <w:top w:w="80" w:type="dxa"/>
              <w:start w:w="120" w:type="dxa"/>
              <w:bottom w:w="80" w:type="dxa"/>
              <w:end w:w="120" w:type="dxa"/>
            </w:tcMar>
            <w:shd w:fill="F2F4F7"/>
            <w:vAlign w:val="center"/>
          </w:tcPr>
          <w:p>
            <w:pPr>
              <w:keepNext/>
              <w:spacing w:after="0"/>
            </w:pPr>
            <w:r>
              <w:rPr>
                <w:rFonts w:ascii="Calibri" w:hAnsi="Calibri"/>
                <w:b/>
                <w:color w:val="0B2545"/>
                <w:sz w:val="17"/>
              </w:rPr>
              <w:t>North-star area</w:t>
            </w:r>
          </w:p>
        </w:tc>
        <w:tc>
          <w:tcPr>
            <w:tcW w:type="dxa" w:w="7260"/>
            <w:tcMar>
              <w:top w:w="80" w:type="dxa"/>
              <w:start w:w="120" w:type="dxa"/>
              <w:bottom w:w="80" w:type="dxa"/>
              <w:end w:w="120" w:type="dxa"/>
            </w:tcMar>
            <w:shd w:fill="F2F4F7"/>
            <w:vAlign w:val="center"/>
          </w:tcPr>
          <w:p>
            <w:pPr>
              <w:keepNext/>
              <w:spacing w:after="0"/>
            </w:pPr>
            <w:r>
              <w:rPr>
                <w:rFonts w:ascii="Calibri" w:hAnsi="Calibri"/>
                <w:b/>
                <w:color w:val="0B2545"/>
                <w:sz w:val="17"/>
              </w:rPr>
              <w:t>Example measures</w:t>
            </w:r>
          </w:p>
        </w:tc>
      </w:tr>
      <w:tr>
        <w:trPr>
          <w:trHeight w:hRule="atLeas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7"/>
              </w:rPr>
              <w:t>Fixed ops</w:t>
            </w:r>
          </w:p>
        </w:tc>
        <w:tc>
          <w:tcPr>
            <w:tcW w:type="dxa" w:w="7260"/>
            <w:vAlign w:val="top"/>
            <w:tcMar>
              <w:top w:w="80" w:type="dxa"/>
              <w:start w:w="120" w:type="dxa"/>
              <w:bottom w:w="80" w:type="dxa"/>
              <w:end w:w="120" w:type="dxa"/>
            </w:tcMar>
          </w:tcPr>
          <w:p>
            <w:pPr>
              <w:spacing w:before="0" w:after="40" w:line="240" w:lineRule="auto"/>
            </w:pPr>
            <w:r>
              <w:rPr>
                <w:rFonts w:ascii="Calibri" w:hAnsi="Calibri"/>
                <w:b w:val="0"/>
                <w:color w:val="1F2328"/>
                <w:sz w:val="17"/>
              </w:rPr>
              <w:t>Appointment lead time, show rate, hours per RO, cycle time, technician efficiency, first-time fix, authorization and declined-work conversion</w:t>
            </w:r>
          </w:p>
        </w:tc>
      </w:tr>
      <w:tr>
        <w:trPr>
          <w:trHeight w:hRule="atLeas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7"/>
              </w:rPr>
              <w:t>Parts</w:t>
            </w:r>
          </w:p>
        </w:tc>
        <w:tc>
          <w:tcPr>
            <w:tcW w:type="dxa" w:w="7260"/>
            <w:vAlign w:val="top"/>
            <w:tcMar>
              <w:top w:w="80" w:type="dxa"/>
              <w:start w:w="120" w:type="dxa"/>
              <w:bottom w:w="80" w:type="dxa"/>
              <w:end w:w="120" w:type="dxa"/>
            </w:tcMar>
          </w:tcPr>
          <w:p>
            <w:pPr>
              <w:spacing w:before="0" w:after="40" w:line="240" w:lineRule="auto"/>
            </w:pPr>
            <w:r>
              <w:rPr>
                <w:rFonts w:ascii="Calibri" w:hAnsi="Calibri"/>
                <w:b w:val="0"/>
                <w:color w:val="1F2328"/>
                <w:sz w:val="17"/>
              </w:rPr>
              <w:t>Fill rate, turns, aging, obsolescence, emergency order rate, cores outstanding, gross</w:t>
            </w:r>
          </w:p>
        </w:tc>
      </w:tr>
      <w:tr>
        <w:trPr>
          <w:trHeight w:hRule="atLeas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7"/>
              </w:rPr>
              <w:t>Sales</w:t>
            </w:r>
          </w:p>
        </w:tc>
        <w:tc>
          <w:tcPr>
            <w:tcW w:type="dxa" w:w="7260"/>
            <w:vAlign w:val="top"/>
            <w:tcMar>
              <w:top w:w="80" w:type="dxa"/>
              <w:start w:w="120" w:type="dxa"/>
              <w:bottom w:w="80" w:type="dxa"/>
              <w:end w:w="120" w:type="dxa"/>
            </w:tcMar>
          </w:tcPr>
          <w:p>
            <w:pPr>
              <w:spacing w:before="0" w:after="40" w:line="240" w:lineRule="auto"/>
            </w:pPr>
            <w:r>
              <w:rPr>
                <w:rFonts w:ascii="Calibri" w:hAnsi="Calibri"/>
                <w:b w:val="0"/>
                <w:color w:val="1F2328"/>
                <w:sz w:val="17"/>
              </w:rPr>
              <w:t>Lead response, appointment/show/close, gross, inventory age, appraisal variance, deal cycle</w:t>
            </w:r>
          </w:p>
        </w:tc>
      </w:tr>
      <w:tr>
        <w:trPr>
          <w:trHeight w:hRule="atLeas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7"/>
              </w:rPr>
              <w:t>Customer</w:t>
            </w:r>
          </w:p>
        </w:tc>
        <w:tc>
          <w:tcPr>
            <w:tcW w:type="dxa" w:w="7260"/>
            <w:vAlign w:val="top"/>
            <w:tcMar>
              <w:top w:w="80" w:type="dxa"/>
              <w:start w:w="120" w:type="dxa"/>
              <w:bottom w:w="80" w:type="dxa"/>
              <w:end w:w="120" w:type="dxa"/>
            </w:tcMar>
          </w:tcPr>
          <w:p>
            <w:pPr>
              <w:spacing w:before="0" w:after="40" w:line="240" w:lineRule="auto"/>
            </w:pPr>
            <w:r>
              <w:rPr>
                <w:rFonts w:ascii="Calibri" w:hAnsi="Calibri"/>
                <w:b w:val="0"/>
                <w:color w:val="1F2328"/>
                <w:sz w:val="17"/>
              </w:rPr>
              <w:t>Retention, service absorption, repeat purchase, CSI, consent/channel health</w:t>
            </w:r>
          </w:p>
        </w:tc>
      </w:tr>
      <w:tr>
        <w:trPr>
          <w:trHeight w:hRule="atLeas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7"/>
              </w:rPr>
              <w:t>Finance</w:t>
            </w:r>
          </w:p>
        </w:tc>
        <w:tc>
          <w:tcPr>
            <w:tcW w:type="dxa" w:w="7260"/>
            <w:vAlign w:val="top"/>
            <w:tcMar>
              <w:top w:w="80" w:type="dxa"/>
              <w:start w:w="120" w:type="dxa"/>
              <w:bottom w:w="80" w:type="dxa"/>
              <w:end w:w="120" w:type="dxa"/>
            </w:tcMar>
          </w:tcPr>
          <w:p>
            <w:pPr>
              <w:spacing w:before="0" w:after="40" w:line="240" w:lineRule="auto"/>
            </w:pPr>
            <w:r>
              <w:rPr>
                <w:rFonts w:ascii="Calibri" w:hAnsi="Calibri"/>
                <w:b w:val="0"/>
                <w:color w:val="1F2328"/>
                <w:sz w:val="17"/>
              </w:rPr>
              <w:t>Daily close lag, unposted exceptions, cash variance, AR/AP aging, reconciliation age</w:t>
            </w:r>
          </w:p>
        </w:tc>
      </w:tr>
      <w:tr>
        <w:trPr>
          <w:trHeight w:hRule="atLeast"/>
          <w:cantSplit/>
          <w:cantSplit/>
        </w:trPr>
        <w:tc>
          <w:tcPr>
            <w:tcW w:type="dxa" w:w="2100"/>
            <w:vAlign w:val="top"/>
            <w:tcMar>
              <w:top w:w="80" w:type="dxa"/>
              <w:start w:w="120" w:type="dxa"/>
              <w:bottom w:w="80" w:type="dxa"/>
              <w:end w:w="120" w:type="dxa"/>
            </w:tcMar>
          </w:tcPr>
          <w:p>
            <w:pPr>
              <w:spacing w:before="0" w:after="40" w:line="240" w:lineRule="auto"/>
            </w:pPr>
            <w:r>
              <w:rPr>
                <w:rFonts w:ascii="Calibri" w:hAnsi="Calibri"/>
                <w:b w:val="0"/>
                <w:color w:val="1F2328"/>
                <w:sz w:val="17"/>
              </w:rPr>
              <w:t>Platform</w:t>
            </w:r>
          </w:p>
        </w:tc>
        <w:tc>
          <w:tcPr>
            <w:tcW w:type="dxa" w:w="7260"/>
            <w:vAlign w:val="top"/>
            <w:tcMar>
              <w:top w:w="80" w:type="dxa"/>
              <w:start w:w="120" w:type="dxa"/>
              <w:bottom w:w="80" w:type="dxa"/>
              <w:end w:w="120" w:type="dxa"/>
            </w:tcMar>
          </w:tcPr>
          <w:p>
            <w:pPr>
              <w:spacing w:before="0" w:after="40" w:line="240" w:lineRule="auto"/>
            </w:pPr>
            <w:r>
              <w:rPr>
                <w:rFonts w:ascii="Calibri" w:hAnsi="Calibri"/>
                <w:b w:val="0"/>
                <w:color w:val="1F2328"/>
                <w:sz w:val="17"/>
              </w:rPr>
              <w:t>Adoption, workflow completion, connector health, support burden, per-tenant cost, SLO attainment</w:t>
            </w:r>
          </w:p>
        </w:tc>
      </w:tr>
    </w:tbl>
    <w:p>
      <w:pPr>
        <w:spacing w:after="0"/>
      </w:pPr>
    </w:p>
    <w:p>
      <w:pPr>
        <w:pStyle w:val="Heading2"/>
      </w:pPr>
      <w:r>
        <w:t>12.4 AI capability map and guardrails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750"/>
        <w:gridCol w:w="4000"/>
        <w:gridCol w:w="3610"/>
      </w:tblGrid>
      <w:tr>
        <w:trPr>
          <w:cantSplit/>
          <w:tblHeader w:val="true"/>
        </w:trPr>
        <w:tc>
          <w:tcPr>
            <w:tcW w:type="dxa" w:w="1750"/>
            <w:tcMar>
              <w:top w:w="80" w:type="dxa"/>
              <w:start w:w="120" w:type="dxa"/>
              <w:bottom w:w="80" w:type="dxa"/>
              <w:end w:w="120" w:type="dxa"/>
            </w:tcMar>
            <w:shd w:fill="F2F4F7"/>
            <w:vAlign w:val="center"/>
          </w:tcPr>
          <w:p>
            <w:pPr>
              <w:keepNext/>
              <w:spacing w:after="0"/>
            </w:pPr>
            <w:r>
              <w:rPr>
                <w:rFonts w:ascii="Calibri" w:hAnsi="Calibri"/>
                <w:b/>
                <w:color w:val="0B2545"/>
                <w:sz w:val="16"/>
              </w:rPr>
              <w:t>Capability</w:t>
            </w:r>
          </w:p>
        </w:tc>
        <w:tc>
          <w:tcPr>
            <w:tcW w:type="dxa" w:w="4000"/>
            <w:tcMar>
              <w:top w:w="80" w:type="dxa"/>
              <w:start w:w="120" w:type="dxa"/>
              <w:bottom w:w="80" w:type="dxa"/>
              <w:end w:w="120" w:type="dxa"/>
            </w:tcMar>
            <w:shd w:fill="F2F4F7"/>
            <w:vAlign w:val="center"/>
          </w:tcPr>
          <w:p>
            <w:pPr>
              <w:keepNext/>
              <w:spacing w:after="0"/>
            </w:pPr>
            <w:r>
              <w:rPr>
                <w:rFonts w:ascii="Calibri" w:hAnsi="Calibri"/>
                <w:b/>
                <w:color w:val="0B2545"/>
                <w:sz w:val="16"/>
              </w:rPr>
              <w:t>Use</w:t>
            </w:r>
          </w:p>
        </w:tc>
        <w:tc>
          <w:tcPr>
            <w:tcW w:type="dxa" w:w="3610"/>
            <w:tcMar>
              <w:top w:w="80" w:type="dxa"/>
              <w:start w:w="120" w:type="dxa"/>
              <w:bottom w:w="80" w:type="dxa"/>
              <w:end w:w="120" w:type="dxa"/>
            </w:tcMar>
            <w:shd w:fill="F2F4F7"/>
            <w:vAlign w:val="center"/>
          </w:tcPr>
          <w:p>
            <w:pPr>
              <w:keepNext/>
              <w:spacing w:after="0"/>
            </w:pPr>
            <w:r>
              <w:rPr>
                <w:rFonts w:ascii="Calibri" w:hAnsi="Calibri"/>
                <w:b/>
                <w:color w:val="0B2545"/>
                <w:sz w:val="16"/>
              </w:rPr>
              <w:t>Boundary</w:t>
            </w:r>
          </w:p>
        </w:tc>
      </w:tr>
      <w:tr>
        <w:trPr>
          <w:trHeight w:hRule="atLeast"/>
          <w:cantSplit/>
          <w:cantSplit/>
          <w:cantSplit/>
        </w:trPr>
        <w:tc>
          <w:tcPr>
            <w:tcW w:type="dxa" w:w="1750"/>
            <w:vAlign w:val="top"/>
            <w:tcMar>
              <w:top w:w="80" w:type="dxa"/>
              <w:start w:w="120" w:type="dxa"/>
              <w:bottom w:w="80" w:type="dxa"/>
              <w:end w:w="120" w:type="dxa"/>
            </w:tcMar>
          </w:tcPr>
          <w:p>
            <w:pPr>
              <w:spacing w:before="0" w:after="40" w:line="240" w:lineRule="auto"/>
            </w:pPr>
            <w:r>
              <w:rPr>
                <w:rFonts w:ascii="Calibri" w:hAnsi="Calibri"/>
                <w:b w:val="0"/>
                <w:color w:val="1F2328"/>
                <w:sz w:val="16"/>
              </w:rPr>
              <w:t>Copilot</w:t>
            </w:r>
          </w:p>
        </w:tc>
        <w:tc>
          <w:tcPr>
            <w:tcW w:type="dxa" w:w="4000"/>
            <w:vAlign w:val="top"/>
            <w:tcMar>
              <w:top w:w="80" w:type="dxa"/>
              <w:start w:w="120" w:type="dxa"/>
              <w:bottom w:w="80" w:type="dxa"/>
              <w:end w:w="120" w:type="dxa"/>
            </w:tcMar>
          </w:tcPr>
          <w:p>
            <w:pPr>
              <w:spacing w:before="0" w:after="40" w:line="240" w:lineRule="auto"/>
            </w:pPr>
            <w:r>
              <w:rPr>
                <w:rFonts w:ascii="Calibri" w:hAnsi="Calibri"/>
                <w:b w:val="0"/>
                <w:color w:val="1F2328"/>
                <w:sz w:val="16"/>
              </w:rPr>
              <w:t>Summaries, suggested next action, policy-aware search, form assistance</w:t>
            </w:r>
          </w:p>
        </w:tc>
        <w:tc>
          <w:tcPr>
            <w:tcW w:type="dxa" w:w="3610"/>
            <w:vAlign w:val="top"/>
            <w:tcMar>
              <w:top w:w="80" w:type="dxa"/>
              <w:start w:w="120" w:type="dxa"/>
              <w:bottom w:w="80" w:type="dxa"/>
              <w:end w:w="120" w:type="dxa"/>
            </w:tcMar>
          </w:tcPr>
          <w:p>
            <w:pPr>
              <w:spacing w:before="0" w:after="40" w:line="240" w:lineRule="auto"/>
            </w:pPr>
            <w:r>
              <w:rPr>
                <w:rFonts w:ascii="Calibri" w:hAnsi="Calibri"/>
                <w:b w:val="0"/>
                <w:color w:val="1F2328"/>
                <w:sz w:val="16"/>
              </w:rPr>
              <w:t>Citations to records; user confirms mutations</w:t>
            </w:r>
          </w:p>
        </w:tc>
      </w:tr>
      <w:tr>
        <w:trPr>
          <w:trHeight w:hRule="atLeast"/>
          <w:cantSplit/>
          <w:cantSplit/>
          <w:cantSplit/>
        </w:trPr>
        <w:tc>
          <w:tcPr>
            <w:tcW w:type="dxa" w:w="1750"/>
            <w:vAlign w:val="top"/>
            <w:tcMar>
              <w:top w:w="80" w:type="dxa"/>
              <w:start w:w="120" w:type="dxa"/>
              <w:bottom w:w="80" w:type="dxa"/>
              <w:end w:w="120" w:type="dxa"/>
            </w:tcMar>
          </w:tcPr>
          <w:p>
            <w:pPr>
              <w:spacing w:before="0" w:after="40" w:line="240" w:lineRule="auto"/>
            </w:pPr>
            <w:r>
              <w:rPr>
                <w:rFonts w:ascii="Calibri" w:hAnsi="Calibri"/>
                <w:b w:val="0"/>
                <w:color w:val="1F2328"/>
                <w:sz w:val="16"/>
              </w:rPr>
              <w:t>Service</w:t>
            </w:r>
          </w:p>
        </w:tc>
        <w:tc>
          <w:tcPr>
            <w:tcW w:type="dxa" w:w="4000"/>
            <w:vAlign w:val="top"/>
            <w:tcMar>
              <w:top w:w="80" w:type="dxa"/>
              <w:start w:w="120" w:type="dxa"/>
              <w:bottom w:w="80" w:type="dxa"/>
              <w:end w:w="120" w:type="dxa"/>
            </w:tcMar>
          </w:tcPr>
          <w:p>
            <w:pPr>
              <w:spacing w:before="0" w:after="40" w:line="240" w:lineRule="auto"/>
            </w:pPr>
            <w:r>
              <w:rPr>
                <w:rFonts w:ascii="Calibri" w:hAnsi="Calibri"/>
                <w:b w:val="0"/>
                <w:color w:val="1F2328"/>
                <w:sz w:val="16"/>
              </w:rPr>
              <w:t>Concern normalization, DVI explanation, estimate narrative, capacity forecast, comeback signals</w:t>
            </w:r>
          </w:p>
        </w:tc>
        <w:tc>
          <w:tcPr>
            <w:tcW w:type="dxa" w:w="3610"/>
            <w:vAlign w:val="top"/>
            <w:tcMar>
              <w:top w:w="80" w:type="dxa"/>
              <w:start w:w="120" w:type="dxa"/>
              <w:bottom w:w="80" w:type="dxa"/>
              <w:end w:w="120" w:type="dxa"/>
            </w:tcMar>
          </w:tcPr>
          <w:p>
            <w:pPr>
              <w:spacing w:before="0" w:after="40" w:line="240" w:lineRule="auto"/>
            </w:pPr>
            <w:r>
              <w:rPr>
                <w:rFonts w:ascii="Calibri" w:hAnsi="Calibri"/>
                <w:b w:val="0"/>
                <w:color w:val="1F2328"/>
                <w:sz w:val="16"/>
              </w:rPr>
              <w:t>No fabricated repair facts; technician/advisor owns safety decisions</w:t>
            </w:r>
          </w:p>
        </w:tc>
      </w:tr>
      <w:tr>
        <w:trPr>
          <w:trHeight w:hRule="atLeast"/>
          <w:cantSplit/>
          <w:cantSplit/>
          <w:cantSplit/>
        </w:trPr>
        <w:tc>
          <w:tcPr>
            <w:tcW w:type="dxa" w:w="1750"/>
            <w:vAlign w:val="top"/>
            <w:tcMar>
              <w:top w:w="80" w:type="dxa"/>
              <w:start w:w="120" w:type="dxa"/>
              <w:bottom w:w="80" w:type="dxa"/>
              <w:end w:w="120" w:type="dxa"/>
            </w:tcMar>
          </w:tcPr>
          <w:p>
            <w:pPr>
              <w:spacing w:before="0" w:after="40" w:line="240" w:lineRule="auto"/>
            </w:pPr>
            <w:r>
              <w:rPr>
                <w:rFonts w:ascii="Calibri" w:hAnsi="Calibri"/>
                <w:b w:val="0"/>
                <w:color w:val="1F2328"/>
                <w:sz w:val="16"/>
              </w:rPr>
              <w:t>CRM/sales</w:t>
            </w:r>
          </w:p>
        </w:tc>
        <w:tc>
          <w:tcPr>
            <w:tcW w:type="dxa" w:w="4000"/>
            <w:vAlign w:val="top"/>
            <w:tcMar>
              <w:top w:w="80" w:type="dxa"/>
              <w:start w:w="120" w:type="dxa"/>
              <w:bottom w:w="80" w:type="dxa"/>
              <w:end w:w="120" w:type="dxa"/>
            </w:tcMar>
          </w:tcPr>
          <w:p>
            <w:pPr>
              <w:spacing w:before="0" w:after="40" w:line="240" w:lineRule="auto"/>
            </w:pPr>
            <w:r>
              <w:rPr>
                <w:rFonts w:ascii="Calibri" w:hAnsi="Calibri"/>
                <w:b w:val="0"/>
                <w:color w:val="1F2328"/>
                <w:sz w:val="16"/>
              </w:rPr>
              <w:t>Lead prioritization, outreach draft, conversation summary, inventory match</w:t>
            </w:r>
          </w:p>
        </w:tc>
        <w:tc>
          <w:tcPr>
            <w:tcW w:type="dxa" w:w="3610"/>
            <w:vAlign w:val="top"/>
            <w:tcMar>
              <w:top w:w="80" w:type="dxa"/>
              <w:start w:w="120" w:type="dxa"/>
              <w:bottom w:w="80" w:type="dxa"/>
              <w:end w:w="120" w:type="dxa"/>
            </w:tcMar>
          </w:tcPr>
          <w:p>
            <w:pPr>
              <w:spacing w:before="0" w:after="40" w:line="240" w:lineRule="auto"/>
            </w:pPr>
            <w:r>
              <w:rPr>
                <w:rFonts w:ascii="Calibri" w:hAnsi="Calibri"/>
                <w:b w:val="0"/>
                <w:color w:val="1F2328"/>
                <w:sz w:val="16"/>
              </w:rPr>
              <w:t>Consent and suppression enforced outside the model</w:t>
            </w:r>
          </w:p>
        </w:tc>
      </w:tr>
      <w:tr>
        <w:trPr>
          <w:trHeight w:hRule="atLeast"/>
          <w:cantSplit/>
          <w:cantSplit/>
          <w:cantSplit/>
        </w:trPr>
        <w:tc>
          <w:tcPr>
            <w:tcW w:type="dxa" w:w="1750"/>
            <w:vAlign w:val="top"/>
            <w:tcMar>
              <w:top w:w="80" w:type="dxa"/>
              <w:start w:w="120" w:type="dxa"/>
              <w:bottom w:w="80" w:type="dxa"/>
              <w:end w:w="120" w:type="dxa"/>
            </w:tcMar>
          </w:tcPr>
          <w:p>
            <w:pPr>
              <w:spacing w:before="0" w:after="40" w:line="240" w:lineRule="auto"/>
            </w:pPr>
            <w:r>
              <w:rPr>
                <w:rFonts w:ascii="Calibri" w:hAnsi="Calibri"/>
                <w:b w:val="0"/>
                <w:color w:val="1F2328"/>
                <w:sz w:val="16"/>
              </w:rPr>
              <w:t>Inventory</w:t>
            </w:r>
          </w:p>
        </w:tc>
        <w:tc>
          <w:tcPr>
            <w:tcW w:type="dxa" w:w="4000"/>
            <w:vAlign w:val="top"/>
            <w:tcMar>
              <w:top w:w="80" w:type="dxa"/>
              <w:start w:w="120" w:type="dxa"/>
              <w:bottom w:w="80" w:type="dxa"/>
              <w:end w:w="120" w:type="dxa"/>
            </w:tcMar>
          </w:tcPr>
          <w:p>
            <w:pPr>
              <w:spacing w:before="0" w:after="40" w:line="240" w:lineRule="auto"/>
            </w:pPr>
            <w:r>
              <w:rPr>
                <w:rFonts w:ascii="Calibri" w:hAnsi="Calibri"/>
                <w:b w:val="0"/>
                <w:color w:val="1F2328"/>
                <w:sz w:val="16"/>
              </w:rPr>
              <w:t>Acquisition/recon/price recommendations and aging risk</w:t>
            </w:r>
          </w:p>
        </w:tc>
        <w:tc>
          <w:tcPr>
            <w:tcW w:type="dxa" w:w="3610"/>
            <w:vAlign w:val="top"/>
            <w:tcMar>
              <w:top w:w="80" w:type="dxa"/>
              <w:start w:w="120" w:type="dxa"/>
              <w:bottom w:w="80" w:type="dxa"/>
              <w:end w:w="120" w:type="dxa"/>
            </w:tcMar>
          </w:tcPr>
          <w:p>
            <w:pPr>
              <w:spacing w:before="0" w:after="40" w:line="240" w:lineRule="auto"/>
            </w:pPr>
            <w:r>
              <w:rPr>
                <w:rFonts w:ascii="Calibri" w:hAnsi="Calibri"/>
                <w:b w:val="0"/>
                <w:color w:val="1F2328"/>
                <w:sz w:val="16"/>
              </w:rPr>
              <w:t>Inputs and comparable evidence visible; human approval</w:t>
            </w:r>
          </w:p>
        </w:tc>
      </w:tr>
      <w:tr>
        <w:trPr>
          <w:trHeight w:hRule="atLeast"/>
          <w:cantSplit/>
          <w:cantSplit/>
          <w:cantSplit/>
        </w:trPr>
        <w:tc>
          <w:tcPr>
            <w:tcW w:type="dxa" w:w="1750"/>
            <w:vAlign w:val="top"/>
            <w:tcMar>
              <w:top w:w="80" w:type="dxa"/>
              <w:start w:w="120" w:type="dxa"/>
              <w:bottom w:w="80" w:type="dxa"/>
              <w:end w:w="120" w:type="dxa"/>
            </w:tcMar>
          </w:tcPr>
          <w:p>
            <w:pPr>
              <w:spacing w:before="0" w:after="40" w:line="240" w:lineRule="auto"/>
            </w:pPr>
            <w:r>
              <w:rPr>
                <w:rFonts w:ascii="Calibri" w:hAnsi="Calibri"/>
                <w:b w:val="0"/>
                <w:color w:val="1F2328"/>
                <w:sz w:val="16"/>
              </w:rPr>
              <w:t>Parts</w:t>
            </w:r>
          </w:p>
        </w:tc>
        <w:tc>
          <w:tcPr>
            <w:tcW w:type="dxa" w:w="4000"/>
            <w:vAlign w:val="top"/>
            <w:tcMar>
              <w:top w:w="80" w:type="dxa"/>
              <w:start w:w="120" w:type="dxa"/>
              <w:bottom w:w="80" w:type="dxa"/>
              <w:end w:w="120" w:type="dxa"/>
            </w:tcMar>
          </w:tcPr>
          <w:p>
            <w:pPr>
              <w:spacing w:before="0" w:after="40" w:line="240" w:lineRule="auto"/>
            </w:pPr>
            <w:r>
              <w:rPr>
                <w:rFonts w:ascii="Calibri" w:hAnsi="Calibri"/>
                <w:b w:val="0"/>
                <w:color w:val="1F2328"/>
                <w:sz w:val="16"/>
              </w:rPr>
              <w:t>Demand forecast, reorder suggestion, supersession assistance</w:t>
            </w:r>
          </w:p>
        </w:tc>
        <w:tc>
          <w:tcPr>
            <w:tcW w:type="dxa" w:w="3610"/>
            <w:vAlign w:val="top"/>
            <w:tcMar>
              <w:top w:w="80" w:type="dxa"/>
              <w:start w:w="120" w:type="dxa"/>
              <w:bottom w:w="80" w:type="dxa"/>
              <w:end w:w="120" w:type="dxa"/>
            </w:tcMar>
          </w:tcPr>
          <w:p>
            <w:pPr>
              <w:spacing w:before="0" w:after="40" w:line="240" w:lineRule="auto"/>
            </w:pPr>
            <w:r>
              <w:rPr>
                <w:rFonts w:ascii="Calibri" w:hAnsi="Calibri"/>
                <w:b w:val="0"/>
                <w:color w:val="1F2328"/>
                <w:sz w:val="16"/>
              </w:rPr>
              <w:t>Ledger and supplier contracts remain authoritative</w:t>
            </w:r>
          </w:p>
        </w:tc>
      </w:tr>
      <w:tr>
        <w:trPr>
          <w:trHeight w:hRule="atLeast"/>
          <w:cantSplit/>
          <w:cantSplit/>
          <w:cantSplit/>
        </w:trPr>
        <w:tc>
          <w:tcPr>
            <w:tcW w:type="dxa" w:w="1750"/>
            <w:vAlign w:val="top"/>
            <w:tcMar>
              <w:top w:w="80" w:type="dxa"/>
              <w:start w:w="120" w:type="dxa"/>
              <w:bottom w:w="80" w:type="dxa"/>
              <w:end w:w="120" w:type="dxa"/>
            </w:tcMar>
          </w:tcPr>
          <w:p>
            <w:pPr>
              <w:spacing w:before="0" w:after="40" w:line="240" w:lineRule="auto"/>
            </w:pPr>
            <w:r>
              <w:rPr>
                <w:rFonts w:ascii="Calibri" w:hAnsi="Calibri"/>
                <w:b w:val="0"/>
                <w:color w:val="1F2328"/>
                <w:sz w:val="16"/>
              </w:rPr>
              <w:t>Documents</w:t>
            </w:r>
          </w:p>
        </w:tc>
        <w:tc>
          <w:tcPr>
            <w:tcW w:type="dxa" w:w="4000"/>
            <w:vAlign w:val="top"/>
            <w:tcMar>
              <w:top w:w="80" w:type="dxa"/>
              <w:start w:w="120" w:type="dxa"/>
              <w:bottom w:w="80" w:type="dxa"/>
              <w:end w:w="120" w:type="dxa"/>
            </w:tcMar>
          </w:tcPr>
          <w:p>
            <w:pPr>
              <w:spacing w:before="0" w:after="40" w:line="240" w:lineRule="auto"/>
            </w:pPr>
            <w:r>
              <w:rPr>
                <w:rFonts w:ascii="Calibri" w:hAnsi="Calibri"/>
                <w:b w:val="0"/>
                <w:color w:val="1F2328"/>
                <w:sz w:val="16"/>
              </w:rPr>
              <w:t>OCR/classification/extraction and missing-field detection</w:t>
            </w:r>
          </w:p>
        </w:tc>
        <w:tc>
          <w:tcPr>
            <w:tcW w:type="dxa" w:w="3610"/>
            <w:vAlign w:val="top"/>
            <w:tcMar>
              <w:top w:w="80" w:type="dxa"/>
              <w:start w:w="120" w:type="dxa"/>
              <w:bottom w:w="80" w:type="dxa"/>
              <w:end w:w="120" w:type="dxa"/>
            </w:tcMar>
          </w:tcPr>
          <w:p>
            <w:pPr>
              <w:spacing w:before="0" w:after="40" w:line="240" w:lineRule="auto"/>
            </w:pPr>
            <w:r>
              <w:rPr>
                <w:rFonts w:ascii="Calibri" w:hAnsi="Calibri"/>
                <w:b w:val="0"/>
                <w:color w:val="1F2328"/>
                <w:sz w:val="16"/>
              </w:rPr>
              <w:t>Confidence thresholds, source boxes, human review</w:t>
            </w:r>
          </w:p>
        </w:tc>
      </w:tr>
      <w:tr>
        <w:trPr>
          <w:trHeight w:hRule="atLeast"/>
          <w:cantSplit/>
          <w:cantSplit/>
          <w:cantSplit/>
        </w:trPr>
        <w:tc>
          <w:tcPr>
            <w:tcW w:type="dxa" w:w="1750"/>
            <w:vAlign w:val="top"/>
            <w:tcMar>
              <w:top w:w="80" w:type="dxa"/>
              <w:start w:w="120" w:type="dxa"/>
              <w:bottom w:w="80" w:type="dxa"/>
              <w:end w:w="120" w:type="dxa"/>
            </w:tcMar>
          </w:tcPr>
          <w:p>
            <w:pPr>
              <w:spacing w:before="0" w:after="40" w:line="240" w:lineRule="auto"/>
            </w:pPr>
            <w:r>
              <w:rPr>
                <w:rFonts w:ascii="Calibri" w:hAnsi="Calibri"/>
                <w:b w:val="0"/>
                <w:color w:val="1F2328"/>
                <w:sz w:val="16"/>
              </w:rPr>
              <w:t>Risk</w:t>
            </w:r>
          </w:p>
        </w:tc>
        <w:tc>
          <w:tcPr>
            <w:tcW w:type="dxa" w:w="4000"/>
            <w:vAlign w:val="top"/>
            <w:tcMar>
              <w:top w:w="80" w:type="dxa"/>
              <w:start w:w="120" w:type="dxa"/>
              <w:bottom w:w="80" w:type="dxa"/>
              <w:end w:w="120" w:type="dxa"/>
            </w:tcMar>
          </w:tcPr>
          <w:p>
            <w:pPr>
              <w:spacing w:before="0" w:after="40" w:line="240" w:lineRule="auto"/>
            </w:pPr>
            <w:r>
              <w:rPr>
                <w:rFonts w:ascii="Calibri" w:hAnsi="Calibri"/>
                <w:b w:val="0"/>
                <w:color w:val="1F2328"/>
                <w:sz w:val="16"/>
              </w:rPr>
              <w:t>Anomaly detection and case prioritization</w:t>
            </w:r>
          </w:p>
        </w:tc>
        <w:tc>
          <w:tcPr>
            <w:tcW w:type="dxa" w:w="3610"/>
            <w:vAlign w:val="top"/>
            <w:tcMar>
              <w:top w:w="80" w:type="dxa"/>
              <w:start w:w="120" w:type="dxa"/>
              <w:bottom w:w="80" w:type="dxa"/>
              <w:end w:w="120" w:type="dxa"/>
            </w:tcMar>
          </w:tcPr>
          <w:p>
            <w:pPr>
              <w:spacing w:before="0" w:after="40" w:line="240" w:lineRule="auto"/>
            </w:pPr>
            <w:r>
              <w:rPr>
                <w:rFonts w:ascii="Calibri" w:hAnsi="Calibri"/>
                <w:b w:val="0"/>
                <w:color w:val="1F2328"/>
                <w:sz w:val="16"/>
              </w:rPr>
              <w:t>No autonomous credit denial, sanctions disposition, or adverse action reason</w:t>
            </w:r>
          </w:p>
        </w:tc>
      </w:tr>
      <w:tr>
        <w:trPr>
          <w:trHeight w:hRule="atLeast"/>
          <w:cantSplit/>
          <w:cantSplit/>
          <w:cantSplit/>
        </w:trPr>
        <w:tc>
          <w:tcPr>
            <w:tcW w:type="dxa" w:w="1750"/>
            <w:vAlign w:val="top"/>
            <w:tcMar>
              <w:top w:w="80" w:type="dxa"/>
              <w:start w:w="120" w:type="dxa"/>
              <w:bottom w:w="80" w:type="dxa"/>
              <w:end w:w="120" w:type="dxa"/>
            </w:tcMar>
          </w:tcPr>
          <w:p>
            <w:pPr>
              <w:spacing w:before="0" w:after="40" w:line="240" w:lineRule="auto"/>
            </w:pPr>
            <w:r>
              <w:rPr>
                <w:rFonts w:ascii="Calibri" w:hAnsi="Calibri"/>
                <w:b w:val="0"/>
                <w:color w:val="1F2328"/>
                <w:sz w:val="16"/>
              </w:rPr>
              <w:t>Accounting</w:t>
            </w:r>
          </w:p>
        </w:tc>
        <w:tc>
          <w:tcPr>
            <w:tcW w:type="dxa" w:w="4000"/>
            <w:vAlign w:val="top"/>
            <w:tcMar>
              <w:top w:w="80" w:type="dxa"/>
              <w:start w:w="120" w:type="dxa"/>
              <w:bottom w:w="80" w:type="dxa"/>
              <w:end w:w="120" w:type="dxa"/>
            </w:tcMar>
          </w:tcPr>
          <w:p>
            <w:pPr>
              <w:spacing w:before="0" w:after="40" w:line="240" w:lineRule="auto"/>
            </w:pPr>
            <w:r>
              <w:rPr>
                <w:rFonts w:ascii="Calibri" w:hAnsi="Calibri"/>
                <w:b w:val="0"/>
                <w:color w:val="1F2328"/>
                <w:sz w:val="16"/>
              </w:rPr>
              <w:t>Reconciliation suggestions and exception explanation</w:t>
            </w:r>
          </w:p>
        </w:tc>
        <w:tc>
          <w:tcPr>
            <w:tcW w:type="dxa" w:w="3610"/>
            <w:vAlign w:val="top"/>
            <w:tcMar>
              <w:top w:w="80" w:type="dxa"/>
              <w:start w:w="120" w:type="dxa"/>
              <w:bottom w:w="80" w:type="dxa"/>
              <w:end w:w="120" w:type="dxa"/>
            </w:tcMar>
          </w:tcPr>
          <w:p>
            <w:pPr>
              <w:spacing w:before="0" w:after="40" w:line="240" w:lineRule="auto"/>
            </w:pPr>
            <w:r>
              <w:rPr>
                <w:rFonts w:ascii="Calibri" w:hAnsi="Calibri"/>
                <w:b w:val="0"/>
                <w:color w:val="1F2328"/>
                <w:sz w:val="16"/>
              </w:rPr>
              <w:t>Never autonomously post or alter a journal</w:t>
            </w:r>
          </w:p>
        </w:tc>
      </w:tr>
    </w:tbl>
    <w:p>
      <w:pPr>
        <w:spacing w:after="0"/>
      </w:pPr>
    </w:p>
    <w:p>
      <w:pPr>
        <w:spacing w:before="0" w:after="120" w:line="264" w:lineRule="auto"/>
      </w:pPr>
      <w:r>
        <w:rPr>
          <w:rFonts w:ascii="Calibri" w:hAnsi="Calibri"/>
          <w:b w:val="0"/>
          <w:i w:val="0"/>
          <w:color w:val="1F2328"/>
        </w:rPr>
        <w:t>Every AI action records model/version, system policy version, retrieved evidence IDs, prompt template version, output, user edits, final action, and evaluation result. PII is minimized; provider retention/training settings are contractually controlled. Release requires offline evals, red-team cases, hallucination/failure thresholds, and rollback.</w:t>
      </w:r>
    </w:p>
    <w:p>
      <w:r>
        <w:br w:type="page"/>
      </w:r>
    </w:p>
    <w:p>
      <w:pPr>
        <w:pStyle w:val="Heading1"/>
      </w:pPr>
      <w:r>
        <w:t>13. Migration and Product Roadmap</w:t>
      </w:r>
    </w:p>
    <w:p>
      <w:pPr>
        <w:pStyle w:val="Heading2"/>
      </w:pPr>
      <w:r>
        <w:t>13.1 Program increments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900"/>
        <w:gridCol w:w="1100"/>
        <w:gridCol w:w="4550"/>
        <w:gridCol w:w="1810"/>
      </w:tblGrid>
      <w:tr>
        <w:trPr>
          <w:cantSplit/>
          <w:tblHeader w:val="true"/>
        </w:trPr>
        <w:tc>
          <w:tcPr>
            <w:tcW w:type="dxa" w:w="1900"/>
            <w:tcMar>
              <w:top w:w="80" w:type="dxa"/>
              <w:start w:w="120" w:type="dxa"/>
              <w:bottom w:w="80" w:type="dxa"/>
              <w:end w:w="120" w:type="dxa"/>
            </w:tcMar>
            <w:shd w:fill="F2F4F7"/>
            <w:vAlign w:val="center"/>
          </w:tcPr>
          <w:p>
            <w:pPr>
              <w:keepNext/>
              <w:spacing w:after="0"/>
            </w:pPr>
            <w:r>
              <w:rPr>
                <w:rFonts w:ascii="Calibri" w:hAnsi="Calibri"/>
                <w:b/>
                <w:color w:val="0B2545"/>
                <w:sz w:val="15"/>
              </w:rPr>
              <w:t>Increment</w:t>
            </w:r>
          </w:p>
        </w:tc>
        <w:tc>
          <w:tcPr>
            <w:tcW w:type="dxa" w:w="1100"/>
            <w:tcMar>
              <w:top w:w="80" w:type="dxa"/>
              <w:start w:w="120" w:type="dxa"/>
              <w:bottom w:w="80" w:type="dxa"/>
              <w:end w:w="120" w:type="dxa"/>
            </w:tcMar>
            <w:shd w:fill="F2F4F7"/>
            <w:vAlign w:val="center"/>
          </w:tcPr>
          <w:p>
            <w:pPr>
              <w:keepNext/>
              <w:spacing w:after="0"/>
            </w:pPr>
            <w:r>
              <w:rPr>
                <w:rFonts w:ascii="Calibri" w:hAnsi="Calibri"/>
                <w:b/>
                <w:color w:val="0B2545"/>
                <w:sz w:val="15"/>
              </w:rPr>
              <w:t>Indicative</w:t>
            </w:r>
          </w:p>
        </w:tc>
        <w:tc>
          <w:tcPr>
            <w:tcW w:type="dxa" w:w="4550"/>
            <w:tcMar>
              <w:top w:w="80" w:type="dxa"/>
              <w:start w:w="120" w:type="dxa"/>
              <w:bottom w:w="80" w:type="dxa"/>
              <w:end w:w="120" w:type="dxa"/>
            </w:tcMar>
            <w:shd w:fill="F2F4F7"/>
            <w:vAlign w:val="center"/>
          </w:tcPr>
          <w:p>
            <w:pPr>
              <w:keepNext/>
              <w:spacing w:after="0"/>
            </w:pPr>
            <w:r>
              <w:rPr>
                <w:rFonts w:ascii="Calibri" w:hAnsi="Calibri"/>
                <w:b/>
                <w:color w:val="0B2545"/>
                <w:sz w:val="15"/>
              </w:rPr>
              <w:t>Outcome</w:t>
            </w:r>
          </w:p>
        </w:tc>
        <w:tc>
          <w:tcPr>
            <w:tcW w:type="dxa" w:w="1810"/>
            <w:tcMar>
              <w:top w:w="80" w:type="dxa"/>
              <w:start w:w="120" w:type="dxa"/>
              <w:bottom w:w="80" w:type="dxa"/>
              <w:end w:w="120" w:type="dxa"/>
            </w:tcMar>
            <w:shd w:fill="F2F4F7"/>
            <w:vAlign w:val="center"/>
          </w:tcPr>
          <w:p>
            <w:pPr>
              <w:keepNext/>
              <w:spacing w:after="0"/>
            </w:pPr>
            <w:r>
              <w:rPr>
                <w:rFonts w:ascii="Calibri" w:hAnsi="Calibri"/>
                <w:b/>
                <w:color w:val="0B2545"/>
                <w:sz w:val="15"/>
              </w:rPr>
              <w:t>Exit signal</w:t>
            </w:r>
          </w:p>
        </w:tc>
      </w:tr>
      <w:tr>
        <w:trPr>
          <w:trHeight w:hRule="atLeast"/>
          <w:cantSpli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0. Baseline &amp; decisions</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5"/>
              </w:rPr>
              <w:t>2–3 weeks</w:t>
            </w:r>
          </w:p>
        </w:tc>
        <w:tc>
          <w:tcPr>
            <w:tcW w:type="dxa" w:w="4550"/>
            <w:vAlign w:val="top"/>
            <w:tcMar>
              <w:top w:w="80" w:type="dxa"/>
              <w:start w:w="120" w:type="dxa"/>
              <w:bottom w:w="80" w:type="dxa"/>
              <w:end w:w="120" w:type="dxa"/>
            </w:tcMar>
          </w:tcPr>
          <w:p>
            <w:pPr>
              <w:spacing w:before="0" w:after="40" w:line="240" w:lineRule="auto"/>
            </w:pPr>
            <w:r>
              <w:rPr>
                <w:rFonts w:ascii="Calibri" w:hAnsi="Calibri"/>
                <w:b w:val="0"/>
                <w:color w:val="1F2328"/>
                <w:sz w:val="15"/>
              </w:rPr>
              <w:t>Reproducible CI, ADRs, module map, scope, risk register, database-backed test baseline</w:t>
            </w:r>
          </w:p>
        </w:tc>
        <w:tc>
          <w:tcPr>
            <w:tcW w:type="dxa" w:w="1810"/>
            <w:vAlign w:val="top"/>
            <w:tcMar>
              <w:top w:w="80" w:type="dxa"/>
              <w:start w:w="120" w:type="dxa"/>
              <w:bottom w:w="80" w:type="dxa"/>
              <w:end w:w="120" w:type="dxa"/>
            </w:tcMar>
          </w:tcPr>
          <w:p>
            <w:pPr>
              <w:spacing w:before="0" w:after="40" w:line="240" w:lineRule="auto"/>
            </w:pPr>
            <w:r>
              <w:rPr>
                <w:rFonts w:ascii="Calibri" w:hAnsi="Calibri"/>
                <w:b w:val="0"/>
                <w:color w:val="1F2328"/>
                <w:sz w:val="15"/>
              </w:rPr>
              <w:t>No skipped critical tests</w:t>
            </w:r>
          </w:p>
        </w:tc>
      </w:tr>
      <w:tr>
        <w:trPr>
          <w:trHeight w:hRule="atLeast"/>
          <w:cantSpli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1. Platform kernel</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5"/>
              </w:rPr>
              <w:t>6–10 weeks</w:t>
            </w:r>
          </w:p>
        </w:tc>
        <w:tc>
          <w:tcPr>
            <w:tcW w:type="dxa" w:w="4550"/>
            <w:vAlign w:val="top"/>
            <w:tcMar>
              <w:top w:w="80" w:type="dxa"/>
              <w:start w:w="120" w:type="dxa"/>
              <w:bottom w:w="80" w:type="dxa"/>
              <w:end w:w="120" w:type="dxa"/>
            </w:tcMar>
          </w:tcPr>
          <w:p>
            <w:pPr>
              <w:spacing w:before="0" w:after="40" w:line="240" w:lineRule="auto"/>
            </w:pPr>
            <w:r>
              <w:rPr>
                <w:rFonts w:ascii="Calibri" w:hAnsi="Calibri"/>
                <w:b w:val="0"/>
                <w:color w:val="1F2328"/>
                <w:sz w:val="15"/>
              </w:rPr>
              <w:t>Org/tenant, OIDC, policy, RLS, API contract, audit/outbox/idempotency, observability, IaC</w:t>
            </w:r>
          </w:p>
        </w:tc>
        <w:tc>
          <w:tcPr>
            <w:tcW w:type="dxa" w:w="1810"/>
            <w:vAlign w:val="top"/>
            <w:tcMar>
              <w:top w:w="80" w:type="dxa"/>
              <w:start w:w="120" w:type="dxa"/>
              <w:bottom w:w="80" w:type="dxa"/>
              <w:end w:w="120" w:type="dxa"/>
            </w:tcMar>
          </w:tcPr>
          <w:p>
            <w:pPr>
              <w:spacing w:before="0" w:after="40" w:line="240" w:lineRule="auto"/>
            </w:pPr>
            <w:r>
              <w:rPr>
                <w:rFonts w:ascii="Calibri" w:hAnsi="Calibri"/>
                <w:b w:val="0"/>
                <w:color w:val="1F2328"/>
                <w:sz w:val="15"/>
              </w:rPr>
              <w:t>Tenant escape and recovery proof</w:t>
            </w:r>
          </w:p>
        </w:tc>
      </w:tr>
      <w:tr>
        <w:trPr>
          <w:trHeight w:hRule="atLeast"/>
          <w:cantSpli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2. Party &amp; vehicle master</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5"/>
              </w:rPr>
              <w:t>5–8 weeks</w:t>
            </w:r>
          </w:p>
        </w:tc>
        <w:tc>
          <w:tcPr>
            <w:tcW w:type="dxa" w:w="4550"/>
            <w:vAlign w:val="top"/>
            <w:tcMar>
              <w:top w:w="80" w:type="dxa"/>
              <w:start w:w="120" w:type="dxa"/>
              <w:bottom w:w="80" w:type="dxa"/>
              <w:end w:w="120" w:type="dxa"/>
            </w:tcMar>
          </w:tcPr>
          <w:p>
            <w:pPr>
              <w:spacing w:before="0" w:after="40" w:line="240" w:lineRule="auto"/>
            </w:pPr>
            <w:r>
              <w:rPr>
                <w:rFonts w:ascii="Calibri" w:hAnsi="Calibri"/>
                <w:b w:val="0"/>
                <w:color w:val="1F2328"/>
                <w:sz w:val="15"/>
              </w:rPr>
              <w:t>Canonical identities, contact/consent, match/merge, ownership/history, import</w:t>
            </w:r>
          </w:p>
        </w:tc>
        <w:tc>
          <w:tcPr>
            <w:tcW w:type="dxa" w:w="1810"/>
            <w:vAlign w:val="top"/>
            <w:tcMar>
              <w:top w:w="80" w:type="dxa"/>
              <w:start w:w="120" w:type="dxa"/>
              <w:bottom w:w="80" w:type="dxa"/>
              <w:end w:w="120" w:type="dxa"/>
            </w:tcMar>
          </w:tcPr>
          <w:p>
            <w:pPr>
              <w:spacing w:before="0" w:after="40" w:line="240" w:lineRule="auto"/>
            </w:pPr>
            <w:r>
              <w:rPr>
                <w:rFonts w:ascii="Calibri" w:hAnsi="Calibri"/>
                <w:b w:val="0"/>
                <w:color w:val="1F2328"/>
                <w:sz w:val="15"/>
              </w:rPr>
              <w:t>Duplicate/merge and data-quality gates</w:t>
            </w:r>
          </w:p>
        </w:tc>
      </w:tr>
      <w:tr>
        <w:trPr>
          <w:trHeight w:hRule="atLeast"/>
          <w:cantSpli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3. Fixed Ops V1</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5"/>
              </w:rPr>
              <w:t>12–18 weeks</w:t>
            </w:r>
          </w:p>
        </w:tc>
        <w:tc>
          <w:tcPr>
            <w:tcW w:type="dxa" w:w="4550"/>
            <w:vAlign w:val="top"/>
            <w:tcMar>
              <w:top w:w="80" w:type="dxa"/>
              <w:start w:w="120" w:type="dxa"/>
              <w:bottom w:w="80" w:type="dxa"/>
              <w:end w:w="120" w:type="dxa"/>
            </w:tcMar>
          </w:tcPr>
          <w:p>
            <w:pPr>
              <w:spacing w:before="0" w:after="40" w:line="240" w:lineRule="auto"/>
            </w:pPr>
            <w:r>
              <w:rPr>
                <w:rFonts w:ascii="Calibri" w:hAnsi="Calibri"/>
                <w:b w:val="0"/>
                <w:color w:val="1F2328"/>
                <w:sz w:val="15"/>
              </w:rPr>
              <w:t>Capacity, intake, reworked RO/DVI, pricing, authorization, dispatch, QC, portal, communications</w:t>
            </w:r>
          </w:p>
        </w:tc>
        <w:tc>
          <w:tcPr>
            <w:tcW w:type="dxa" w:w="1810"/>
            <w:vAlign w:val="top"/>
            <w:tcMar>
              <w:top w:w="80" w:type="dxa"/>
              <w:start w:w="120" w:type="dxa"/>
              <w:bottom w:w="80" w:type="dxa"/>
              <w:end w:w="120" w:type="dxa"/>
            </w:tcMar>
          </w:tcPr>
          <w:p>
            <w:pPr>
              <w:spacing w:before="0" w:after="40" w:line="240" w:lineRule="auto"/>
            </w:pPr>
            <w:r>
              <w:rPr>
                <w:rFonts w:ascii="Calibri" w:hAnsi="Calibri"/>
                <w:b w:val="0"/>
                <w:color w:val="1F2328"/>
                <w:sz w:val="15"/>
              </w:rPr>
              <w:t>Appointment-to-approved-work E2E</w:t>
            </w:r>
          </w:p>
        </w:tc>
      </w:tr>
      <w:tr>
        <w:trPr>
          <w:trHeight w:hRule="atLeast"/>
          <w:cantSpli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4. Parts &amp; service financials</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5"/>
              </w:rPr>
              <w:t>10–14 weeks</w:t>
            </w:r>
          </w:p>
        </w:tc>
        <w:tc>
          <w:tcPr>
            <w:tcW w:type="dxa" w:w="4550"/>
            <w:vAlign w:val="top"/>
            <w:tcMar>
              <w:top w:w="80" w:type="dxa"/>
              <w:start w:w="120" w:type="dxa"/>
              <w:bottom w:w="80" w:type="dxa"/>
              <w:end w:w="120" w:type="dxa"/>
            </w:tcMar>
          </w:tcPr>
          <w:p>
            <w:pPr>
              <w:spacing w:before="0" w:after="40" w:line="240" w:lineRule="auto"/>
            </w:pPr>
            <w:r>
              <w:rPr>
                <w:rFonts w:ascii="Calibri" w:hAnsi="Calibri"/>
                <w:b w:val="0"/>
                <w:color w:val="1F2328"/>
                <w:sz w:val="15"/>
              </w:rPr>
              <w:t>Parts ledger/procurement, invoice/payment, tax/fees, accounting export, reconciliation</w:t>
            </w:r>
          </w:p>
        </w:tc>
        <w:tc>
          <w:tcPr>
            <w:tcW w:type="dxa" w:w="1810"/>
            <w:vAlign w:val="top"/>
            <w:tcMar>
              <w:top w:w="80" w:type="dxa"/>
              <w:start w:w="120" w:type="dxa"/>
              <w:bottom w:w="80" w:type="dxa"/>
              <w:end w:w="120" w:type="dxa"/>
            </w:tcMar>
          </w:tcPr>
          <w:p>
            <w:pPr>
              <w:spacing w:before="0" w:after="40" w:line="240" w:lineRule="auto"/>
            </w:pPr>
            <w:r>
              <w:rPr>
                <w:rFonts w:ascii="Calibri" w:hAnsi="Calibri"/>
                <w:b w:val="0"/>
                <w:color w:val="1F2328"/>
                <w:sz w:val="15"/>
              </w:rPr>
              <w:t>Appointment-to-settlement E2E</w:t>
            </w:r>
          </w:p>
        </w:tc>
      </w:tr>
      <w:tr>
        <w:trPr>
          <w:trHeight w:hRule="atLeast"/>
          <w:cantSpli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5. Pilot hardening</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5"/>
              </w:rPr>
              <w:t>8–12 weeks</w:t>
            </w:r>
          </w:p>
        </w:tc>
        <w:tc>
          <w:tcPr>
            <w:tcW w:type="dxa" w:w="4550"/>
            <w:vAlign w:val="top"/>
            <w:tcMar>
              <w:top w:w="80" w:type="dxa"/>
              <w:start w:w="120" w:type="dxa"/>
              <w:bottom w:w="80" w:type="dxa"/>
              <w:end w:w="120" w:type="dxa"/>
            </w:tcMar>
          </w:tcPr>
          <w:p>
            <w:pPr>
              <w:spacing w:before="0" w:after="40" w:line="240" w:lineRule="auto"/>
            </w:pPr>
            <w:r>
              <w:rPr>
                <w:rFonts w:ascii="Calibri" w:hAnsi="Calibri"/>
                <w:b w:val="0"/>
                <w:color w:val="1F2328"/>
                <w:sz w:val="15"/>
              </w:rPr>
              <w:t>Migration tools, support console, DR/load/security/accessibility, training, pilot operations</w:t>
            </w:r>
          </w:p>
        </w:tc>
        <w:tc>
          <w:tcPr>
            <w:tcW w:type="dxa" w:w="1810"/>
            <w:vAlign w:val="top"/>
            <w:tcMar>
              <w:top w:w="80" w:type="dxa"/>
              <w:start w:w="120" w:type="dxa"/>
              <w:bottom w:w="80" w:type="dxa"/>
              <w:end w:w="120" w:type="dxa"/>
            </w:tcMar>
          </w:tcPr>
          <w:p>
            <w:pPr>
              <w:spacing w:before="0" w:after="40" w:line="240" w:lineRule="auto"/>
            </w:pPr>
            <w:r>
              <w:rPr>
                <w:rFonts w:ascii="Calibri" w:hAnsi="Calibri"/>
                <w:b w:val="0"/>
                <w:color w:val="1F2328"/>
                <w:sz w:val="15"/>
              </w:rPr>
              <w:t>Two pilot rooftops and exit criteria</w:t>
            </w:r>
          </w:p>
        </w:tc>
      </w:tr>
      <w:tr>
        <w:trPr>
          <w:trHeight w:hRule="atLeast"/>
          <w:cantSpli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6. Inventory &amp; merchandising</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5"/>
              </w:rPr>
              <w:t>10–14 weeks</w:t>
            </w:r>
          </w:p>
        </w:tc>
        <w:tc>
          <w:tcPr>
            <w:tcW w:type="dxa" w:w="4550"/>
            <w:vAlign w:val="top"/>
            <w:tcMar>
              <w:top w:w="80" w:type="dxa"/>
              <w:start w:w="120" w:type="dxa"/>
              <w:bottom w:w="80" w:type="dxa"/>
              <w:end w:w="120" w:type="dxa"/>
            </w:tcMar>
          </w:tcPr>
          <w:p>
            <w:pPr>
              <w:spacing w:before="0" w:after="40" w:line="240" w:lineRule="auto"/>
            </w:pPr>
            <w:r>
              <w:rPr>
                <w:rFonts w:ascii="Calibri" w:hAnsi="Calibri"/>
                <w:b w:val="0"/>
                <w:color w:val="1F2328"/>
                <w:sz w:val="15"/>
              </w:rPr>
              <w:t>Acquisition, appraisal, recon, stock, pricing/listings, aging</w:t>
            </w:r>
          </w:p>
        </w:tc>
        <w:tc>
          <w:tcPr>
            <w:tcW w:type="dxa" w:w="1810"/>
            <w:vAlign w:val="top"/>
            <w:tcMar>
              <w:top w:w="80" w:type="dxa"/>
              <w:start w:w="120" w:type="dxa"/>
              <w:bottom w:w="80" w:type="dxa"/>
              <w:end w:w="120" w:type="dxa"/>
            </w:tcMar>
          </w:tcPr>
          <w:p>
            <w:pPr>
              <w:spacing w:before="0" w:after="40" w:line="240" w:lineRule="auto"/>
            </w:pPr>
            <w:r>
              <w:rPr>
                <w:rFonts w:ascii="Calibri" w:hAnsi="Calibri"/>
                <w:b w:val="0"/>
                <w:color w:val="1F2328"/>
                <w:sz w:val="15"/>
              </w:rPr>
              <w:t>Vehicle-to-retail traceability</w:t>
            </w:r>
          </w:p>
        </w:tc>
      </w:tr>
      <w:tr>
        <w:trPr>
          <w:trHeight w:hRule="atLeast"/>
          <w:cantSpli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7. CRM / BDC</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5"/>
              </w:rPr>
              <w:t>8–12 weeks</w:t>
            </w:r>
          </w:p>
        </w:tc>
        <w:tc>
          <w:tcPr>
            <w:tcW w:type="dxa" w:w="4550"/>
            <w:vAlign w:val="top"/>
            <w:tcMar>
              <w:top w:w="80" w:type="dxa"/>
              <w:start w:w="120" w:type="dxa"/>
              <w:bottom w:w="80" w:type="dxa"/>
              <w:end w:w="120" w:type="dxa"/>
            </w:tcMar>
          </w:tcPr>
          <w:p>
            <w:pPr>
              <w:spacing w:before="0" w:after="40" w:line="240" w:lineRule="auto"/>
            </w:pPr>
            <w:r>
              <w:rPr>
                <w:rFonts w:ascii="Calibri" w:hAnsi="Calibri"/>
                <w:b w:val="0"/>
                <w:color w:val="1F2328"/>
                <w:sz w:val="15"/>
              </w:rPr>
              <w:t>Leads, opportunities, tasks, campaigns, attribution, sales appointments</w:t>
            </w:r>
          </w:p>
        </w:tc>
        <w:tc>
          <w:tcPr>
            <w:tcW w:type="dxa" w:w="1810"/>
            <w:vAlign w:val="top"/>
            <w:tcMar>
              <w:top w:w="80" w:type="dxa"/>
              <w:start w:w="120" w:type="dxa"/>
              <w:bottom w:w="80" w:type="dxa"/>
              <w:end w:w="120" w:type="dxa"/>
            </w:tcMar>
          </w:tcPr>
          <w:p>
            <w:pPr>
              <w:spacing w:before="0" w:after="40" w:line="240" w:lineRule="auto"/>
            </w:pPr>
            <w:r>
              <w:rPr>
                <w:rFonts w:ascii="Calibri" w:hAnsi="Calibri"/>
                <w:b w:val="0"/>
                <w:color w:val="1F2328"/>
                <w:sz w:val="15"/>
              </w:rPr>
              <w:t>Lead-to-appointment E2E</w:t>
            </w:r>
          </w:p>
        </w:tc>
      </w:tr>
      <w:tr>
        <w:trPr>
          <w:trHeight w:hRule="atLeast"/>
          <w:cantSpli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8. Sales / desking / deal jacket</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5"/>
              </w:rPr>
              <w:t>12–18 weeks</w:t>
            </w:r>
          </w:p>
        </w:tc>
        <w:tc>
          <w:tcPr>
            <w:tcW w:type="dxa" w:w="4550"/>
            <w:vAlign w:val="top"/>
            <w:tcMar>
              <w:top w:w="80" w:type="dxa"/>
              <w:start w:w="120" w:type="dxa"/>
              <w:bottom w:w="80" w:type="dxa"/>
              <w:end w:w="120" w:type="dxa"/>
            </w:tcMar>
          </w:tcPr>
          <w:p>
            <w:pPr>
              <w:spacing w:before="0" w:after="40" w:line="240" w:lineRule="auto"/>
            </w:pPr>
            <w:r>
              <w:rPr>
                <w:rFonts w:ascii="Calibri" w:hAnsi="Calibri"/>
                <w:b w:val="0"/>
                <w:color w:val="1F2328"/>
                <w:sz w:val="15"/>
              </w:rPr>
              <w:t>Quotes, trades, incentives, taxes, approvals, deal versions/docs</w:t>
            </w:r>
          </w:p>
        </w:tc>
        <w:tc>
          <w:tcPr>
            <w:tcW w:type="dxa" w:w="1810"/>
            <w:vAlign w:val="top"/>
            <w:tcMar>
              <w:top w:w="80" w:type="dxa"/>
              <w:start w:w="120" w:type="dxa"/>
              <w:bottom w:w="80" w:type="dxa"/>
              <w:end w:w="120" w:type="dxa"/>
            </w:tcMar>
          </w:tcPr>
          <w:p>
            <w:pPr>
              <w:spacing w:before="0" w:after="40" w:line="240" w:lineRule="auto"/>
            </w:pPr>
            <w:r>
              <w:rPr>
                <w:rFonts w:ascii="Calibri" w:hAnsi="Calibri"/>
                <w:b w:val="0"/>
                <w:color w:val="1F2328"/>
                <w:sz w:val="15"/>
              </w:rPr>
              <w:t>Customer-to-signed-deal E2E</w:t>
            </w:r>
          </w:p>
        </w:tc>
      </w:tr>
      <w:tr>
        <w:trPr>
          <w:trHeight w:hRule="atLeast"/>
          <w:cantSpli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9. Digital retail</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5"/>
              </w:rPr>
              <w:t>8–12 weeks</w:t>
            </w:r>
          </w:p>
        </w:tc>
        <w:tc>
          <w:tcPr>
            <w:tcW w:type="dxa" w:w="4550"/>
            <w:vAlign w:val="top"/>
            <w:tcMar>
              <w:top w:w="80" w:type="dxa"/>
              <w:start w:w="120" w:type="dxa"/>
              <w:bottom w:w="80" w:type="dxa"/>
              <w:end w:w="120" w:type="dxa"/>
            </w:tcMar>
          </w:tcPr>
          <w:p>
            <w:pPr>
              <w:spacing w:before="0" w:after="40" w:line="240" w:lineRule="auto"/>
            </w:pPr>
            <w:r>
              <w:rPr>
                <w:rFonts w:ascii="Calibri" w:hAnsi="Calibri"/>
                <w:b w:val="0"/>
                <w:color w:val="1F2328"/>
                <w:sz w:val="15"/>
              </w:rPr>
              <w:t>Customer journey, saved state, trade, pricing, handoff, checkout</w:t>
            </w:r>
          </w:p>
        </w:tc>
        <w:tc>
          <w:tcPr>
            <w:tcW w:type="dxa" w:w="1810"/>
            <w:vAlign w:val="top"/>
            <w:tcMar>
              <w:top w:w="80" w:type="dxa"/>
              <w:start w:w="120" w:type="dxa"/>
              <w:bottom w:w="80" w:type="dxa"/>
              <w:end w:w="120" w:type="dxa"/>
            </w:tcMar>
          </w:tcPr>
          <w:p>
            <w:pPr>
              <w:spacing w:before="0" w:after="40" w:line="240" w:lineRule="auto"/>
            </w:pPr>
            <w:r>
              <w:rPr>
                <w:rFonts w:ascii="Calibri" w:hAnsi="Calibri"/>
                <w:b w:val="0"/>
                <w:color w:val="1F2328"/>
                <w:sz w:val="15"/>
              </w:rPr>
              <w:t>Online-to-store continuity</w:t>
            </w:r>
          </w:p>
        </w:tc>
      </w:tr>
      <w:tr>
        <w:trPr>
          <w:trHeight w:hRule="atLeast"/>
          <w:cantSpli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10. F&amp;I / title ecosystem</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5"/>
              </w:rPr>
              <w:t>12–24+ weeks</w:t>
            </w:r>
          </w:p>
        </w:tc>
        <w:tc>
          <w:tcPr>
            <w:tcW w:type="dxa" w:w="4550"/>
            <w:vAlign w:val="top"/>
            <w:tcMar>
              <w:top w:w="80" w:type="dxa"/>
              <w:start w:w="120" w:type="dxa"/>
              <w:bottom w:w="80" w:type="dxa"/>
              <w:end w:w="120" w:type="dxa"/>
            </w:tcMar>
          </w:tcPr>
          <w:p>
            <w:pPr>
              <w:spacing w:before="0" w:after="40" w:line="240" w:lineRule="auto"/>
            </w:pPr>
            <w:r>
              <w:rPr>
                <w:rFonts w:ascii="Calibri" w:hAnsi="Calibri"/>
                <w:b w:val="0"/>
                <w:color w:val="1F2328"/>
                <w:sz w:val="15"/>
              </w:rPr>
              <w:t>Credit/lender adapters, F&amp;I menu, eContract, funding, title/registration</w:t>
            </w:r>
          </w:p>
        </w:tc>
        <w:tc>
          <w:tcPr>
            <w:tcW w:type="dxa" w:w="1810"/>
            <w:vAlign w:val="top"/>
            <w:tcMar>
              <w:top w:w="80" w:type="dxa"/>
              <w:start w:w="120" w:type="dxa"/>
              <w:bottom w:w="80" w:type="dxa"/>
              <w:end w:w="120" w:type="dxa"/>
            </w:tcMar>
          </w:tcPr>
          <w:p>
            <w:pPr>
              <w:spacing w:before="0" w:after="40" w:line="240" w:lineRule="auto"/>
            </w:pPr>
            <w:r>
              <w:rPr>
                <w:rFonts w:ascii="Calibri" w:hAnsi="Calibri"/>
                <w:b w:val="0"/>
                <w:color w:val="1F2328"/>
                <w:sz w:val="15"/>
              </w:rPr>
              <w:t>Provider certifications and compliance signoff</w:t>
            </w:r>
          </w:p>
        </w:tc>
      </w:tr>
      <w:tr>
        <w:trPr>
          <w:trHeight w:hRule="atLeast"/>
          <w:cantSpli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11. Native accounting</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5"/>
              </w:rPr>
              <w:t>16–24 weeks</w:t>
            </w:r>
          </w:p>
        </w:tc>
        <w:tc>
          <w:tcPr>
            <w:tcW w:type="dxa" w:w="4550"/>
            <w:vAlign w:val="top"/>
            <w:tcMar>
              <w:top w:w="80" w:type="dxa"/>
              <w:start w:w="120" w:type="dxa"/>
              <w:bottom w:w="80" w:type="dxa"/>
              <w:end w:w="120" w:type="dxa"/>
            </w:tcMar>
          </w:tcPr>
          <w:p>
            <w:pPr>
              <w:spacing w:before="0" w:after="40" w:line="240" w:lineRule="auto"/>
            </w:pPr>
            <w:r>
              <w:rPr>
                <w:rFonts w:ascii="Calibri" w:hAnsi="Calibri"/>
                <w:b w:val="0"/>
                <w:color w:val="1F2328"/>
                <w:sz w:val="15"/>
              </w:rPr>
              <w:t>COA, journals, AR/AP, cashiering, bank rec, floorplan, consolidation</w:t>
            </w:r>
          </w:p>
        </w:tc>
        <w:tc>
          <w:tcPr>
            <w:tcW w:type="dxa" w:w="1810"/>
            <w:vAlign w:val="top"/>
            <w:tcMar>
              <w:top w:w="80" w:type="dxa"/>
              <w:start w:w="120" w:type="dxa"/>
              <w:bottom w:w="80" w:type="dxa"/>
              <w:end w:w="120" w:type="dxa"/>
            </w:tcMar>
          </w:tcPr>
          <w:p>
            <w:pPr>
              <w:spacing w:before="0" w:after="40" w:line="240" w:lineRule="auto"/>
            </w:pPr>
            <w:r>
              <w:rPr>
                <w:rFonts w:ascii="Calibri" w:hAnsi="Calibri"/>
                <w:b w:val="0"/>
                <w:color w:val="1F2328"/>
                <w:sz w:val="15"/>
              </w:rPr>
              <w:t>Balanced close and controller pilot</w:t>
            </w:r>
          </w:p>
        </w:tc>
      </w:tr>
      <w:tr>
        <w:trPr>
          <w:trHeight w:hRule="atLeast"/>
          <w:cantSplit/>
          <w:cantSpli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5"/>
              </w:rPr>
              <w:t>12. Enterprise &amp; ecosystem</w:t>
            </w:r>
          </w:p>
        </w:tc>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5"/>
              </w:rPr>
              <w:t>Ongoing</w:t>
            </w:r>
          </w:p>
        </w:tc>
        <w:tc>
          <w:tcPr>
            <w:tcW w:type="dxa" w:w="4550"/>
            <w:vAlign w:val="top"/>
            <w:tcMar>
              <w:top w:w="80" w:type="dxa"/>
              <w:start w:w="120" w:type="dxa"/>
              <w:bottom w:w="80" w:type="dxa"/>
              <w:end w:w="120" w:type="dxa"/>
            </w:tcMar>
          </w:tcPr>
          <w:p>
            <w:pPr>
              <w:spacing w:before="0" w:after="40" w:line="240" w:lineRule="auto"/>
            </w:pPr>
            <w:r>
              <w:rPr>
                <w:rFonts w:ascii="Calibri" w:hAnsi="Calibri"/>
                <w:b w:val="0"/>
                <w:color w:val="1F2328"/>
                <w:sz w:val="15"/>
              </w:rPr>
              <w:t>Marketplace, OEM scale, billing, group controls, warehouse/AI, global operations</w:t>
            </w:r>
          </w:p>
        </w:tc>
        <w:tc>
          <w:tcPr>
            <w:tcW w:type="dxa" w:w="1810"/>
            <w:vAlign w:val="top"/>
            <w:tcMar>
              <w:top w:w="80" w:type="dxa"/>
              <w:start w:w="120" w:type="dxa"/>
              <w:bottom w:w="80" w:type="dxa"/>
              <w:end w:w="120" w:type="dxa"/>
            </w:tcMar>
          </w:tcPr>
          <w:p>
            <w:pPr>
              <w:spacing w:before="0" w:after="40" w:line="240" w:lineRule="auto"/>
            </w:pPr>
            <w:r>
              <w:rPr>
                <w:rFonts w:ascii="Calibri" w:hAnsi="Calibri"/>
                <w:b w:val="0"/>
                <w:color w:val="1F2328"/>
                <w:sz w:val="15"/>
              </w:rPr>
              <w:t>Enterprise SLA and audit readiness</w:t>
            </w:r>
          </w:p>
        </w:tc>
      </w:tr>
    </w:tbl>
    <w:p>
      <w:pPr>
        <w:spacing w:after="0"/>
      </w:pPr>
    </w:p>
    <w:p>
      <w:pPr>
        <w:spacing w:before="0" w:after="120" w:line="264" w:lineRule="auto"/>
      </w:pPr>
      <w:r>
        <w:rPr>
          <w:rFonts w:ascii="Calibri" w:hAnsi="Calibri"/>
          <w:b w:val="0"/>
          <w:i/>
          <w:color w:val="5B6573"/>
          <w:sz w:val="19"/>
        </w:rPr>
        <w:t>Ranges assume a staffed cross-functional team and overlapping discovery. One engineer must serialize work and narrow each increment. External certifications, dealership data cleanup, and legal review can exceed engineering duration.</w:t>
      </w:r>
    </w:p>
    <w:p>
      <w:pPr>
        <w:pStyle w:val="Heading2"/>
      </w:pPr>
      <w:r>
        <w:t>13.2 Existing-data transition</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400"/>
        <w:gridCol w:w="6960"/>
      </w:tblGrid>
      <w:tr>
        <w:trPr>
          <w:cantSplit/>
          <w:tblHeader w:val="true"/>
        </w:trPr>
        <w:tc>
          <w:tcPr>
            <w:tcW w:type="dxa" w:w="2400"/>
            <w:tcMar>
              <w:top w:w="80" w:type="dxa"/>
              <w:start w:w="120" w:type="dxa"/>
              <w:bottom w:w="80" w:type="dxa"/>
              <w:end w:w="120" w:type="dxa"/>
            </w:tcMar>
            <w:shd w:fill="F2F4F7"/>
            <w:vAlign w:val="center"/>
          </w:tcPr>
          <w:p>
            <w:pPr>
              <w:keepNext/>
              <w:spacing w:after="0"/>
            </w:pPr>
            <w:r>
              <w:rPr>
                <w:rFonts w:ascii="Calibri" w:hAnsi="Calibri"/>
                <w:b/>
                <w:color w:val="0B2545"/>
                <w:sz w:val="17"/>
              </w:rPr>
              <w:t>Asset</w:t>
            </w:r>
          </w:p>
        </w:tc>
        <w:tc>
          <w:tcPr>
            <w:tcW w:type="dxa" w:w="6960"/>
            <w:tcMar>
              <w:top w:w="80" w:type="dxa"/>
              <w:start w:w="120" w:type="dxa"/>
              <w:bottom w:w="80" w:type="dxa"/>
              <w:end w:w="120" w:type="dxa"/>
            </w:tcMar>
            <w:shd w:fill="F2F4F7"/>
            <w:vAlign w:val="center"/>
          </w:tcPr>
          <w:p>
            <w:pPr>
              <w:keepNext/>
              <w:spacing w:after="0"/>
            </w:pPr>
            <w:r>
              <w:rPr>
                <w:rFonts w:ascii="Calibri" w:hAnsi="Calibri"/>
                <w:b/>
                <w:color w:val="0B2545"/>
                <w:sz w:val="17"/>
              </w:rPr>
              <w:t>Transition rule</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Current service tables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Wrap with compatibility repository; introduce new tenant-safe keys and typed records by expand/migrate/contract</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Existing IDs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Preserve as legacy external IDs; issue canonical IDs and maintain mapping</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Audit events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Import into legacy evidence stream; new events use the durable envelope</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JSON price/evidence fields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Dual-read while backfilling typed estimates/artifacts; reject new opaque writes after cutover</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Routes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Publish /api/v1; maintain an adapter for current paths during a deprecation window</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Tests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Reframe current tests as characterization suites; add real PostgreSQL and E2E proof before deleting old code</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Dealer imports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Staging → normalize → match → validate → reconcile → business signoff → cutover; retain source snapshots</w:t>
            </w:r>
          </w:p>
        </w:tc>
      </w:tr>
    </w:tbl>
    <w:p>
      <w:pPr>
        <w:spacing w:after="0"/>
      </w:pPr>
    </w:p>
    <w:p>
      <w:pPr>
        <w:pStyle w:val="Heading2"/>
      </w:pPr>
      <w:r>
        <w:t>13.3 First sellable release boundary</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4680"/>
        <w:gridCol w:w="4680"/>
      </w:tblGrid>
      <w:tr>
        <w:trPr>
          <w:cantSplit/>
          <w:tblHeader w:val="true"/>
        </w:trPr>
        <w:tc>
          <w:tcPr>
            <w:tcW w:type="dxa" w:w="4680"/>
            <w:tcMar>
              <w:top w:w="80" w:type="dxa"/>
              <w:start w:w="120" w:type="dxa"/>
              <w:bottom w:w="80" w:type="dxa"/>
              <w:end w:w="120" w:type="dxa"/>
            </w:tcMar>
            <w:shd w:fill="F2F4F7"/>
            <w:vAlign w:val="center"/>
          </w:tcPr>
          <w:p>
            <w:pPr>
              <w:keepNext/>
              <w:spacing w:after="0"/>
            </w:pPr>
            <w:r>
              <w:rPr>
                <w:rFonts w:ascii="Calibri" w:hAnsi="Calibri"/>
                <w:b/>
                <w:color w:val="0B2545"/>
                <w:sz w:val="17"/>
              </w:rPr>
              <w:t>In V1 Fixed Ops Cloud</w:t>
            </w:r>
          </w:p>
        </w:tc>
        <w:tc>
          <w:tcPr>
            <w:tcW w:type="dxa" w:w="4680"/>
            <w:tcMar>
              <w:top w:w="80" w:type="dxa"/>
              <w:start w:w="120" w:type="dxa"/>
              <w:bottom w:w="80" w:type="dxa"/>
              <w:end w:w="120" w:type="dxa"/>
            </w:tcMar>
            <w:shd w:fill="F2F4F7"/>
            <w:vAlign w:val="center"/>
          </w:tcPr>
          <w:p>
            <w:pPr>
              <w:keepNext/>
              <w:spacing w:after="0"/>
            </w:pPr>
            <w:r>
              <w:rPr>
                <w:rFonts w:ascii="Calibri" w:hAnsi="Calibri"/>
                <w:b/>
                <w:color w:val="0B2545"/>
                <w:sz w:val="17"/>
              </w:rPr>
              <w:t>Explicitly out until later</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Tenant/org/rooftop and identity/policy</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Native dealership GL/AP/AR beyond tested exports</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Party/vehicle master and import</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Credit application, lender routing, eContracting</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Capacity scheduling, intake, RO/DVI, estimates</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Title/registration and DMV certification</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Authorization evidence, communications, portal</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Full vehicle sales CRM/desking/digital retail</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Dispatch, time, QC, parts ledger/procurement</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Payroll and HR system of record</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Invoice, tokenized payment, settlement/reconciliation</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Large partner marketplace</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Accounting export and operational analytics</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Autonomous AI actions</w:t>
            </w:r>
          </w:p>
        </w:tc>
      </w:tr>
      <w:tr>
        <w:trPr>
          <w:trHeight w:hRule="atLeast"/>
          <w:cantSplit/>
          <w:cantSplit/>
        </w:trPr>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SaaS provisioning, entitlements, support, migration</w:t>
            </w:r>
          </w:p>
        </w:tc>
        <w:tc>
          <w:tcPr>
            <w:tcW w:type="dxa" w:w="4680"/>
            <w:vAlign w:val="top"/>
            <w:tcMar>
              <w:top w:w="80" w:type="dxa"/>
              <w:start w:w="120" w:type="dxa"/>
              <w:bottom w:w="80" w:type="dxa"/>
              <w:end w:w="120" w:type="dxa"/>
            </w:tcMar>
          </w:tcPr>
          <w:p>
            <w:pPr>
              <w:spacing w:before="0" w:after="40" w:line="240" w:lineRule="auto"/>
            </w:pPr>
            <w:r>
              <w:rPr>
                <w:rFonts w:ascii="Calibri" w:hAnsi="Calibri"/>
                <w:b w:val="0"/>
                <w:color w:val="1F2328"/>
                <w:sz w:val="17"/>
              </w:rPr>
              <w:t>Unvalidated OEM-specific workflows</w:t>
            </w:r>
          </w:p>
        </w:tc>
      </w:tr>
    </w:tbl>
    <w:p>
      <w:pPr>
        <w:spacing w:after="0"/>
      </w:pPr>
    </w:p>
    <w:p>
      <w:r>
        <w:br w:type="page"/>
      </w:r>
    </w:p>
    <w:p>
      <w:pPr>
        <w:pStyle w:val="Heading1"/>
      </w:pPr>
      <w:r>
        <w:t>14. Fable Implementation Orders</w:t>
      </w:r>
    </w:p>
    <w:p>
      <w:pPr>
        <w:pStyle w:val="Heading2"/>
      </w:pPr>
      <w:r>
        <w:t>14.1 Execution contract</w:t>
      </w:r>
    </w:p>
    <w:tbl>
      <w:tblPr>
        <w:tblW w:type="dxa" w:w="9360"/>
        <w:jc w:val="left"/>
        <w:tblLayout w:type="fixed"/>
        <w:tblLook w:firstColumn="1" w:firstRow="1" w:lastColumn="0" w:lastRow="0" w:noHBand="0" w:noVBand="1" w:val="04A0"/>
        <w:tblInd w:w="120" w:type="dxa"/>
        <w:tblBorders>
          <w:top w:val="single" w:sz="6" w:space="0" w:color="1F4D78"/>
          <w:left w:val="single" w:sz="6" w:space="0" w:color="1F4D78"/>
          <w:bottom w:val="single" w:sz="6" w:space="0" w:color="1F4D78"/>
          <w:right w:val="single" w:sz="6" w:space="0" w:color="1F4D78"/>
          <w:insideH w:val="single" w:sz="6" w:space="0" w:color="1F4D78"/>
          <w:insideV w:val="single" w:sz="6" w:space="0" w:color="1F4D78"/>
        </w:tblBorders>
      </w:tblPr>
      <w:tblGrid>
        <w:gridCol w:w="9360"/>
      </w:tblGrid>
      <w:tr>
        <w:trPr>
          <w:cantSplit/>
        </w:trPr>
        <w:tc>
          <w:tcPr>
            <w:tcW w:type="dxa" w:w="9360"/>
            <w:tcMar>
              <w:top w:w="80" w:type="dxa"/>
              <w:start w:w="120" w:type="dxa"/>
              <w:bottom w:w="80" w:type="dxa"/>
              <w:end w:w="120" w:type="dxa"/>
            </w:tcMar>
            <w:shd w:fill="E8EEF5"/>
            <w:vAlign w:val="center"/>
          </w:tcPr>
          <w:p>
            <w:pPr>
              <w:spacing w:after="60"/>
            </w:pPr>
            <w:r>
              <w:rPr>
                <w:rFonts w:ascii="Calibri" w:hAnsi="Calibri"/>
                <w:b/>
                <w:color w:val="1F4D78"/>
                <w:sz w:val="21"/>
              </w:rPr>
              <w:t>Instruction to Fable</w:t>
            </w:r>
          </w:p>
          <w:p>
            <w:pPr>
              <w:spacing w:after="0" w:line="264" w:lineRule="auto"/>
            </w:pPr>
            <w:r>
              <w:rPr>
                <w:rFonts w:ascii="Calibri" w:hAnsi="Calibri"/>
                <w:color w:val="1F2328"/>
                <w:sz w:val="21"/>
              </w:rPr>
              <w:t>Implement one work order at a time. Do not add adjacent features, silently choose a new architecture, skip a required test, or proceed past a gate. When blocked, return evidence, options, and a recommendation. The architect/product owner approves the next order.</w:t>
            </w:r>
          </w:p>
        </w:tc>
      </w:tr>
    </w:tbl>
    <w:p>
      <w:pPr>
        <w:spacing w:after="0"/>
      </w:pP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700"/>
        <w:gridCol w:w="6660"/>
      </w:tblGrid>
      <w:tr>
        <w:trPr>
          <w:cantSplit/>
          <w:tblHeader w:val="true"/>
        </w:trPr>
        <w:tc>
          <w:tcPr>
            <w:tcW w:type="dxa" w:w="2700"/>
            <w:tcMar>
              <w:top w:w="80" w:type="dxa"/>
              <w:start w:w="120" w:type="dxa"/>
              <w:bottom w:w="80" w:type="dxa"/>
              <w:end w:w="120" w:type="dxa"/>
            </w:tcMar>
            <w:shd w:fill="F2F4F7"/>
            <w:vAlign w:val="center"/>
          </w:tcPr>
          <w:p>
            <w:pPr>
              <w:keepNext/>
              <w:spacing w:after="0"/>
            </w:pPr>
            <w:r>
              <w:rPr>
                <w:rFonts w:ascii="Calibri" w:hAnsi="Calibri"/>
                <w:b/>
                <w:color w:val="0B2545"/>
                <w:sz w:val="17"/>
              </w:rPr>
              <w:t>Packet field</w:t>
            </w:r>
          </w:p>
        </w:tc>
        <w:tc>
          <w:tcPr>
            <w:tcW w:type="dxa" w:w="6660"/>
            <w:tcMar>
              <w:top w:w="80" w:type="dxa"/>
              <w:start w:w="120" w:type="dxa"/>
              <w:bottom w:w="80" w:type="dxa"/>
              <w:end w:w="120" w:type="dxa"/>
            </w:tcMar>
            <w:shd w:fill="F2F4F7"/>
            <w:vAlign w:val="center"/>
          </w:tcPr>
          <w:p>
            <w:pPr>
              <w:keepNext/>
              <w:spacing w:after="0"/>
            </w:pPr>
            <w:r>
              <w:rPr>
                <w:rFonts w:ascii="Calibri" w:hAnsi="Calibri"/>
                <w:b/>
                <w:color w:val="0B2545"/>
                <w:sz w:val="17"/>
              </w:rPr>
              <w:t>Required content</w:t>
            </w:r>
          </w:p>
        </w:tc>
      </w:tr>
      <w:tr>
        <w:trPr>
          <w:trHeight w:hRule="atLeast"/>
          <w:cantSplit/>
          <w:cantSplit/>
        </w:trPr>
        <w:tc>
          <w:tcPr>
            <w:tcW w:type="dxa" w:w="2700"/>
            <w:vAlign w:val="top"/>
            <w:tcMar>
              <w:top w:w="80" w:type="dxa"/>
              <w:start w:w="120" w:type="dxa"/>
              <w:bottom w:w="80" w:type="dxa"/>
              <w:end w:w="120" w:type="dxa"/>
            </w:tcMar>
          </w:tcPr>
          <w:p>
            <w:pPr>
              <w:spacing w:before="0" w:after="40" w:line="240" w:lineRule="auto"/>
            </w:pPr>
            <w:r>
              <w:rPr>
                <w:rFonts w:ascii="Calibri" w:hAnsi="Calibri"/>
                <w:b w:val="0"/>
                <w:color w:val="1F2328"/>
                <w:sz w:val="17"/>
              </w:rPr>
              <w:t>Order ID and objective</w:t>
            </w:r>
          </w:p>
        </w:tc>
        <w:tc>
          <w:tcPr>
            <w:tcW w:type="dxa" w:w="6660"/>
            <w:vAlign w:val="top"/>
            <w:tcMar>
              <w:top w:w="80" w:type="dxa"/>
              <w:start w:w="120" w:type="dxa"/>
              <w:bottom w:w="80" w:type="dxa"/>
              <w:end w:w="120" w:type="dxa"/>
            </w:tcMar>
          </w:tcPr>
          <w:p>
            <w:pPr>
              <w:spacing w:before="0" w:after="40" w:line="240" w:lineRule="auto"/>
            </w:pPr>
            <w:r>
              <w:rPr>
                <w:rFonts w:ascii="Calibri" w:hAnsi="Calibri"/>
                <w:b w:val="0"/>
                <w:color w:val="1F2328"/>
                <w:sz w:val="17"/>
              </w:rPr>
              <w:t>One measurable outcome</w:t>
            </w:r>
          </w:p>
        </w:tc>
      </w:tr>
      <w:tr>
        <w:trPr>
          <w:trHeight w:hRule="atLeast"/>
          <w:cantSplit/>
          <w:cantSplit/>
        </w:trPr>
        <w:tc>
          <w:tcPr>
            <w:tcW w:type="dxa" w:w="2700"/>
            <w:vAlign w:val="top"/>
            <w:tcMar>
              <w:top w:w="80" w:type="dxa"/>
              <w:start w:w="120" w:type="dxa"/>
              <w:bottom w:w="80" w:type="dxa"/>
              <w:end w:w="120" w:type="dxa"/>
            </w:tcMar>
          </w:tcPr>
          <w:p>
            <w:pPr>
              <w:spacing w:before="0" w:after="40" w:line="240" w:lineRule="auto"/>
            </w:pPr>
            <w:r>
              <w:rPr>
                <w:rFonts w:ascii="Calibri" w:hAnsi="Calibri"/>
                <w:b w:val="0"/>
                <w:color w:val="1F2328"/>
                <w:sz w:val="17"/>
              </w:rPr>
              <w:t>Inputs and dependencies</w:t>
            </w:r>
          </w:p>
        </w:tc>
        <w:tc>
          <w:tcPr>
            <w:tcW w:type="dxa" w:w="6660"/>
            <w:vAlign w:val="top"/>
            <w:tcMar>
              <w:top w:w="80" w:type="dxa"/>
              <w:start w:w="120" w:type="dxa"/>
              <w:bottom w:w="80" w:type="dxa"/>
              <w:end w:w="120" w:type="dxa"/>
            </w:tcMar>
          </w:tcPr>
          <w:p>
            <w:pPr>
              <w:spacing w:before="0" w:after="40" w:line="240" w:lineRule="auto"/>
            </w:pPr>
            <w:r>
              <w:rPr>
                <w:rFonts w:ascii="Calibri" w:hAnsi="Calibri"/>
                <w:b w:val="0"/>
                <w:color w:val="1F2328"/>
                <w:sz w:val="17"/>
              </w:rPr>
              <w:t>Approved ADRs, prior artifacts, provider contracts</w:t>
            </w:r>
          </w:p>
        </w:tc>
      </w:tr>
      <w:tr>
        <w:trPr>
          <w:trHeight w:hRule="atLeast"/>
          <w:cantSplit/>
          <w:cantSplit/>
        </w:trPr>
        <w:tc>
          <w:tcPr>
            <w:tcW w:type="dxa" w:w="2700"/>
            <w:vAlign w:val="top"/>
            <w:tcMar>
              <w:top w:w="80" w:type="dxa"/>
              <w:start w:w="120" w:type="dxa"/>
              <w:bottom w:w="80" w:type="dxa"/>
              <w:end w:w="120" w:type="dxa"/>
            </w:tcMar>
          </w:tcPr>
          <w:p>
            <w:pPr>
              <w:spacing w:before="0" w:after="40" w:line="240" w:lineRule="auto"/>
            </w:pPr>
            <w:r>
              <w:rPr>
                <w:rFonts w:ascii="Calibri" w:hAnsi="Calibri"/>
                <w:b w:val="0"/>
                <w:color w:val="1F2328"/>
                <w:sz w:val="17"/>
              </w:rPr>
              <w:t>In scope / non-goals</w:t>
            </w:r>
          </w:p>
        </w:tc>
        <w:tc>
          <w:tcPr>
            <w:tcW w:type="dxa" w:w="6660"/>
            <w:vAlign w:val="top"/>
            <w:tcMar>
              <w:top w:w="80" w:type="dxa"/>
              <w:start w:w="120" w:type="dxa"/>
              <w:bottom w:w="80" w:type="dxa"/>
              <w:end w:w="120" w:type="dxa"/>
            </w:tcMar>
          </w:tcPr>
          <w:p>
            <w:pPr>
              <w:spacing w:before="0" w:after="40" w:line="240" w:lineRule="auto"/>
            </w:pPr>
            <w:r>
              <w:rPr>
                <w:rFonts w:ascii="Calibri" w:hAnsi="Calibri"/>
                <w:b w:val="0"/>
                <w:color w:val="1F2328"/>
                <w:sz w:val="17"/>
              </w:rPr>
              <w:t>Explicit boundary against opportunistic work</w:t>
            </w:r>
          </w:p>
        </w:tc>
      </w:tr>
      <w:tr>
        <w:trPr>
          <w:trHeight w:hRule="atLeast"/>
          <w:cantSplit/>
          <w:cantSplit/>
        </w:trPr>
        <w:tc>
          <w:tcPr>
            <w:tcW w:type="dxa" w:w="2700"/>
            <w:vAlign w:val="top"/>
            <w:tcMar>
              <w:top w:w="80" w:type="dxa"/>
              <w:start w:w="120" w:type="dxa"/>
              <w:bottom w:w="80" w:type="dxa"/>
              <w:end w:w="120" w:type="dxa"/>
            </w:tcMar>
          </w:tcPr>
          <w:p>
            <w:pPr>
              <w:spacing w:before="0" w:after="40" w:line="240" w:lineRule="auto"/>
            </w:pPr>
            <w:r>
              <w:rPr>
                <w:rFonts w:ascii="Calibri" w:hAnsi="Calibri"/>
                <w:b w:val="0"/>
                <w:color w:val="1F2328"/>
                <w:sz w:val="17"/>
              </w:rPr>
              <w:t>Design obligations</w:t>
            </w:r>
          </w:p>
        </w:tc>
        <w:tc>
          <w:tcPr>
            <w:tcW w:type="dxa" w:w="6660"/>
            <w:vAlign w:val="top"/>
            <w:tcMar>
              <w:top w:w="80" w:type="dxa"/>
              <w:start w:w="120" w:type="dxa"/>
              <w:bottom w:w="80" w:type="dxa"/>
              <w:end w:w="120" w:type="dxa"/>
            </w:tcMar>
          </w:tcPr>
          <w:p>
            <w:pPr>
              <w:spacing w:before="0" w:after="40" w:line="240" w:lineRule="auto"/>
            </w:pPr>
            <w:r>
              <w:rPr>
                <w:rFonts w:ascii="Calibri" w:hAnsi="Calibri"/>
                <w:b w:val="0"/>
                <w:color w:val="1F2328"/>
                <w:sz w:val="17"/>
              </w:rPr>
              <w:t>Domain invariants, data ownership, security, API/event contracts</w:t>
            </w:r>
          </w:p>
        </w:tc>
      </w:tr>
      <w:tr>
        <w:trPr>
          <w:trHeight w:hRule="atLeast"/>
          <w:cantSplit/>
          <w:cantSplit/>
        </w:trPr>
        <w:tc>
          <w:tcPr>
            <w:tcW w:type="dxa" w:w="2700"/>
            <w:vAlign w:val="top"/>
            <w:tcMar>
              <w:top w:w="80" w:type="dxa"/>
              <w:start w:w="120" w:type="dxa"/>
              <w:bottom w:w="80" w:type="dxa"/>
              <w:end w:w="120" w:type="dxa"/>
            </w:tcMar>
          </w:tcPr>
          <w:p>
            <w:pPr>
              <w:spacing w:before="0" w:after="40" w:line="240" w:lineRule="auto"/>
            </w:pPr>
            <w:r>
              <w:rPr>
                <w:rFonts w:ascii="Calibri" w:hAnsi="Calibri"/>
                <w:b w:val="0"/>
                <w:color w:val="1F2328"/>
                <w:sz w:val="17"/>
              </w:rPr>
              <w:t>Deliverables</w:t>
            </w:r>
          </w:p>
        </w:tc>
        <w:tc>
          <w:tcPr>
            <w:tcW w:type="dxa" w:w="6660"/>
            <w:vAlign w:val="top"/>
            <w:tcMar>
              <w:top w:w="80" w:type="dxa"/>
              <w:start w:w="120" w:type="dxa"/>
              <w:bottom w:w="80" w:type="dxa"/>
              <w:end w:w="120" w:type="dxa"/>
            </w:tcMar>
          </w:tcPr>
          <w:p>
            <w:pPr>
              <w:spacing w:before="0" w:after="40" w:line="240" w:lineRule="auto"/>
            </w:pPr>
            <w:r>
              <w:rPr>
                <w:rFonts w:ascii="Calibri" w:hAnsi="Calibri"/>
                <w:b w:val="0"/>
                <w:color w:val="1F2328"/>
                <w:sz w:val="17"/>
              </w:rPr>
              <w:t>Code, schema, docs, migrations, dashboards, runbooks</w:t>
            </w:r>
          </w:p>
        </w:tc>
      </w:tr>
      <w:tr>
        <w:trPr>
          <w:trHeight w:hRule="atLeast"/>
          <w:cantSplit/>
          <w:cantSplit/>
        </w:trPr>
        <w:tc>
          <w:tcPr>
            <w:tcW w:type="dxa" w:w="2700"/>
            <w:vAlign w:val="top"/>
            <w:tcMar>
              <w:top w:w="80" w:type="dxa"/>
              <w:start w:w="120" w:type="dxa"/>
              <w:bottom w:w="80" w:type="dxa"/>
              <w:end w:w="120" w:type="dxa"/>
            </w:tcMar>
          </w:tcPr>
          <w:p>
            <w:pPr>
              <w:spacing w:before="0" w:after="40" w:line="240" w:lineRule="auto"/>
            </w:pPr>
            <w:r>
              <w:rPr>
                <w:rFonts w:ascii="Calibri" w:hAnsi="Calibri"/>
                <w:b w:val="0"/>
                <w:color w:val="1F2328"/>
                <w:sz w:val="17"/>
              </w:rPr>
              <w:t>Verification</w:t>
            </w:r>
          </w:p>
        </w:tc>
        <w:tc>
          <w:tcPr>
            <w:tcW w:type="dxa" w:w="6660"/>
            <w:vAlign w:val="top"/>
            <w:tcMar>
              <w:top w:w="80" w:type="dxa"/>
              <w:start w:w="120" w:type="dxa"/>
              <w:bottom w:w="80" w:type="dxa"/>
              <w:end w:w="120" w:type="dxa"/>
            </w:tcMar>
          </w:tcPr>
          <w:p>
            <w:pPr>
              <w:spacing w:before="0" w:after="40" w:line="240" w:lineRule="auto"/>
            </w:pPr>
            <w:r>
              <w:rPr>
                <w:rFonts w:ascii="Calibri" w:hAnsi="Calibri"/>
                <w:b w:val="0"/>
                <w:color w:val="1F2328"/>
                <w:sz w:val="17"/>
              </w:rPr>
              <w:t>Exact commands/suites and required negative cases</w:t>
            </w:r>
          </w:p>
        </w:tc>
      </w:tr>
      <w:tr>
        <w:trPr>
          <w:trHeight w:hRule="atLeast"/>
          <w:cantSplit/>
          <w:cantSplit/>
        </w:trPr>
        <w:tc>
          <w:tcPr>
            <w:tcW w:type="dxa" w:w="2700"/>
            <w:vAlign w:val="top"/>
            <w:tcMar>
              <w:top w:w="80" w:type="dxa"/>
              <w:start w:w="120" w:type="dxa"/>
              <w:bottom w:w="80" w:type="dxa"/>
              <w:end w:w="120" w:type="dxa"/>
            </w:tcMar>
          </w:tcPr>
          <w:p>
            <w:pPr>
              <w:spacing w:before="0" w:after="40" w:line="240" w:lineRule="auto"/>
            </w:pPr>
            <w:r>
              <w:rPr>
                <w:rFonts w:ascii="Calibri" w:hAnsi="Calibri"/>
                <w:b w:val="0"/>
                <w:color w:val="1F2328"/>
                <w:sz w:val="17"/>
              </w:rPr>
              <w:t>Evidence pack</w:t>
            </w:r>
          </w:p>
        </w:tc>
        <w:tc>
          <w:tcPr>
            <w:tcW w:type="dxa" w:w="6660"/>
            <w:vAlign w:val="top"/>
            <w:tcMar>
              <w:top w:w="80" w:type="dxa"/>
              <w:start w:w="120" w:type="dxa"/>
              <w:bottom w:w="80" w:type="dxa"/>
              <w:end w:w="120" w:type="dxa"/>
            </w:tcMar>
          </w:tcPr>
          <w:p>
            <w:pPr>
              <w:spacing w:before="0" w:after="40" w:line="240" w:lineRule="auto"/>
            </w:pPr>
            <w:r>
              <w:rPr>
                <w:rFonts w:ascii="Calibri" w:hAnsi="Calibri"/>
                <w:b w:val="0"/>
                <w:color w:val="1F2328"/>
                <w:sz w:val="17"/>
              </w:rPr>
              <w:t>Diff summary, schemas, OpenAPI diff, migration proof, screenshots/results, risks</w:t>
            </w:r>
          </w:p>
        </w:tc>
      </w:tr>
      <w:tr>
        <w:trPr>
          <w:trHeight w:hRule="atLeast"/>
          <w:cantSplit/>
          <w:cantSplit/>
        </w:trPr>
        <w:tc>
          <w:tcPr>
            <w:tcW w:type="dxa" w:w="2700"/>
            <w:vAlign w:val="top"/>
            <w:tcMar>
              <w:top w:w="80" w:type="dxa"/>
              <w:start w:w="120" w:type="dxa"/>
              <w:bottom w:w="80" w:type="dxa"/>
              <w:end w:w="120" w:type="dxa"/>
            </w:tcMar>
          </w:tcPr>
          <w:p>
            <w:pPr>
              <w:spacing w:before="0" w:after="40" w:line="240" w:lineRule="auto"/>
            </w:pPr>
            <w:r>
              <w:rPr>
                <w:rFonts w:ascii="Calibri" w:hAnsi="Calibri"/>
                <w:b w:val="0"/>
                <w:color w:val="1F2328"/>
                <w:sz w:val="17"/>
              </w:rPr>
              <w:t>Exit gate</w:t>
            </w:r>
          </w:p>
        </w:tc>
        <w:tc>
          <w:tcPr>
            <w:tcW w:type="dxa" w:w="6660"/>
            <w:vAlign w:val="top"/>
            <w:tcMar>
              <w:top w:w="80" w:type="dxa"/>
              <w:start w:w="120" w:type="dxa"/>
              <w:bottom w:w="80" w:type="dxa"/>
              <w:end w:w="120" w:type="dxa"/>
            </w:tcMar>
          </w:tcPr>
          <w:p>
            <w:pPr>
              <w:spacing w:before="0" w:after="40" w:line="240" w:lineRule="auto"/>
            </w:pPr>
            <w:r>
              <w:rPr>
                <w:rFonts w:ascii="Calibri" w:hAnsi="Calibri"/>
                <w:b w:val="0"/>
                <w:color w:val="1F2328"/>
                <w:sz w:val="17"/>
              </w:rPr>
              <w:t>Binary acceptance conditions and approval owner</w:t>
            </w:r>
          </w:p>
        </w:tc>
      </w:tr>
      <w:tr>
        <w:trPr>
          <w:trHeight w:hRule="atLeast"/>
          <w:cantSplit/>
          <w:cantSplit/>
        </w:trPr>
        <w:tc>
          <w:tcPr>
            <w:tcW w:type="dxa" w:w="2700"/>
            <w:vAlign w:val="top"/>
            <w:tcMar>
              <w:top w:w="80" w:type="dxa"/>
              <w:start w:w="120" w:type="dxa"/>
              <w:bottom w:w="80" w:type="dxa"/>
              <w:end w:w="120" w:type="dxa"/>
            </w:tcMar>
          </w:tcPr>
          <w:p>
            <w:pPr>
              <w:spacing w:before="0" w:after="40" w:line="240" w:lineRule="auto"/>
            </w:pPr>
            <w:r>
              <w:rPr>
                <w:rFonts w:ascii="Calibri" w:hAnsi="Calibri"/>
                <w:b w:val="0"/>
                <w:color w:val="1F2328"/>
                <w:sz w:val="17"/>
              </w:rPr>
              <w:t>Rollback</w:t>
            </w:r>
          </w:p>
        </w:tc>
        <w:tc>
          <w:tcPr>
            <w:tcW w:type="dxa" w:w="6660"/>
            <w:vAlign w:val="top"/>
            <w:tcMar>
              <w:top w:w="80" w:type="dxa"/>
              <w:start w:w="120" w:type="dxa"/>
              <w:bottom w:w="80" w:type="dxa"/>
              <w:end w:w="120" w:type="dxa"/>
            </w:tcMar>
          </w:tcPr>
          <w:p>
            <w:pPr>
              <w:spacing w:before="0" w:after="40" w:line="240" w:lineRule="auto"/>
            </w:pPr>
            <w:r>
              <w:rPr>
                <w:rFonts w:ascii="Calibri" w:hAnsi="Calibri"/>
                <w:b w:val="0"/>
                <w:color w:val="1F2328"/>
                <w:sz w:val="17"/>
              </w:rPr>
              <w:t>How a failed release or migration is reversed/contained</w:t>
            </w:r>
          </w:p>
        </w:tc>
      </w:tr>
    </w:tbl>
    <w:p>
      <w:pPr>
        <w:spacing w:after="0"/>
      </w:pPr>
    </w:p>
    <w:p>
      <w:pPr>
        <w:pStyle w:val="Heading2"/>
      </w:pPr>
      <w:r>
        <w:t>14.2 Ordered backlog</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050"/>
        <w:gridCol w:w="1800"/>
        <w:gridCol w:w="750"/>
        <w:gridCol w:w="4100"/>
        <w:gridCol w:w="1660"/>
      </w:tblGrid>
      <w:tr>
        <w:trPr>
          <w:cantSplit/>
          <w:tblHeader w:val="true"/>
        </w:trPr>
        <w:tc>
          <w:tcPr>
            <w:tcW w:type="dxa" w:w="1050"/>
            <w:tcMar>
              <w:top w:w="80" w:type="dxa"/>
              <w:start w:w="120" w:type="dxa"/>
              <w:bottom w:w="80" w:type="dxa"/>
              <w:end w:w="120" w:type="dxa"/>
            </w:tcMar>
            <w:shd w:fill="F2F4F7"/>
            <w:vAlign w:val="center"/>
          </w:tcPr>
          <w:p>
            <w:pPr>
              <w:keepNext/>
              <w:spacing w:after="0"/>
            </w:pPr>
            <w:r>
              <w:rPr>
                <w:rFonts w:ascii="Calibri" w:hAnsi="Calibri"/>
                <w:b/>
                <w:color w:val="0B2545"/>
                <w:sz w:val="14"/>
              </w:rPr>
              <w:t>Order</w:t>
            </w:r>
          </w:p>
        </w:tc>
        <w:tc>
          <w:tcPr>
            <w:tcW w:type="dxa" w:w="1800"/>
            <w:tcMar>
              <w:top w:w="80" w:type="dxa"/>
              <w:start w:w="120" w:type="dxa"/>
              <w:bottom w:w="80" w:type="dxa"/>
              <w:end w:w="120" w:type="dxa"/>
            </w:tcMar>
            <w:shd w:fill="F2F4F7"/>
            <w:vAlign w:val="center"/>
          </w:tcPr>
          <w:p>
            <w:pPr>
              <w:keepNext/>
              <w:spacing w:after="0"/>
            </w:pPr>
            <w:r>
              <w:rPr>
                <w:rFonts w:ascii="Calibri" w:hAnsi="Calibri"/>
                <w:b/>
                <w:color w:val="0B2545"/>
                <w:sz w:val="14"/>
              </w:rPr>
              <w:t>Objective</w:t>
            </w:r>
          </w:p>
        </w:tc>
        <w:tc>
          <w:tcPr>
            <w:tcW w:type="dxa" w:w="750"/>
            <w:tcMar>
              <w:top w:w="80" w:type="dxa"/>
              <w:start w:w="120" w:type="dxa"/>
              <w:bottom w:w="80" w:type="dxa"/>
              <w:end w:w="120" w:type="dxa"/>
            </w:tcMar>
            <w:shd w:fill="F2F4F7"/>
            <w:vAlign w:val="center"/>
          </w:tcPr>
          <w:p>
            <w:pPr>
              <w:keepNext/>
              <w:spacing w:after="0"/>
            </w:pPr>
            <w:r>
              <w:rPr>
                <w:rFonts w:ascii="Calibri" w:hAnsi="Calibri"/>
                <w:b/>
                <w:color w:val="0B2545"/>
                <w:sz w:val="14"/>
              </w:rPr>
              <w:t>Depends</w:t>
            </w:r>
          </w:p>
        </w:tc>
        <w:tc>
          <w:tcPr>
            <w:tcW w:type="dxa" w:w="4100"/>
            <w:tcMar>
              <w:top w:w="80" w:type="dxa"/>
              <w:start w:w="120" w:type="dxa"/>
              <w:bottom w:w="80" w:type="dxa"/>
              <w:end w:w="120" w:type="dxa"/>
            </w:tcMar>
            <w:shd w:fill="F2F4F7"/>
            <w:vAlign w:val="center"/>
          </w:tcPr>
          <w:p>
            <w:pPr>
              <w:keepNext/>
              <w:spacing w:after="0"/>
            </w:pPr>
            <w:r>
              <w:rPr>
                <w:rFonts w:ascii="Calibri" w:hAnsi="Calibri"/>
                <w:b/>
                <w:color w:val="0B2545"/>
                <w:sz w:val="14"/>
              </w:rPr>
              <w:t>Scope</w:t>
            </w:r>
          </w:p>
        </w:tc>
        <w:tc>
          <w:tcPr>
            <w:tcW w:type="dxa" w:w="1660"/>
            <w:tcMar>
              <w:top w:w="80" w:type="dxa"/>
              <w:start w:w="120" w:type="dxa"/>
              <w:bottom w:w="80" w:type="dxa"/>
              <w:end w:w="120" w:type="dxa"/>
            </w:tcMar>
            <w:shd w:fill="F2F4F7"/>
            <w:vAlign w:val="center"/>
          </w:tcPr>
          <w:p>
            <w:pPr>
              <w:keepNext/>
              <w:spacing w:after="0"/>
            </w:pPr>
            <w:r>
              <w:rPr>
                <w:rFonts w:ascii="Calibri" w:hAnsi="Calibri"/>
                <w:b/>
                <w:color w:val="0B2545"/>
                <w:sz w:val="14"/>
              </w:rPr>
              <w:t>Gate</w:t>
            </w:r>
          </w:p>
        </w:tc>
      </w:tr>
      <w:tr>
        <w:trPr>
          <w:trHeight w:hRule="atLeast"/>
          <w:cantSplit/>
          <w:cantSplit/>
          <w:cantSplit/>
          <w:cantSplit/>
          <w:cantSplit/>
        </w:trPr>
        <w:tc>
          <w:tcPr>
            <w:tcW w:type="dxa" w:w="1050"/>
            <w:vAlign w:val="top"/>
            <w:tcMar>
              <w:top w:w="80" w:type="dxa"/>
              <w:start w:w="120" w:type="dxa"/>
              <w:bottom w:w="80" w:type="dxa"/>
              <w:end w:w="120" w:type="dxa"/>
            </w:tcMar>
          </w:tcPr>
          <w:p>
            <w:pPr>
              <w:spacing w:before="0" w:after="40" w:line="240" w:lineRule="auto"/>
            </w:pPr>
            <w:r>
              <w:rPr>
                <w:rFonts w:ascii="Calibri" w:hAnsi="Calibri"/>
                <w:b w:val="0"/>
                <w:color w:val="1F2328"/>
                <w:sz w:val="14"/>
              </w:rPr>
              <w:t>FBL-000</w:t>
            </w:r>
          </w:p>
        </w:tc>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Reproducible baseline</w:t>
            </w:r>
          </w:p>
        </w:tc>
        <w:tc>
          <w:tcPr>
            <w:tcW w:type="dxa" w:w="750"/>
            <w:vAlign w:val="top"/>
            <w:tcMar>
              <w:top w:w="80" w:type="dxa"/>
              <w:start w:w="120" w:type="dxa"/>
              <w:bottom w:w="80" w:type="dxa"/>
              <w:end w:w="120" w:type="dxa"/>
            </w:tcMar>
          </w:tcPr>
          <w:p>
            <w:pPr>
              <w:spacing w:before="0" w:after="40" w:line="240" w:lineRule="auto"/>
            </w:pPr>
            <w:r>
              <w:rPr>
                <w:rFonts w:ascii="Calibri" w:hAnsi="Calibri"/>
                <w:b w:val="0"/>
                <w:color w:val="1F2328"/>
                <w:sz w:val="14"/>
              </w:rPr>
              <w:t>0</w:t>
            </w:r>
          </w:p>
        </w:tc>
        <w:tc>
          <w:tcPr>
            <w:tcW w:type="dxa" w:w="4100"/>
            <w:vAlign w:val="top"/>
            <w:tcMar>
              <w:top w:w="80" w:type="dxa"/>
              <w:start w:w="120" w:type="dxa"/>
              <w:bottom w:w="80" w:type="dxa"/>
              <w:end w:w="120" w:type="dxa"/>
            </w:tcMar>
          </w:tcPr>
          <w:p>
            <w:pPr>
              <w:spacing w:before="0" w:after="40" w:line="240" w:lineRule="auto"/>
            </w:pPr>
            <w:r>
              <w:rPr>
                <w:rFonts w:ascii="Calibri" w:hAnsi="Calibri"/>
                <w:b w:val="0"/>
                <w:color w:val="1F2328"/>
                <w:sz w:val="14"/>
              </w:rPr>
              <w:t>CI with real PostgreSQL; all declared tests; lint/strictness baseline; artifact/security scans</w:t>
            </w:r>
          </w:p>
        </w:tc>
        <w:tc>
          <w:tcPr>
            <w:tcW w:type="dxa" w:w="1660"/>
            <w:vAlign w:val="top"/>
            <w:tcMar>
              <w:top w:w="80" w:type="dxa"/>
              <w:start w:w="120" w:type="dxa"/>
              <w:bottom w:w="80" w:type="dxa"/>
              <w:end w:w="120" w:type="dxa"/>
            </w:tcMar>
          </w:tcPr>
          <w:p>
            <w:pPr>
              <w:spacing w:before="0" w:after="40" w:line="240" w:lineRule="auto"/>
            </w:pPr>
            <w:r>
              <w:rPr>
                <w:rFonts w:ascii="Calibri" w:hAnsi="Calibri"/>
                <w:b w:val="0"/>
                <w:color w:val="1F2328"/>
                <w:sz w:val="14"/>
              </w:rPr>
              <w:t>No skipped critical suite</w:t>
            </w:r>
          </w:p>
        </w:tc>
      </w:tr>
      <w:tr>
        <w:trPr>
          <w:trHeight w:hRule="atLeast"/>
          <w:cantSplit/>
          <w:cantSplit/>
          <w:cantSplit/>
          <w:cantSplit/>
          <w:cantSplit/>
        </w:trPr>
        <w:tc>
          <w:tcPr>
            <w:tcW w:type="dxa" w:w="1050"/>
            <w:vAlign w:val="top"/>
            <w:tcMar>
              <w:top w:w="80" w:type="dxa"/>
              <w:start w:w="120" w:type="dxa"/>
              <w:bottom w:w="80" w:type="dxa"/>
              <w:end w:w="120" w:type="dxa"/>
            </w:tcMar>
          </w:tcPr>
          <w:p>
            <w:pPr>
              <w:spacing w:before="0" w:after="40" w:line="240" w:lineRule="auto"/>
            </w:pPr>
            <w:r>
              <w:rPr>
                <w:rFonts w:ascii="Calibri" w:hAnsi="Calibri"/>
                <w:b w:val="0"/>
                <w:color w:val="1F2328"/>
                <w:sz w:val="14"/>
              </w:rPr>
              <w:t>FBL-010</w:t>
            </w:r>
          </w:p>
        </w:tc>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Architecture shell</w:t>
            </w:r>
          </w:p>
        </w:tc>
        <w:tc>
          <w:tcPr>
            <w:tcW w:type="dxa" w:w="750"/>
            <w:vAlign w:val="top"/>
            <w:tcMar>
              <w:top w:w="80" w:type="dxa"/>
              <w:start w:w="120" w:type="dxa"/>
              <w:bottom w:w="80" w:type="dxa"/>
              <w:end w:w="120" w:type="dxa"/>
            </w:tcMar>
          </w:tcPr>
          <w:p>
            <w:pPr>
              <w:spacing w:before="0" w:after="40" w:line="240" w:lineRule="auto"/>
            </w:pPr>
            <w:r>
              <w:rPr>
                <w:rFonts w:ascii="Calibri" w:hAnsi="Calibri"/>
                <w:b w:val="0"/>
                <w:color w:val="1F2328"/>
                <w:sz w:val="14"/>
              </w:rPr>
              <w:t>000</w:t>
            </w:r>
          </w:p>
        </w:tc>
        <w:tc>
          <w:tcPr>
            <w:tcW w:type="dxa" w:w="4100"/>
            <w:vAlign w:val="top"/>
            <w:tcMar>
              <w:top w:w="80" w:type="dxa"/>
              <w:start w:w="120" w:type="dxa"/>
              <w:bottom w:w="80" w:type="dxa"/>
              <w:end w:w="120" w:type="dxa"/>
            </w:tcMar>
          </w:tcPr>
          <w:p>
            <w:pPr>
              <w:spacing w:before="0" w:after="40" w:line="240" w:lineRule="auto"/>
            </w:pPr>
            <w:r>
              <w:rPr>
                <w:rFonts w:ascii="Calibri" w:hAnsi="Calibri"/>
                <w:b w:val="0"/>
                <w:color w:val="1F2328"/>
                <w:sz w:val="14"/>
              </w:rPr>
              <w:t>Monorepo/module boundaries, ADRs, dependency rules, configuration and error conventions</w:t>
            </w:r>
          </w:p>
        </w:tc>
        <w:tc>
          <w:tcPr>
            <w:tcW w:type="dxa" w:w="1660"/>
            <w:vAlign w:val="top"/>
            <w:tcMar>
              <w:top w:w="80" w:type="dxa"/>
              <w:start w:w="120" w:type="dxa"/>
              <w:bottom w:w="80" w:type="dxa"/>
              <w:end w:w="120" w:type="dxa"/>
            </w:tcMar>
          </w:tcPr>
          <w:p>
            <w:pPr>
              <w:spacing w:before="0" w:after="40" w:line="240" w:lineRule="auto"/>
            </w:pPr>
            <w:r>
              <w:rPr>
                <w:rFonts w:ascii="Calibri" w:hAnsi="Calibri"/>
                <w:b w:val="0"/>
                <w:color w:val="1F2328"/>
                <w:sz w:val="14"/>
              </w:rPr>
              <w:t>Boundary checks enforced</w:t>
            </w:r>
          </w:p>
        </w:tc>
      </w:tr>
      <w:tr>
        <w:trPr>
          <w:trHeight w:hRule="atLeast"/>
          <w:cantSplit/>
          <w:cantSplit/>
          <w:cantSplit/>
          <w:cantSplit/>
          <w:cantSplit/>
        </w:trPr>
        <w:tc>
          <w:tcPr>
            <w:tcW w:type="dxa" w:w="1050"/>
            <w:vAlign w:val="top"/>
            <w:tcMar>
              <w:top w:w="80" w:type="dxa"/>
              <w:start w:w="120" w:type="dxa"/>
              <w:bottom w:w="80" w:type="dxa"/>
              <w:end w:w="120" w:type="dxa"/>
            </w:tcMar>
          </w:tcPr>
          <w:p>
            <w:pPr>
              <w:spacing w:before="0" w:after="40" w:line="240" w:lineRule="auto"/>
            </w:pPr>
            <w:r>
              <w:rPr>
                <w:rFonts w:ascii="Calibri" w:hAnsi="Calibri"/>
                <w:b w:val="0"/>
                <w:color w:val="1F2328"/>
                <w:sz w:val="14"/>
              </w:rPr>
              <w:t>FBL-020</w:t>
            </w:r>
          </w:p>
        </w:tc>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Identity and organization</w:t>
            </w:r>
          </w:p>
        </w:tc>
        <w:tc>
          <w:tcPr>
            <w:tcW w:type="dxa" w:w="750"/>
            <w:vAlign w:val="top"/>
            <w:tcMar>
              <w:top w:w="80" w:type="dxa"/>
              <w:start w:w="120" w:type="dxa"/>
              <w:bottom w:w="80" w:type="dxa"/>
              <w:end w:w="120" w:type="dxa"/>
            </w:tcMar>
          </w:tcPr>
          <w:p>
            <w:pPr>
              <w:spacing w:before="0" w:after="40" w:line="240" w:lineRule="auto"/>
            </w:pPr>
            <w:r>
              <w:rPr>
                <w:rFonts w:ascii="Calibri" w:hAnsi="Calibri"/>
                <w:b w:val="0"/>
                <w:color w:val="1F2328"/>
                <w:sz w:val="14"/>
              </w:rPr>
              <w:t>010</w:t>
            </w:r>
          </w:p>
        </w:tc>
        <w:tc>
          <w:tcPr>
            <w:tcW w:type="dxa" w:w="4100"/>
            <w:vAlign w:val="top"/>
            <w:tcMar>
              <w:top w:w="80" w:type="dxa"/>
              <w:start w:w="120" w:type="dxa"/>
              <w:bottom w:w="80" w:type="dxa"/>
              <w:end w:w="120" w:type="dxa"/>
            </w:tcMar>
          </w:tcPr>
          <w:p>
            <w:pPr>
              <w:spacing w:before="0" w:after="40" w:line="240" w:lineRule="auto"/>
            </w:pPr>
            <w:r>
              <w:rPr>
                <w:rFonts w:ascii="Calibri" w:hAnsi="Calibri"/>
                <w:b w:val="0"/>
                <w:color w:val="1F2328"/>
                <w:sz w:val="14"/>
              </w:rPr>
              <w:t>OIDC integration, tenant/group/legal entity/rooftop, policy context, support-access model</w:t>
            </w:r>
          </w:p>
        </w:tc>
        <w:tc>
          <w:tcPr>
            <w:tcW w:type="dxa" w:w="1660"/>
            <w:vAlign w:val="top"/>
            <w:tcMar>
              <w:top w:w="80" w:type="dxa"/>
              <w:start w:w="120" w:type="dxa"/>
              <w:bottom w:w="80" w:type="dxa"/>
              <w:end w:w="120" w:type="dxa"/>
            </w:tcMar>
          </w:tcPr>
          <w:p>
            <w:pPr>
              <w:spacing w:before="0" w:after="40" w:line="240" w:lineRule="auto"/>
            </w:pPr>
            <w:r>
              <w:rPr>
                <w:rFonts w:ascii="Calibri" w:hAnsi="Calibri"/>
                <w:b w:val="0"/>
                <w:color w:val="1F2328"/>
                <w:sz w:val="14"/>
              </w:rPr>
              <w:t>Role/tenant negative tests</w:t>
            </w:r>
          </w:p>
        </w:tc>
      </w:tr>
      <w:tr>
        <w:trPr>
          <w:trHeight w:hRule="atLeast"/>
          <w:cantSplit/>
          <w:cantSplit/>
          <w:cantSplit/>
          <w:cantSplit/>
          <w:cantSplit/>
        </w:trPr>
        <w:tc>
          <w:tcPr>
            <w:tcW w:type="dxa" w:w="1050"/>
            <w:vAlign w:val="top"/>
            <w:tcMar>
              <w:top w:w="80" w:type="dxa"/>
              <w:start w:w="120" w:type="dxa"/>
              <w:bottom w:w="80" w:type="dxa"/>
              <w:end w:w="120" w:type="dxa"/>
            </w:tcMar>
          </w:tcPr>
          <w:p>
            <w:pPr>
              <w:spacing w:before="0" w:after="40" w:line="240" w:lineRule="auto"/>
            </w:pPr>
            <w:r>
              <w:rPr>
                <w:rFonts w:ascii="Calibri" w:hAnsi="Calibri"/>
                <w:b w:val="0"/>
                <w:color w:val="1F2328"/>
                <w:sz w:val="14"/>
              </w:rPr>
              <w:t>FBL-030</w:t>
            </w:r>
          </w:p>
        </w:tc>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Database tenant enforcement</w:t>
            </w:r>
          </w:p>
        </w:tc>
        <w:tc>
          <w:tcPr>
            <w:tcW w:type="dxa" w:w="750"/>
            <w:vAlign w:val="top"/>
            <w:tcMar>
              <w:top w:w="80" w:type="dxa"/>
              <w:start w:w="120" w:type="dxa"/>
              <w:bottom w:w="80" w:type="dxa"/>
              <w:end w:w="120" w:type="dxa"/>
            </w:tcMar>
          </w:tcPr>
          <w:p>
            <w:pPr>
              <w:spacing w:before="0" w:after="40" w:line="240" w:lineRule="auto"/>
            </w:pPr>
            <w:r>
              <w:rPr>
                <w:rFonts w:ascii="Calibri" w:hAnsi="Calibri"/>
                <w:b w:val="0"/>
                <w:color w:val="1F2328"/>
                <w:sz w:val="14"/>
              </w:rPr>
              <w:t>020</w:t>
            </w:r>
          </w:p>
        </w:tc>
        <w:tc>
          <w:tcPr>
            <w:tcW w:type="dxa" w:w="4100"/>
            <w:vAlign w:val="top"/>
            <w:tcMar>
              <w:top w:w="80" w:type="dxa"/>
              <w:start w:w="120" w:type="dxa"/>
              <w:bottom w:w="80" w:type="dxa"/>
              <w:end w:w="120" w:type="dxa"/>
            </w:tcMar>
          </w:tcPr>
          <w:p>
            <w:pPr>
              <w:spacing w:before="0" w:after="40" w:line="240" w:lineRule="auto"/>
            </w:pPr>
            <w:r>
              <w:rPr>
                <w:rFonts w:ascii="Calibri" w:hAnsi="Calibri"/>
                <w:b w:val="0"/>
                <w:color w:val="1F2328"/>
                <w:sz w:val="14"/>
              </w:rPr>
              <w:t>RLS, composite tenant keys/FKs, transaction tenant context, migration verifier</w:t>
            </w:r>
          </w:p>
        </w:tc>
        <w:tc>
          <w:tcPr>
            <w:tcW w:type="dxa" w:w="1660"/>
            <w:vAlign w:val="top"/>
            <w:tcMar>
              <w:top w:w="80" w:type="dxa"/>
              <w:start w:w="120" w:type="dxa"/>
              <w:bottom w:w="80" w:type="dxa"/>
              <w:end w:w="120" w:type="dxa"/>
            </w:tcMar>
          </w:tcPr>
          <w:p>
            <w:pPr>
              <w:spacing w:before="0" w:after="40" w:line="240" w:lineRule="auto"/>
            </w:pPr>
            <w:r>
              <w:rPr>
                <w:rFonts w:ascii="Calibri" w:hAnsi="Calibri"/>
                <w:b w:val="0"/>
                <w:color w:val="1F2328"/>
                <w:sz w:val="14"/>
              </w:rPr>
              <w:t>Automated escape suite passes</w:t>
            </w:r>
          </w:p>
        </w:tc>
      </w:tr>
      <w:tr>
        <w:trPr>
          <w:trHeight w:hRule="atLeast"/>
          <w:cantSplit/>
          <w:cantSplit/>
          <w:cantSplit/>
          <w:cantSplit/>
          <w:cantSplit/>
        </w:trPr>
        <w:tc>
          <w:tcPr>
            <w:tcW w:type="dxa" w:w="1050"/>
            <w:vAlign w:val="top"/>
            <w:tcMar>
              <w:top w:w="80" w:type="dxa"/>
              <w:start w:w="120" w:type="dxa"/>
              <w:bottom w:w="80" w:type="dxa"/>
              <w:end w:w="120" w:type="dxa"/>
            </w:tcMar>
          </w:tcPr>
          <w:p>
            <w:pPr>
              <w:spacing w:before="0" w:after="40" w:line="240" w:lineRule="auto"/>
            </w:pPr>
            <w:r>
              <w:rPr>
                <w:rFonts w:ascii="Calibri" w:hAnsi="Calibri"/>
                <w:b w:val="0"/>
                <w:color w:val="1F2328"/>
                <w:sz w:val="14"/>
              </w:rPr>
              <w:t>FBL-040</w:t>
            </w:r>
          </w:p>
        </w:tc>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Contract and durability kernel</w:t>
            </w:r>
          </w:p>
        </w:tc>
        <w:tc>
          <w:tcPr>
            <w:tcW w:type="dxa" w:w="750"/>
            <w:vAlign w:val="top"/>
            <w:tcMar>
              <w:top w:w="80" w:type="dxa"/>
              <w:start w:w="120" w:type="dxa"/>
              <w:bottom w:w="80" w:type="dxa"/>
              <w:end w:w="120" w:type="dxa"/>
            </w:tcMar>
          </w:tcPr>
          <w:p>
            <w:pPr>
              <w:spacing w:before="0" w:after="40" w:line="240" w:lineRule="auto"/>
            </w:pPr>
            <w:r>
              <w:rPr>
                <w:rFonts w:ascii="Calibri" w:hAnsi="Calibri"/>
                <w:b w:val="0"/>
                <w:color w:val="1F2328"/>
                <w:sz w:val="14"/>
              </w:rPr>
              <w:t>030</w:t>
            </w:r>
          </w:p>
        </w:tc>
        <w:tc>
          <w:tcPr>
            <w:tcW w:type="dxa" w:w="4100"/>
            <w:vAlign w:val="top"/>
            <w:tcMar>
              <w:top w:w="80" w:type="dxa"/>
              <w:start w:w="120" w:type="dxa"/>
              <w:bottom w:w="80" w:type="dxa"/>
              <w:end w:w="120" w:type="dxa"/>
            </w:tcMar>
          </w:tcPr>
          <w:p>
            <w:pPr>
              <w:spacing w:before="0" w:after="40" w:line="240" w:lineRule="auto"/>
            </w:pPr>
            <w:r>
              <w:rPr>
                <w:rFonts w:ascii="Calibri" w:hAnsi="Calibri"/>
                <w:b w:val="0"/>
                <w:color w:val="1F2328"/>
                <w:sz w:val="14"/>
              </w:rPr>
              <w:t>OpenAPI v1, Problem Details, idempotency, outbox, audit evidence, request/trace IDs</w:t>
            </w:r>
          </w:p>
        </w:tc>
        <w:tc>
          <w:tcPr>
            <w:tcW w:type="dxa" w:w="1660"/>
            <w:vAlign w:val="top"/>
            <w:tcMar>
              <w:top w:w="80" w:type="dxa"/>
              <w:start w:w="120" w:type="dxa"/>
              <w:bottom w:w="80" w:type="dxa"/>
              <w:end w:w="120" w:type="dxa"/>
            </w:tcMar>
          </w:tcPr>
          <w:p>
            <w:pPr>
              <w:spacing w:before="0" w:after="40" w:line="240" w:lineRule="auto"/>
            </w:pPr>
            <w:r>
              <w:rPr>
                <w:rFonts w:ascii="Calibri" w:hAnsi="Calibri"/>
                <w:b w:val="0"/>
                <w:color w:val="1F2328"/>
                <w:sz w:val="14"/>
              </w:rPr>
              <w:t>Replay/no-loss proof</w:t>
            </w:r>
          </w:p>
        </w:tc>
      </w:tr>
      <w:tr>
        <w:trPr>
          <w:trHeight w:hRule="atLeast"/>
          <w:cantSplit/>
          <w:cantSplit/>
          <w:cantSplit/>
          <w:cantSplit/>
          <w:cantSplit/>
        </w:trPr>
        <w:tc>
          <w:tcPr>
            <w:tcW w:type="dxa" w:w="1050"/>
            <w:vAlign w:val="top"/>
            <w:tcMar>
              <w:top w:w="80" w:type="dxa"/>
              <w:start w:w="120" w:type="dxa"/>
              <w:bottom w:w="80" w:type="dxa"/>
              <w:end w:w="120" w:type="dxa"/>
            </w:tcMar>
          </w:tcPr>
          <w:p>
            <w:pPr>
              <w:spacing w:before="0" w:after="40" w:line="240" w:lineRule="auto"/>
            </w:pPr>
            <w:r>
              <w:rPr>
                <w:rFonts w:ascii="Calibri" w:hAnsi="Calibri"/>
                <w:b w:val="0"/>
                <w:color w:val="1F2328"/>
                <w:sz w:val="14"/>
              </w:rPr>
              <w:t>FBL-050</w:t>
            </w:r>
          </w:p>
        </w:tc>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Party and vehicle master</w:t>
            </w:r>
          </w:p>
        </w:tc>
        <w:tc>
          <w:tcPr>
            <w:tcW w:type="dxa" w:w="750"/>
            <w:vAlign w:val="top"/>
            <w:tcMar>
              <w:top w:w="80" w:type="dxa"/>
              <w:start w:w="120" w:type="dxa"/>
              <w:bottom w:w="80" w:type="dxa"/>
              <w:end w:w="120" w:type="dxa"/>
            </w:tcMar>
          </w:tcPr>
          <w:p>
            <w:pPr>
              <w:spacing w:before="0" w:after="40" w:line="240" w:lineRule="auto"/>
            </w:pPr>
            <w:r>
              <w:rPr>
                <w:rFonts w:ascii="Calibri" w:hAnsi="Calibri"/>
                <w:b w:val="0"/>
                <w:color w:val="1F2328"/>
                <w:sz w:val="14"/>
              </w:rPr>
              <w:t>040</w:t>
            </w:r>
          </w:p>
        </w:tc>
        <w:tc>
          <w:tcPr>
            <w:tcW w:type="dxa" w:w="4100"/>
            <w:vAlign w:val="top"/>
            <w:tcMar>
              <w:top w:w="80" w:type="dxa"/>
              <w:start w:w="120" w:type="dxa"/>
              <w:bottom w:w="80" w:type="dxa"/>
              <w:end w:w="120" w:type="dxa"/>
            </w:tcMar>
          </w:tcPr>
          <w:p>
            <w:pPr>
              <w:spacing w:before="0" w:after="40" w:line="240" w:lineRule="auto"/>
            </w:pPr>
            <w:r>
              <w:rPr>
                <w:rFonts w:ascii="Calibri" w:hAnsi="Calibri"/>
                <w:b w:val="0"/>
                <w:color w:val="1F2328"/>
                <w:sz w:val="14"/>
              </w:rPr>
              <w:t>Canonical records, contact/consent, merge, ownership, imports</w:t>
            </w:r>
          </w:p>
        </w:tc>
        <w:tc>
          <w:tcPr>
            <w:tcW w:type="dxa" w:w="1660"/>
            <w:vAlign w:val="top"/>
            <w:tcMar>
              <w:top w:w="80" w:type="dxa"/>
              <w:start w:w="120" w:type="dxa"/>
              <w:bottom w:w="80" w:type="dxa"/>
              <w:end w:w="120" w:type="dxa"/>
            </w:tcMar>
          </w:tcPr>
          <w:p>
            <w:pPr>
              <w:spacing w:before="0" w:after="40" w:line="240" w:lineRule="auto"/>
            </w:pPr>
            <w:r>
              <w:rPr>
                <w:rFonts w:ascii="Calibri" w:hAnsi="Calibri"/>
                <w:b w:val="0"/>
                <w:color w:val="1F2328"/>
                <w:sz w:val="14"/>
              </w:rPr>
              <w:t>Golden import/reconcile</w:t>
            </w:r>
          </w:p>
        </w:tc>
      </w:tr>
      <w:tr>
        <w:trPr>
          <w:trHeight w:hRule="atLeast"/>
          <w:cantSplit/>
          <w:cantSplit/>
          <w:cantSplit/>
          <w:cantSplit/>
          <w:cantSplit/>
        </w:trPr>
        <w:tc>
          <w:tcPr>
            <w:tcW w:type="dxa" w:w="1050"/>
            <w:vAlign w:val="top"/>
            <w:tcMar>
              <w:top w:w="80" w:type="dxa"/>
              <w:start w:w="120" w:type="dxa"/>
              <w:bottom w:w="80" w:type="dxa"/>
              <w:end w:w="120" w:type="dxa"/>
            </w:tcMar>
          </w:tcPr>
          <w:p>
            <w:pPr>
              <w:spacing w:before="0" w:after="40" w:line="240" w:lineRule="auto"/>
            </w:pPr>
            <w:r>
              <w:rPr>
                <w:rFonts w:ascii="Calibri" w:hAnsi="Calibri"/>
                <w:b w:val="0"/>
                <w:color w:val="1F2328"/>
                <w:sz w:val="14"/>
              </w:rPr>
              <w:t>FBL-060</w:t>
            </w:r>
          </w:p>
        </w:tc>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Service characterization migration</w:t>
            </w:r>
          </w:p>
        </w:tc>
        <w:tc>
          <w:tcPr>
            <w:tcW w:type="dxa" w:w="750"/>
            <w:vAlign w:val="top"/>
            <w:tcMar>
              <w:top w:w="80" w:type="dxa"/>
              <w:start w:w="120" w:type="dxa"/>
              <w:bottom w:w="80" w:type="dxa"/>
              <w:end w:w="120" w:type="dxa"/>
            </w:tcMar>
          </w:tcPr>
          <w:p>
            <w:pPr>
              <w:spacing w:before="0" w:after="40" w:line="240" w:lineRule="auto"/>
            </w:pPr>
            <w:r>
              <w:rPr>
                <w:rFonts w:ascii="Calibri" w:hAnsi="Calibri"/>
                <w:b w:val="0"/>
                <w:color w:val="1F2328"/>
                <w:sz w:val="14"/>
              </w:rPr>
              <w:t>050</w:t>
            </w:r>
          </w:p>
        </w:tc>
        <w:tc>
          <w:tcPr>
            <w:tcW w:type="dxa" w:w="4100"/>
            <w:vAlign w:val="top"/>
            <w:tcMar>
              <w:top w:w="80" w:type="dxa"/>
              <w:start w:w="120" w:type="dxa"/>
              <w:bottom w:w="80" w:type="dxa"/>
              <w:end w:w="120" w:type="dxa"/>
            </w:tcMar>
          </w:tcPr>
          <w:p>
            <w:pPr>
              <w:spacing w:before="0" w:after="40" w:line="240" w:lineRule="auto"/>
            </w:pPr>
            <w:r>
              <w:rPr>
                <w:rFonts w:ascii="Calibri" w:hAnsi="Calibri"/>
                <w:b w:val="0"/>
                <w:color w:val="1F2328"/>
                <w:sz w:val="14"/>
              </w:rPr>
              <w:t>Split current service by use case; preserve behavior; correct F-01/F-02/F-03</w:t>
            </w:r>
          </w:p>
        </w:tc>
        <w:tc>
          <w:tcPr>
            <w:tcW w:type="dxa" w:w="1660"/>
            <w:vAlign w:val="top"/>
            <w:tcMar>
              <w:top w:w="80" w:type="dxa"/>
              <w:start w:w="120" w:type="dxa"/>
              <w:bottom w:w="80" w:type="dxa"/>
              <w:end w:w="120" w:type="dxa"/>
            </w:tcMar>
          </w:tcPr>
          <w:p>
            <w:pPr>
              <w:spacing w:before="0" w:after="40" w:line="240" w:lineRule="auto"/>
            </w:pPr>
            <w:r>
              <w:rPr>
                <w:rFonts w:ascii="Calibri" w:hAnsi="Calibri"/>
                <w:b w:val="0"/>
                <w:color w:val="1F2328"/>
                <w:sz w:val="14"/>
              </w:rPr>
              <w:t>Old/new parity suite</w:t>
            </w:r>
          </w:p>
        </w:tc>
      </w:tr>
      <w:tr>
        <w:trPr>
          <w:trHeight w:hRule="atLeast"/>
          <w:cantSplit/>
          <w:cantSplit/>
          <w:cantSplit/>
          <w:cantSplit/>
          <w:cantSplit/>
        </w:trPr>
        <w:tc>
          <w:tcPr>
            <w:tcW w:type="dxa" w:w="1050"/>
            <w:vAlign w:val="top"/>
            <w:tcMar>
              <w:top w:w="80" w:type="dxa"/>
              <w:start w:w="120" w:type="dxa"/>
              <w:bottom w:w="80" w:type="dxa"/>
              <w:end w:w="120" w:type="dxa"/>
            </w:tcMar>
          </w:tcPr>
          <w:p>
            <w:pPr>
              <w:spacing w:before="0" w:after="40" w:line="240" w:lineRule="auto"/>
            </w:pPr>
            <w:r>
              <w:rPr>
                <w:rFonts w:ascii="Calibri" w:hAnsi="Calibri"/>
                <w:b w:val="0"/>
                <w:color w:val="1F2328"/>
                <w:sz w:val="14"/>
              </w:rPr>
              <w:t>FBL-070</w:t>
            </w:r>
          </w:p>
        </w:tc>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Capacity, intake, and QC</w:t>
            </w:r>
          </w:p>
        </w:tc>
        <w:tc>
          <w:tcPr>
            <w:tcW w:type="dxa" w:w="750"/>
            <w:vAlign w:val="top"/>
            <w:tcMar>
              <w:top w:w="80" w:type="dxa"/>
              <w:start w:w="120" w:type="dxa"/>
              <w:bottom w:w="80" w:type="dxa"/>
              <w:end w:w="120" w:type="dxa"/>
            </w:tcMar>
          </w:tcPr>
          <w:p>
            <w:pPr>
              <w:spacing w:before="0" w:after="40" w:line="240" w:lineRule="auto"/>
            </w:pPr>
            <w:r>
              <w:rPr>
                <w:rFonts w:ascii="Calibri" w:hAnsi="Calibri"/>
                <w:b w:val="0"/>
                <w:color w:val="1F2328"/>
                <w:sz w:val="14"/>
              </w:rPr>
              <w:t>060</w:t>
            </w:r>
          </w:p>
        </w:tc>
        <w:tc>
          <w:tcPr>
            <w:tcW w:type="dxa" w:w="4100"/>
            <w:vAlign w:val="top"/>
            <w:tcMar>
              <w:top w:w="80" w:type="dxa"/>
              <w:start w:w="120" w:type="dxa"/>
              <w:bottom w:w="80" w:type="dxa"/>
              <w:end w:w="120" w:type="dxa"/>
            </w:tcMar>
          </w:tcPr>
          <w:p>
            <w:pPr>
              <w:spacing w:before="0" w:after="40" w:line="240" w:lineRule="auto"/>
            </w:pPr>
            <w:r>
              <w:rPr>
                <w:rFonts w:ascii="Calibri" w:hAnsi="Calibri"/>
                <w:b w:val="0"/>
                <w:color w:val="1F2328"/>
                <w:sz w:val="14"/>
              </w:rPr>
              <w:t>Resource calendars, reservation, intake evidence, QC gates, lifecycle consistency</w:t>
            </w:r>
          </w:p>
        </w:tc>
        <w:tc>
          <w:tcPr>
            <w:tcW w:type="dxa" w:w="1660"/>
            <w:vAlign w:val="top"/>
            <w:tcMar>
              <w:top w:w="80" w:type="dxa"/>
              <w:start w:w="120" w:type="dxa"/>
              <w:bottom w:w="80" w:type="dxa"/>
              <w:end w:w="120" w:type="dxa"/>
            </w:tcMar>
          </w:tcPr>
          <w:p>
            <w:pPr>
              <w:spacing w:before="0" w:after="40" w:line="240" w:lineRule="auto"/>
            </w:pPr>
            <w:r>
              <w:rPr>
                <w:rFonts w:ascii="Calibri" w:hAnsi="Calibri"/>
                <w:b w:val="0"/>
                <w:color w:val="1F2328"/>
                <w:sz w:val="14"/>
              </w:rPr>
              <w:t>Concurrency and journey suite</w:t>
            </w:r>
          </w:p>
        </w:tc>
      </w:tr>
      <w:tr>
        <w:trPr>
          <w:trHeight w:hRule="atLeast"/>
          <w:cantSplit/>
          <w:cantSplit/>
          <w:cantSplit/>
          <w:cantSplit/>
          <w:cantSplit/>
        </w:trPr>
        <w:tc>
          <w:tcPr>
            <w:tcW w:type="dxa" w:w="1050"/>
            <w:vAlign w:val="top"/>
            <w:tcMar>
              <w:top w:w="80" w:type="dxa"/>
              <w:start w:w="120" w:type="dxa"/>
              <w:bottom w:w="80" w:type="dxa"/>
              <w:end w:w="120" w:type="dxa"/>
            </w:tcMar>
          </w:tcPr>
          <w:p>
            <w:pPr>
              <w:spacing w:before="0" w:after="40" w:line="240" w:lineRule="auto"/>
            </w:pPr>
            <w:r>
              <w:rPr>
                <w:rFonts w:ascii="Calibri" w:hAnsi="Calibri"/>
                <w:b w:val="0"/>
                <w:color w:val="1F2328"/>
                <w:sz w:val="14"/>
              </w:rPr>
              <w:t>FBL-080</w:t>
            </w:r>
          </w:p>
        </w:tc>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Pricing and authorization</w:t>
            </w:r>
          </w:p>
        </w:tc>
        <w:tc>
          <w:tcPr>
            <w:tcW w:type="dxa" w:w="750"/>
            <w:vAlign w:val="top"/>
            <w:tcMar>
              <w:top w:w="80" w:type="dxa"/>
              <w:start w:w="120" w:type="dxa"/>
              <w:bottom w:w="80" w:type="dxa"/>
              <w:end w:w="120" w:type="dxa"/>
            </w:tcMar>
          </w:tcPr>
          <w:p>
            <w:pPr>
              <w:spacing w:before="0" w:after="40" w:line="240" w:lineRule="auto"/>
            </w:pPr>
            <w:r>
              <w:rPr>
                <w:rFonts w:ascii="Calibri" w:hAnsi="Calibri"/>
                <w:b w:val="0"/>
                <w:color w:val="1F2328"/>
                <w:sz w:val="14"/>
              </w:rPr>
              <w:t>070</w:t>
            </w:r>
          </w:p>
        </w:tc>
        <w:tc>
          <w:tcPr>
            <w:tcW w:type="dxa" w:w="4100"/>
            <w:vAlign w:val="top"/>
            <w:tcMar>
              <w:top w:w="80" w:type="dxa"/>
              <w:start w:w="120" w:type="dxa"/>
              <w:bottom w:w="80" w:type="dxa"/>
              <w:end w:w="120" w:type="dxa"/>
            </w:tcMar>
          </w:tcPr>
          <w:p>
            <w:pPr>
              <w:spacing w:before="0" w:after="40" w:line="240" w:lineRule="auto"/>
            </w:pPr>
            <w:r>
              <w:rPr>
                <w:rFonts w:ascii="Calibri" w:hAnsi="Calibri"/>
                <w:b w:val="0"/>
                <w:color w:val="1F2328"/>
                <w:sz w:val="14"/>
              </w:rPr>
              <w:t>Typed estimates, taxes/fees, immutable versions, signed customer journey</w:t>
            </w:r>
          </w:p>
        </w:tc>
        <w:tc>
          <w:tcPr>
            <w:tcW w:type="dxa" w:w="1660"/>
            <w:vAlign w:val="top"/>
            <w:tcMar>
              <w:top w:w="80" w:type="dxa"/>
              <w:start w:w="120" w:type="dxa"/>
              <w:bottom w:w="80" w:type="dxa"/>
              <w:end w:w="120" w:type="dxa"/>
            </w:tcMar>
          </w:tcPr>
          <w:p>
            <w:pPr>
              <w:spacing w:before="0" w:after="40" w:line="240" w:lineRule="auto"/>
            </w:pPr>
            <w:r>
              <w:rPr>
                <w:rFonts w:ascii="Calibri" w:hAnsi="Calibri"/>
                <w:b w:val="0"/>
                <w:color w:val="1F2328"/>
                <w:sz w:val="14"/>
              </w:rPr>
              <w:t>Determinism/evidence proof</w:t>
            </w:r>
          </w:p>
        </w:tc>
      </w:tr>
      <w:tr>
        <w:trPr>
          <w:trHeight w:hRule="atLeast"/>
          <w:cantSplit/>
          <w:cantSplit/>
          <w:cantSplit/>
          <w:cantSplit/>
          <w:cantSplit/>
        </w:trPr>
        <w:tc>
          <w:tcPr>
            <w:tcW w:type="dxa" w:w="1050"/>
            <w:vAlign w:val="top"/>
            <w:tcMar>
              <w:top w:w="80" w:type="dxa"/>
              <w:start w:w="120" w:type="dxa"/>
              <w:bottom w:w="80" w:type="dxa"/>
              <w:end w:w="120" w:type="dxa"/>
            </w:tcMar>
          </w:tcPr>
          <w:p>
            <w:pPr>
              <w:spacing w:before="0" w:after="40" w:line="240" w:lineRule="auto"/>
            </w:pPr>
            <w:r>
              <w:rPr>
                <w:rFonts w:ascii="Calibri" w:hAnsi="Calibri"/>
                <w:b w:val="0"/>
                <w:color w:val="1F2328"/>
                <w:sz w:val="14"/>
              </w:rPr>
              <w:t>FBL-090</w:t>
            </w:r>
          </w:p>
        </w:tc>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Parts ledger and procurement</w:t>
            </w:r>
          </w:p>
        </w:tc>
        <w:tc>
          <w:tcPr>
            <w:tcW w:type="dxa" w:w="750"/>
            <w:vAlign w:val="top"/>
            <w:tcMar>
              <w:top w:w="80" w:type="dxa"/>
              <w:start w:w="120" w:type="dxa"/>
              <w:bottom w:w="80" w:type="dxa"/>
              <w:end w:w="120" w:type="dxa"/>
            </w:tcMar>
          </w:tcPr>
          <w:p>
            <w:pPr>
              <w:spacing w:before="0" w:after="40" w:line="240" w:lineRule="auto"/>
            </w:pPr>
            <w:r>
              <w:rPr>
                <w:rFonts w:ascii="Calibri" w:hAnsi="Calibri"/>
                <w:b w:val="0"/>
                <w:color w:val="1F2328"/>
                <w:sz w:val="14"/>
              </w:rPr>
              <w:t>080</w:t>
            </w:r>
          </w:p>
        </w:tc>
        <w:tc>
          <w:tcPr>
            <w:tcW w:type="dxa" w:w="4100"/>
            <w:vAlign w:val="top"/>
            <w:tcMar>
              <w:top w:w="80" w:type="dxa"/>
              <w:start w:w="120" w:type="dxa"/>
              <w:bottom w:w="80" w:type="dxa"/>
              <w:end w:w="120" w:type="dxa"/>
            </w:tcMar>
          </w:tcPr>
          <w:p>
            <w:pPr>
              <w:spacing w:before="0" w:after="40" w:line="240" w:lineRule="auto"/>
            </w:pPr>
            <w:r>
              <w:rPr>
                <w:rFonts w:ascii="Calibri" w:hAnsi="Calibri"/>
                <w:b w:val="0"/>
                <w:color w:val="1F2328"/>
                <w:sz w:val="14"/>
              </w:rPr>
              <w:t>SKU/location ledger, reservation, PO/receipt/transfer/core/return</w:t>
            </w:r>
          </w:p>
        </w:tc>
        <w:tc>
          <w:tcPr>
            <w:tcW w:type="dxa" w:w="1660"/>
            <w:vAlign w:val="top"/>
            <w:tcMar>
              <w:top w:w="80" w:type="dxa"/>
              <w:start w:w="120" w:type="dxa"/>
              <w:bottom w:w="80" w:type="dxa"/>
              <w:end w:w="120" w:type="dxa"/>
            </w:tcMar>
          </w:tcPr>
          <w:p>
            <w:pPr>
              <w:spacing w:before="0" w:after="40" w:line="240" w:lineRule="auto"/>
            </w:pPr>
            <w:r>
              <w:rPr>
                <w:rFonts w:ascii="Calibri" w:hAnsi="Calibri"/>
                <w:b w:val="0"/>
                <w:color w:val="1F2328"/>
                <w:sz w:val="14"/>
              </w:rPr>
              <w:t>Quantity conservation suite</w:t>
            </w:r>
          </w:p>
        </w:tc>
      </w:tr>
      <w:tr>
        <w:trPr>
          <w:trHeight w:hRule="atLeast"/>
          <w:cantSplit/>
          <w:cantSplit/>
          <w:cantSplit/>
          <w:cantSplit/>
          <w:cantSplit/>
        </w:trPr>
        <w:tc>
          <w:tcPr>
            <w:tcW w:type="dxa" w:w="1050"/>
            <w:vAlign w:val="top"/>
            <w:tcMar>
              <w:top w:w="80" w:type="dxa"/>
              <w:start w:w="120" w:type="dxa"/>
              <w:bottom w:w="80" w:type="dxa"/>
              <w:end w:w="120" w:type="dxa"/>
            </w:tcMar>
          </w:tcPr>
          <w:p>
            <w:pPr>
              <w:spacing w:before="0" w:after="40" w:line="240" w:lineRule="auto"/>
            </w:pPr>
            <w:r>
              <w:rPr>
                <w:rFonts w:ascii="Calibri" w:hAnsi="Calibri"/>
                <w:b w:val="0"/>
                <w:color w:val="1F2328"/>
                <w:sz w:val="14"/>
              </w:rPr>
              <w:t>FBL-100</w:t>
            </w:r>
          </w:p>
        </w:tc>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Invoice/payment/export</w:t>
            </w:r>
          </w:p>
        </w:tc>
        <w:tc>
          <w:tcPr>
            <w:tcW w:type="dxa" w:w="750"/>
            <w:vAlign w:val="top"/>
            <w:tcMar>
              <w:top w:w="80" w:type="dxa"/>
              <w:start w:w="120" w:type="dxa"/>
              <w:bottom w:w="80" w:type="dxa"/>
              <w:end w:w="120" w:type="dxa"/>
            </w:tcMar>
          </w:tcPr>
          <w:p>
            <w:pPr>
              <w:spacing w:before="0" w:after="40" w:line="240" w:lineRule="auto"/>
            </w:pPr>
            <w:r>
              <w:rPr>
                <w:rFonts w:ascii="Calibri" w:hAnsi="Calibri"/>
                <w:b w:val="0"/>
                <w:color w:val="1F2328"/>
                <w:sz w:val="14"/>
              </w:rPr>
              <w:t>090</w:t>
            </w:r>
          </w:p>
        </w:tc>
        <w:tc>
          <w:tcPr>
            <w:tcW w:type="dxa" w:w="4100"/>
            <w:vAlign w:val="top"/>
            <w:tcMar>
              <w:top w:w="80" w:type="dxa"/>
              <w:start w:w="120" w:type="dxa"/>
              <w:bottom w:w="80" w:type="dxa"/>
              <w:end w:w="120" w:type="dxa"/>
            </w:tcMar>
          </w:tcPr>
          <w:p>
            <w:pPr>
              <w:spacing w:before="0" w:after="40" w:line="240" w:lineRule="auto"/>
            </w:pPr>
            <w:r>
              <w:rPr>
                <w:rFonts w:ascii="Calibri" w:hAnsi="Calibri"/>
                <w:b w:val="0"/>
                <w:color w:val="1F2328"/>
                <w:sz w:val="14"/>
              </w:rPr>
              <w:t>Invoice, tokenized tender, settlement/refund, accounting intents/export</w:t>
            </w:r>
          </w:p>
        </w:tc>
        <w:tc>
          <w:tcPr>
            <w:tcW w:type="dxa" w:w="1660"/>
            <w:vAlign w:val="top"/>
            <w:tcMar>
              <w:top w:w="80" w:type="dxa"/>
              <w:start w:w="120" w:type="dxa"/>
              <w:bottom w:w="80" w:type="dxa"/>
              <w:end w:w="120" w:type="dxa"/>
            </w:tcMar>
          </w:tcPr>
          <w:p>
            <w:pPr>
              <w:spacing w:before="0" w:after="40" w:line="240" w:lineRule="auto"/>
            </w:pPr>
            <w:r>
              <w:rPr>
                <w:rFonts w:ascii="Calibri" w:hAnsi="Calibri"/>
                <w:b w:val="0"/>
                <w:color w:val="1F2328"/>
                <w:sz w:val="14"/>
              </w:rPr>
              <w:t>Close and reconciliation suite</w:t>
            </w:r>
          </w:p>
        </w:tc>
      </w:tr>
      <w:tr>
        <w:trPr>
          <w:trHeight w:hRule="atLeast"/>
          <w:cantSplit/>
          <w:cantSplit/>
          <w:cantSplit/>
          <w:cantSplit/>
          <w:cantSplit/>
        </w:trPr>
        <w:tc>
          <w:tcPr>
            <w:tcW w:type="dxa" w:w="1050"/>
            <w:vAlign w:val="top"/>
            <w:tcMar>
              <w:top w:w="80" w:type="dxa"/>
              <w:start w:w="120" w:type="dxa"/>
              <w:bottom w:w="80" w:type="dxa"/>
              <w:end w:w="120" w:type="dxa"/>
            </w:tcMar>
          </w:tcPr>
          <w:p>
            <w:pPr>
              <w:spacing w:before="0" w:after="40" w:line="240" w:lineRule="auto"/>
            </w:pPr>
            <w:r>
              <w:rPr>
                <w:rFonts w:ascii="Calibri" w:hAnsi="Calibri"/>
                <w:b w:val="0"/>
                <w:color w:val="1F2328"/>
                <w:sz w:val="14"/>
              </w:rPr>
              <w:t>FBL-110</w:t>
            </w:r>
          </w:p>
        </w:tc>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SaaS operations and pilot</w:t>
            </w:r>
          </w:p>
        </w:tc>
        <w:tc>
          <w:tcPr>
            <w:tcW w:type="dxa" w:w="750"/>
            <w:vAlign w:val="top"/>
            <w:tcMar>
              <w:top w:w="80" w:type="dxa"/>
              <w:start w:w="120" w:type="dxa"/>
              <w:bottom w:w="80" w:type="dxa"/>
              <w:end w:w="120" w:type="dxa"/>
            </w:tcMar>
          </w:tcPr>
          <w:p>
            <w:pPr>
              <w:spacing w:before="0" w:after="40" w:line="240" w:lineRule="auto"/>
            </w:pPr>
            <w:r>
              <w:rPr>
                <w:rFonts w:ascii="Calibri" w:hAnsi="Calibri"/>
                <w:b w:val="0"/>
                <w:color w:val="1F2328"/>
                <w:sz w:val="14"/>
              </w:rPr>
              <w:t>100</w:t>
            </w:r>
          </w:p>
        </w:tc>
        <w:tc>
          <w:tcPr>
            <w:tcW w:type="dxa" w:w="4100"/>
            <w:vAlign w:val="top"/>
            <w:tcMar>
              <w:top w:w="80" w:type="dxa"/>
              <w:start w:w="120" w:type="dxa"/>
              <w:bottom w:w="80" w:type="dxa"/>
              <w:end w:w="120" w:type="dxa"/>
            </w:tcMar>
          </w:tcPr>
          <w:p>
            <w:pPr>
              <w:spacing w:before="0" w:after="40" w:line="240" w:lineRule="auto"/>
            </w:pPr>
            <w:r>
              <w:rPr>
                <w:rFonts w:ascii="Calibri" w:hAnsi="Calibri"/>
                <w:b w:val="0"/>
                <w:color w:val="1F2328"/>
                <w:sz w:val="14"/>
              </w:rPr>
              <w:t>Provisioning, entitlements, billing meter, support, imports, DR/load/security</w:t>
            </w:r>
          </w:p>
        </w:tc>
        <w:tc>
          <w:tcPr>
            <w:tcW w:type="dxa" w:w="1660"/>
            <w:vAlign w:val="top"/>
            <w:tcMar>
              <w:top w:w="80" w:type="dxa"/>
              <w:start w:w="120" w:type="dxa"/>
              <w:bottom w:w="80" w:type="dxa"/>
              <w:end w:w="120" w:type="dxa"/>
            </w:tcMar>
          </w:tcPr>
          <w:p>
            <w:pPr>
              <w:spacing w:before="0" w:after="40" w:line="240" w:lineRule="auto"/>
            </w:pPr>
            <w:r>
              <w:rPr>
                <w:rFonts w:ascii="Calibri" w:hAnsi="Calibri"/>
                <w:b w:val="0"/>
                <w:color w:val="1F2328"/>
                <w:sz w:val="14"/>
              </w:rPr>
              <w:t>Pilot readiness review</w:t>
            </w:r>
          </w:p>
        </w:tc>
      </w:tr>
      <w:tr>
        <w:trPr>
          <w:trHeight w:hRule="atLeast"/>
          <w:cantSplit/>
          <w:cantSplit/>
          <w:cantSplit/>
          <w:cantSplit/>
          <w:cantSplit/>
        </w:trPr>
        <w:tc>
          <w:tcPr>
            <w:tcW w:type="dxa" w:w="1050"/>
            <w:vAlign w:val="top"/>
            <w:tcMar>
              <w:top w:w="80" w:type="dxa"/>
              <w:start w:w="120" w:type="dxa"/>
              <w:bottom w:w="80" w:type="dxa"/>
              <w:end w:w="120" w:type="dxa"/>
            </w:tcMar>
          </w:tcPr>
          <w:p>
            <w:pPr>
              <w:spacing w:before="0" w:after="40" w:line="240" w:lineRule="auto"/>
            </w:pPr>
            <w:r>
              <w:rPr>
                <w:rFonts w:ascii="Calibri" w:hAnsi="Calibri"/>
                <w:b w:val="0"/>
                <w:color w:val="1F2328"/>
                <w:sz w:val="14"/>
              </w:rPr>
              <w:t>FBL-200+</w:t>
            </w:r>
          </w:p>
        </w:tc>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4"/>
              </w:rPr>
              <w:t>Expansion program</w:t>
            </w:r>
          </w:p>
        </w:tc>
        <w:tc>
          <w:tcPr>
            <w:tcW w:type="dxa" w:w="750"/>
            <w:vAlign w:val="top"/>
            <w:tcMar>
              <w:top w:w="80" w:type="dxa"/>
              <w:start w:w="120" w:type="dxa"/>
              <w:bottom w:w="80" w:type="dxa"/>
              <w:end w:w="120" w:type="dxa"/>
            </w:tcMar>
          </w:tcPr>
          <w:p>
            <w:pPr>
              <w:spacing w:before="0" w:after="40" w:line="240" w:lineRule="auto"/>
            </w:pPr>
            <w:r>
              <w:rPr>
                <w:rFonts w:ascii="Calibri" w:hAnsi="Calibri"/>
                <w:b w:val="0"/>
                <w:color w:val="1F2328"/>
                <w:sz w:val="14"/>
              </w:rPr>
              <w:t>110</w:t>
            </w:r>
          </w:p>
        </w:tc>
        <w:tc>
          <w:tcPr>
            <w:tcW w:type="dxa" w:w="4100"/>
            <w:vAlign w:val="top"/>
            <w:tcMar>
              <w:top w:w="80" w:type="dxa"/>
              <w:start w:w="120" w:type="dxa"/>
              <w:bottom w:w="80" w:type="dxa"/>
              <w:end w:w="120" w:type="dxa"/>
            </w:tcMar>
          </w:tcPr>
          <w:p>
            <w:pPr>
              <w:spacing w:before="0" w:after="40" w:line="240" w:lineRule="auto"/>
            </w:pPr>
            <w:r>
              <w:rPr>
                <w:rFonts w:ascii="Calibri" w:hAnsi="Calibri"/>
                <w:b w:val="0"/>
                <w:color w:val="1F2328"/>
                <w:sz w:val="14"/>
              </w:rPr>
              <w:t>Inventory → CRM → sales → digital retail → F&amp;I/title → native accounting</w:t>
            </w:r>
          </w:p>
        </w:tc>
        <w:tc>
          <w:tcPr>
            <w:tcW w:type="dxa" w:w="1660"/>
            <w:vAlign w:val="top"/>
            <w:tcMar>
              <w:top w:w="80" w:type="dxa"/>
              <w:start w:w="120" w:type="dxa"/>
              <w:bottom w:w="80" w:type="dxa"/>
              <w:end w:w="120" w:type="dxa"/>
            </w:tcMar>
          </w:tcPr>
          <w:p>
            <w:pPr>
              <w:spacing w:before="0" w:after="40" w:line="240" w:lineRule="auto"/>
            </w:pPr>
            <w:r>
              <w:rPr>
                <w:rFonts w:ascii="Calibri" w:hAnsi="Calibri"/>
                <w:b w:val="0"/>
                <w:color w:val="1F2328"/>
                <w:sz w:val="14"/>
              </w:rPr>
              <w:t>Per-increment gates</w:t>
            </w:r>
          </w:p>
        </w:tc>
      </w:tr>
    </w:tbl>
    <w:p>
      <w:pPr>
        <w:spacing w:after="0"/>
      </w:pPr>
    </w:p>
    <w:p>
      <w:pPr>
        <w:pStyle w:val="Heading2"/>
      </w:pPr>
      <w:r>
        <w:t>14.3 Work Order FBL-000 — Reproducible Baseline</w:t>
      </w:r>
    </w:p>
    <w:p>
      <w:pPr>
        <w:spacing w:before="0" w:after="120" w:line="264" w:lineRule="auto"/>
      </w:pPr>
      <w:r>
        <w:rPr>
          <w:rFonts w:ascii="Calibri" w:hAnsi="Calibri"/>
          <w:b/>
          <w:color w:val="0B2545"/>
        </w:rPr>
        <w:t xml:space="preserve">Objective. </w:t>
      </w:r>
      <w:r>
        <w:rPr>
          <w:rFonts w:ascii="Calibri" w:hAnsi="Calibri"/>
          <w:color w:val="1F2328"/>
        </w:rPr>
        <w:t>Make the current repository reproducible and continuously verifiable without changing business behavior.</w:t>
      </w:r>
    </w:p>
    <w:p>
      <w:pPr>
        <w:pStyle w:val="Heading3"/>
      </w:pPr>
      <w:r>
        <w:t>Scope</w:t>
      </w:r>
    </w:p>
    <w:p>
      <w:pPr>
        <w:pStyle w:val="ListBullet"/>
      </w:pPr>
      <w:r>
        <w:t>Add a CI workflow with locked install, typecheck, build, lint/format, unit tests, real PostgreSQL integration/route tests, dependency scan, secret scan, SBOM, and container build.</w:t>
      </w:r>
    </w:p>
    <w:p>
      <w:pPr>
        <w:pStyle w:val="ListBullet"/>
      </w:pPr>
      <w:r>
        <w:t>Start PostgreSQL ephemerally in CI, apply migrations from an empty database, and run every database-backed suite. Eliminate conditional skips for required suites.</w:t>
      </w:r>
    </w:p>
    <w:p>
      <w:pPr>
        <w:pStyle w:val="ListBullet"/>
      </w:pPr>
      <w:r>
        <w:t>Enable TypeScript strictness reporting. Do not mass-fix unrelated typing in this order; produce a ratcheted baseline and block new violations.</w:t>
      </w:r>
    </w:p>
    <w:p>
      <w:pPr>
        <w:pStyle w:val="ListBullet"/>
      </w:pPr>
      <w:r>
        <w:t>Pin supported Node and PostgreSQL versions. Pin container base by digest through an approved update mechanism.</w:t>
      </w:r>
    </w:p>
    <w:p>
      <w:pPr>
        <w:pStyle w:val="ListBullet"/>
      </w:pPr>
      <w:r>
        <w:t>Capture test counts, duration, schema fingerprint, image digest, audit results, and tool versions as build artifacts.</w:t>
      </w:r>
    </w:p>
    <w:p>
      <w:pPr>
        <w:pStyle w:val="ListBullet"/>
      </w:pPr>
      <w:r>
        <w:t>Document local one-command setup, test, migration, seed, and teardown using non-destructive commands.</w:t>
      </w:r>
    </w:p>
    <w:p>
      <w:pPr>
        <w:pStyle w:val="Heading3"/>
      </w:pPr>
      <w:r>
        <w:t>Non-goals</w:t>
      </w:r>
    </w:p>
    <w:p>
      <w:pPr>
        <w:spacing w:before="0" w:after="120" w:line="264" w:lineRule="auto"/>
      </w:pPr>
      <w:r>
        <w:rPr>
          <w:rFonts w:ascii="Calibri" w:hAnsi="Calibri"/>
          <w:b w:val="0"/>
          <w:i w:val="0"/>
          <w:color w:val="1F2328"/>
        </w:rPr>
        <w:t>No product features, framework rewrite, schema redesign, endpoint redesign, or cleanup whose behavior cannot be proven unchanged.</w:t>
      </w:r>
    </w:p>
    <w:p>
      <w:pPr>
        <w:pStyle w:val="Heading3"/>
      </w:pPr>
      <w:r>
        <w:t>Acceptance gate</w:t>
      </w:r>
    </w:p>
    <w:p>
      <w:pPr>
        <w:pStyle w:val="ListBullet"/>
      </w:pPr>
      <w:r>
        <w:t>CI passes from a clean clone with zero skipped required tests.</w:t>
      </w:r>
    </w:p>
    <w:p>
      <w:pPr>
        <w:pStyle w:val="ListBullet"/>
      </w:pPr>
      <w:r>
        <w:t>All current migrations apply to an empty database and the application starts/readiness succeeds.</w:t>
      </w:r>
    </w:p>
    <w:p>
      <w:pPr>
        <w:pStyle w:val="ListBullet"/>
      </w:pPr>
      <w:r>
        <w:t>A second CI job exercises an upgrade from the earliest retained schema fixture.</w:t>
      </w:r>
    </w:p>
    <w:p>
      <w:pPr>
        <w:pStyle w:val="ListBullet"/>
      </w:pPr>
      <w:r>
        <w:t>Build artifacts include test results, SBOM, container digest, and migration/schema fingerprints.</w:t>
      </w:r>
    </w:p>
    <w:p>
      <w:pPr>
        <w:pStyle w:val="ListBullet"/>
      </w:pPr>
      <w:r>
        <w:t>Fable returns a baseline report of warnings, flaky tests, typing debt, package findings, and unresolved environment assumptions.</w:t>
      </w:r>
    </w:p>
    <w:p>
      <w:pPr>
        <w:pStyle w:val="Heading2"/>
      </w:pPr>
      <w:r>
        <w:t>14.4 Work Order FBL-010 — Architecture Shell</w:t>
      </w:r>
    </w:p>
    <w:p>
      <w:pPr>
        <w:spacing w:before="0" w:after="120" w:line="264" w:lineRule="auto"/>
      </w:pPr>
      <w:r>
        <w:rPr>
          <w:rFonts w:ascii="Calibri" w:hAnsi="Calibri"/>
          <w:b/>
          <w:color w:val="0B2545"/>
        </w:rPr>
        <w:t xml:space="preserve">Objective. </w:t>
      </w:r>
      <w:r>
        <w:rPr>
          <w:rFonts w:ascii="Calibri" w:hAnsi="Calibri"/>
          <w:color w:val="1F2328"/>
        </w:rPr>
        <w:t>Create enforceable module and contract boundaries while preserving the running service.</w:t>
      </w:r>
    </w:p>
    <w:p>
      <w:pPr>
        <w:pStyle w:val="ListBullet"/>
      </w:pPr>
      <w:r>
        <w:t>Create the approved monorepo layout: deployable API/worker/web shells plus platform, fixed-ops, contracts, database, test-kit, and UI packages.</w:t>
      </w:r>
    </w:p>
    <w:p>
      <w:pPr>
        <w:pStyle w:val="ListBullet"/>
      </w:pPr>
      <w:r>
        <w:t>Write ADR-001 modular monolith, ADR-002 module ownership, ADR-003 API/event compatibility, ADR-004 migration policy, and ADR-005 technology selections.</w:t>
      </w:r>
    </w:p>
    <w:p>
      <w:pPr>
        <w:pStyle w:val="ListBullet"/>
      </w:pPr>
      <w:r>
        <w:t>Define dependency rules: domain depends on no transport/database; application depends on ports; adapters implement ports; modules cannot access each other’s repositories.</w:t>
      </w:r>
    </w:p>
    <w:p>
      <w:pPr>
        <w:pStyle w:val="ListBullet"/>
      </w:pPr>
      <w:r>
        <w:t>Introduce standard request context, typed Problem Details, configuration validation, request IDs, and structured logging with a PII-safe field policy.</w:t>
      </w:r>
    </w:p>
    <w:p>
      <w:pPr>
        <w:pStyle w:val="ListBullet"/>
      </w:pPr>
      <w:r>
        <w:t>Move code only in small behavior-preserving slices with characterization tests. The 3,279-line service file may shrink, but no big-bang replacement is permitted.</w:t>
      </w:r>
    </w:p>
    <w:p>
      <w:pPr>
        <w:pStyle w:val="ListBullet"/>
      </w:pPr>
      <w:r>
        <w:t>Add architecture-lint checks to CI and a module ownership map.</w:t>
      </w:r>
    </w:p>
    <w:p>
      <w:pPr>
        <w:pStyle w:val="Heading3"/>
      </w:pPr>
      <w:r>
        <w:t>Acceptance gate</w:t>
      </w:r>
    </w:p>
    <w:p>
      <w:pPr>
        <w:pStyle w:val="ListBullet"/>
      </w:pPr>
      <w:r>
        <w:t>All FBL-000 evidence remains green.</w:t>
      </w:r>
    </w:p>
    <w:p>
      <w:pPr>
        <w:pStyle w:val="ListBullet"/>
      </w:pPr>
      <w:r>
        <w:t>A dependency-rule test fails when a module imports another module’s persistence adapter.</w:t>
      </w:r>
    </w:p>
    <w:p>
      <w:pPr>
        <w:pStyle w:val="ListBullet"/>
      </w:pPr>
      <w:r>
        <w:t>Current HTTP behavior remains contract-characterized.</w:t>
      </w:r>
    </w:p>
    <w:p>
      <w:pPr>
        <w:pStyle w:val="ListBullet"/>
      </w:pPr>
      <w:r>
        <w:t>Every new top-level package has an owner, purpose, allowed dependencies, and public API.</w:t>
      </w:r>
    </w:p>
    <w:p>
      <w:pPr>
        <w:pStyle w:val="ListBullet"/>
      </w:pPr>
      <w:r>
        <w:t>No duplicate source-of-truth model is introduced.</w:t>
      </w:r>
    </w:p>
    <w:p>
      <w:pPr>
        <w:pStyle w:val="Heading2"/>
      </w:pPr>
      <w:r>
        <w:t>14.5 Work Order FBL-020 — Identity and Organization</w:t>
      </w:r>
    </w:p>
    <w:p>
      <w:pPr>
        <w:spacing w:before="0" w:after="120" w:line="264" w:lineRule="auto"/>
      </w:pPr>
      <w:r>
        <w:rPr>
          <w:rFonts w:ascii="Calibri" w:hAnsi="Calibri"/>
          <w:b/>
          <w:color w:val="0B2545"/>
        </w:rPr>
        <w:t xml:space="preserve">Objective. </w:t>
      </w:r>
      <w:r>
        <w:rPr>
          <w:rFonts w:ascii="Calibri" w:hAnsi="Calibri"/>
          <w:color w:val="1F2328"/>
        </w:rPr>
        <w:t>Replace custom production trust with a real organization and identity boundary.</w:t>
      </w:r>
    </w:p>
    <w:p>
      <w:pPr>
        <w:pStyle w:val="ListBullet"/>
      </w:pPr>
      <w:r>
        <w:t>Implement Tenant, DealerGroup, LegalEntity, Rooftop, Department, UserLink, RoleBinding, and PolicyDecision records with effective status and audit fields.</w:t>
      </w:r>
    </w:p>
    <w:p>
      <w:pPr>
        <w:pStyle w:val="ListBullet"/>
      </w:pPr>
      <w:r>
        <w:t>Integrate one managed OIDC provider using issuer/audience/JWKS validation, key rotation, clock-skew policy, logout/session semantics, and MFA assurance claims.</w:t>
      </w:r>
    </w:p>
    <w:p>
      <w:pPr>
        <w:pStyle w:val="ListBullet"/>
      </w:pPr>
      <w:r>
        <w:t>Support role scope by tenant, entity, rooftop, department, and resource. Define a policy API rather than role checks scattered through routes.</w:t>
      </w:r>
    </w:p>
    <w:p>
      <w:pPr>
        <w:pStyle w:val="ListBullet"/>
      </w:pPr>
      <w:r>
        <w:t>Create an explicit, approved support-access flow with reason, time limit, visible indicator, and audit evidence.</w:t>
      </w:r>
    </w:p>
    <w:p>
      <w:pPr>
        <w:pStyle w:val="ListBullet"/>
      </w:pPr>
      <w:r>
        <w:t>Remove the custom JWT signer from production paths. Preserve only a clearly isolated test-token facility.</w:t>
      </w:r>
    </w:p>
    <w:p>
      <w:pPr>
        <w:pStyle w:val="ListBullet"/>
      </w:pPr>
      <w:r>
        <w:t>Define, but do not yet enable, SAML/SCIM enterprise adapters behind interfaces.</w:t>
      </w:r>
    </w:p>
    <w:p>
      <w:pPr>
        <w:pStyle w:val="Heading3"/>
      </w:pPr>
      <w:r>
        <w:t>Required negative tests</w:t>
      </w:r>
    </w:p>
    <w:p>
      <w:pPr>
        <w:pStyle w:val="ListBullet"/>
      </w:pPr>
      <w:r>
        <w:t>Wrong issuer, audience, algorithm, signature, tenant, disabled user, expired session, insufficient MFA assurance, and stale role binding are denied.</w:t>
      </w:r>
    </w:p>
    <w:p>
      <w:pPr>
        <w:pStyle w:val="ListBullet"/>
      </w:pPr>
      <w:r>
        <w:t>A user in one rooftop cannot access another without an explicit group role.</w:t>
      </w:r>
    </w:p>
    <w:p>
      <w:pPr>
        <w:pStyle w:val="ListBullet"/>
      </w:pPr>
      <w:r>
        <w:t>Support cannot enter a tenant without an active approval and cannot suppress the audit record.</w:t>
      </w:r>
    </w:p>
    <w:p>
      <w:pPr>
        <w:pStyle w:val="ListBullet"/>
      </w:pPr>
      <w:r>
        <w:t>Resource IDs do not reveal existence when access is denied.</w:t>
      </w:r>
    </w:p>
    <w:p>
      <w:pPr>
        <w:pStyle w:val="Heading3"/>
      </w:pPr>
      <w:r>
        <w:t>Acceptance gate</w:t>
      </w:r>
    </w:p>
    <w:p>
      <w:pPr>
        <w:spacing w:before="0" w:after="120" w:line="264" w:lineRule="auto"/>
      </w:pPr>
      <w:r>
        <w:rPr>
          <w:rFonts w:ascii="Calibri" w:hAnsi="Calibri"/>
          <w:b w:val="0"/>
          <w:i w:val="0"/>
          <w:color w:val="1F2328"/>
        </w:rPr>
        <w:t>An end-to-end test proves authenticated staff access, scoped denial, MFA-gated sensitive action, support access approval/expiry, and complete audit evidence. Architect approval is required before FBL-030.</w:t>
      </w:r>
    </w:p>
    <w:p>
      <w:pPr>
        <w:pStyle w:val="Heading2"/>
      </w:pPr>
      <w:r>
        <w:t>14.6 Definition of done for every later order</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800"/>
        <w:gridCol w:w="7560"/>
      </w:tblGrid>
      <w:tr>
        <w:trPr>
          <w:cantSplit/>
          <w:tblHeader w:val="true"/>
        </w:trPr>
        <w:tc>
          <w:tcPr>
            <w:tcW w:type="dxa" w:w="1800"/>
            <w:tcMar>
              <w:top w:w="80" w:type="dxa"/>
              <w:start w:w="120" w:type="dxa"/>
              <w:bottom w:w="80" w:type="dxa"/>
              <w:end w:w="120" w:type="dxa"/>
            </w:tcMar>
            <w:shd w:fill="F2F4F7"/>
            <w:vAlign w:val="center"/>
          </w:tcPr>
          <w:p>
            <w:pPr>
              <w:keepNext/>
              <w:spacing w:after="0"/>
            </w:pPr>
            <w:r>
              <w:rPr>
                <w:rFonts w:ascii="Calibri" w:hAnsi="Calibri"/>
                <w:b/>
                <w:color w:val="0B2545"/>
                <w:sz w:val="17"/>
              </w:rPr>
              <w:t>Dimension</w:t>
            </w:r>
          </w:p>
        </w:tc>
        <w:tc>
          <w:tcPr>
            <w:tcW w:type="dxa" w:w="7560"/>
            <w:tcMar>
              <w:top w:w="80" w:type="dxa"/>
              <w:start w:w="120" w:type="dxa"/>
              <w:bottom w:w="80" w:type="dxa"/>
              <w:end w:w="120" w:type="dxa"/>
            </w:tcMar>
            <w:shd w:fill="F2F4F7"/>
            <w:vAlign w:val="center"/>
          </w:tcPr>
          <w:p>
            <w:pPr>
              <w:keepNext/>
              <w:spacing w:after="0"/>
            </w:pPr>
            <w:r>
              <w:rPr>
                <w:rFonts w:ascii="Calibri" w:hAnsi="Calibri"/>
                <w:b/>
                <w:color w:val="0B2545"/>
                <w:sz w:val="17"/>
              </w:rPr>
              <w:t>Required proof</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7"/>
              </w:rPr>
              <w:t>Product</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7"/>
              </w:rPr>
              <w:t>Acceptance examples passed with dealership-domain owner; non-goals remain untouched</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7"/>
              </w:rPr>
              <w:t>Architecture</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7"/>
              </w:rPr>
              <w:t>ADR compliance; ownership respected; no cross-module table writes</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7"/>
              </w:rPr>
              <w:t>Data</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7"/>
              </w:rPr>
              <w:t>Forward migration, compatibility window, backfill/reconciliation, recovery path</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7"/>
              </w:rPr>
              <w:t>Contract</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7"/>
              </w:rPr>
              <w:t>OpenAPI/event diff reviewed; generated client and compatibility tests pass</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7"/>
              </w:rPr>
              <w:t>Security</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7"/>
              </w:rPr>
              <w:t>Threat-model changes, authorization negatives, PII classification, audit evidence</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7"/>
              </w:rPr>
              <w:t>Quality</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7"/>
              </w:rPr>
              <w:t>Unit/integration/contract/E2E/concurrency suites as applicable; no unjustified skips</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7"/>
              </w:rPr>
              <w:t>Operations</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7"/>
              </w:rPr>
              <w:t>SLO signals, dashboards, alerts, runbook, capacity impact, rollout/rollback</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7"/>
              </w:rPr>
              <w:t>Documentation</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7"/>
              </w:rPr>
              <w:t>User/admin/API docs and release notes updated</w:t>
            </w:r>
          </w:p>
        </w:tc>
      </w:tr>
      <w:tr>
        <w:trPr>
          <w:trHeight w:hRule="atLeast"/>
          <w:cantSplit/>
          <w:cantSplit/>
        </w:trPr>
        <w:tc>
          <w:tcPr>
            <w:tcW w:type="dxa" w:w="1800"/>
            <w:vAlign w:val="top"/>
            <w:tcMar>
              <w:top w:w="80" w:type="dxa"/>
              <w:start w:w="120" w:type="dxa"/>
              <w:bottom w:w="80" w:type="dxa"/>
              <w:end w:w="120" w:type="dxa"/>
            </w:tcMar>
          </w:tcPr>
          <w:p>
            <w:pPr>
              <w:spacing w:before="0" w:after="40" w:line="240" w:lineRule="auto"/>
            </w:pPr>
            <w:r>
              <w:rPr>
                <w:rFonts w:ascii="Calibri" w:hAnsi="Calibri"/>
                <w:b w:val="0"/>
                <w:color w:val="1F2328"/>
                <w:sz w:val="17"/>
              </w:rPr>
              <w:t>Evidence</w:t>
            </w:r>
          </w:p>
        </w:tc>
        <w:tc>
          <w:tcPr>
            <w:tcW w:type="dxa" w:w="7560"/>
            <w:vAlign w:val="top"/>
            <w:tcMar>
              <w:top w:w="80" w:type="dxa"/>
              <w:start w:w="120" w:type="dxa"/>
              <w:bottom w:w="80" w:type="dxa"/>
              <w:end w:w="120" w:type="dxa"/>
            </w:tcMar>
          </w:tcPr>
          <w:p>
            <w:pPr>
              <w:spacing w:before="0" w:after="40" w:line="240" w:lineRule="auto"/>
            </w:pPr>
            <w:r>
              <w:rPr>
                <w:rFonts w:ascii="Calibri" w:hAnsi="Calibri"/>
                <w:b w:val="0"/>
                <w:color w:val="1F2328"/>
                <w:sz w:val="17"/>
              </w:rPr>
              <w:t>Machine-readable results and human summary attached to the order</w:t>
            </w:r>
          </w:p>
        </w:tc>
      </w:tr>
    </w:tbl>
    <w:p>
      <w:pPr>
        <w:spacing w:after="0"/>
      </w:pPr>
    </w:p>
    <w:p>
      <w:r>
        <w:br w:type="page"/>
      </w:r>
    </w:p>
    <w:p>
      <w:pPr>
        <w:pStyle w:val="Heading1"/>
      </w:pPr>
      <w:r>
        <w:t>15. Program Model, Economics, and Risks</w:t>
      </w:r>
    </w:p>
    <w:p>
      <w:pPr>
        <w:pStyle w:val="Heading2"/>
      </w:pPr>
      <w:r>
        <w:t>15.1 Minimum product organization</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400"/>
        <w:gridCol w:w="6960"/>
      </w:tblGrid>
      <w:tr>
        <w:trPr>
          <w:cantSplit/>
          <w:tblHeader w:val="true"/>
        </w:trPr>
        <w:tc>
          <w:tcPr>
            <w:tcW w:type="dxa" w:w="2400"/>
            <w:tcMar>
              <w:top w:w="80" w:type="dxa"/>
              <w:start w:w="120" w:type="dxa"/>
              <w:bottom w:w="80" w:type="dxa"/>
              <w:end w:w="120" w:type="dxa"/>
            </w:tcMar>
            <w:shd w:fill="F2F4F7"/>
            <w:vAlign w:val="center"/>
          </w:tcPr>
          <w:p>
            <w:pPr>
              <w:keepNext/>
              <w:spacing w:after="0"/>
            </w:pPr>
            <w:r>
              <w:rPr>
                <w:rFonts w:ascii="Calibri" w:hAnsi="Calibri"/>
                <w:b/>
                <w:color w:val="0B2545"/>
                <w:sz w:val="17"/>
              </w:rPr>
              <w:t>Role</w:t>
            </w:r>
          </w:p>
        </w:tc>
        <w:tc>
          <w:tcPr>
            <w:tcW w:type="dxa" w:w="6960"/>
            <w:tcMar>
              <w:top w:w="80" w:type="dxa"/>
              <w:start w:w="120" w:type="dxa"/>
              <w:bottom w:w="80" w:type="dxa"/>
              <w:end w:w="120" w:type="dxa"/>
            </w:tcMar>
            <w:shd w:fill="F2F4F7"/>
            <w:vAlign w:val="center"/>
          </w:tcPr>
          <w:p>
            <w:pPr>
              <w:keepNext/>
              <w:spacing w:after="0"/>
            </w:pPr>
            <w:r>
              <w:rPr>
                <w:rFonts w:ascii="Calibri" w:hAnsi="Calibri"/>
                <w:b/>
                <w:color w:val="0B2545"/>
                <w:sz w:val="17"/>
              </w:rPr>
              <w:t>Accountability</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Product owner</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Market wedge, scope, economics, customer commitments, acceptance</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Dealership SMEs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Service/parts, sales/F&amp;I, controller/accounting, compliance; recurring design reviews</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Architecture/technical lead</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Boundaries, ADRs, NFRs, security, implementation orders and gates</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Implementation engineers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Platform/backend, web/mobile, integrations/data; ownership by context</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UX/product design</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Workflow research, design system, accessibility, customer journeys</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Quality engineering</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Test systems, data fixtures, E2E, performance, release evidence</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Platform/SRE/security</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Cloud, delivery, observability, incident response, threat/control engineering</w:t>
            </w:r>
          </w:p>
        </w:tc>
      </w:tr>
      <w:tr>
        <w:trPr>
          <w:trHeight w:hRule="atLeast"/>
          <w:cantSplit/>
          <w:cantSplit/>
        </w:trPr>
        <w:tc>
          <w:tcPr>
            <w:tcW w:type="dxa" w:w="2400"/>
            <w:vAlign w:val="top"/>
            <w:tcMar>
              <w:top w:w="80" w:type="dxa"/>
              <w:start w:w="120" w:type="dxa"/>
              <w:bottom w:w="80" w:type="dxa"/>
              <w:end w:w="120" w:type="dxa"/>
            </w:tcMar>
          </w:tcPr>
          <w:p>
            <w:pPr>
              <w:spacing w:before="0" w:after="40" w:line="240" w:lineRule="auto"/>
            </w:pPr>
            <w:r>
              <w:rPr>
                <w:rFonts w:ascii="Calibri" w:hAnsi="Calibri"/>
                <w:b w:val="0"/>
                <w:color w:val="1F2328"/>
                <w:sz w:val="17"/>
              </w:rPr>
              <w:t>Implementation/customer success</w:t>
            </w:r>
          </w:p>
        </w:tc>
        <w:tc>
          <w:tcPr>
            <w:tcW w:type="dxa" w:w="6960"/>
            <w:vAlign w:val="top"/>
            <w:tcMar>
              <w:top w:w="80" w:type="dxa"/>
              <w:start w:w="120" w:type="dxa"/>
              <w:bottom w:w="80" w:type="dxa"/>
              <w:end w:w="120" w:type="dxa"/>
            </w:tcMar>
          </w:tcPr>
          <w:p>
            <w:pPr>
              <w:spacing w:before="0" w:after="40" w:line="240" w:lineRule="auto"/>
            </w:pPr>
            <w:r>
              <w:rPr>
                <w:rFonts w:ascii="Calibri" w:hAnsi="Calibri"/>
                <w:b w:val="0"/>
                <w:color w:val="1F2328"/>
                <w:sz w:val="17"/>
              </w:rPr>
              <w:t>Dealer conversion, training, configuration, adoption, support</w:t>
            </w:r>
          </w:p>
        </w:tc>
      </w:tr>
    </w:tbl>
    <w:p>
      <w:pPr>
        <w:spacing w:after="0"/>
      </w:pPr>
    </w:p>
    <w:p>
      <w:pPr>
        <w:pStyle w:val="Heading2"/>
      </w:pPr>
      <w:r>
        <w:t>15.2 Highest program risks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710"/>
        <w:gridCol w:w="800"/>
        <w:gridCol w:w="3180"/>
        <w:gridCol w:w="3670"/>
      </w:tblGrid>
      <w:tr>
        <w:trPr>
          <w:cantSplit/>
          <w:tblHeader w:val="true"/>
        </w:trPr>
        <w:tc>
          <w:tcPr>
            <w:tcW w:type="dxa" w:w="1710"/>
            <w:tcMar>
              <w:top w:w="80" w:type="dxa"/>
              <w:start w:w="120" w:type="dxa"/>
              <w:bottom w:w="80" w:type="dxa"/>
              <w:end w:w="120" w:type="dxa"/>
            </w:tcMar>
            <w:shd w:fill="FCE8E6"/>
            <w:vAlign w:val="center"/>
          </w:tcPr>
          <w:p>
            <w:pPr>
              <w:keepNext/>
              <w:spacing w:after="0"/>
            </w:pPr>
            <w:r>
              <w:rPr>
                <w:rFonts w:ascii="Calibri" w:hAnsi="Calibri"/>
                <w:b/>
                <w:color w:val="0B2545"/>
                <w:sz w:val="15"/>
              </w:rPr>
              <w:t>Risk</w:t>
            </w:r>
          </w:p>
        </w:tc>
        <w:tc>
          <w:tcPr>
            <w:tcW w:type="dxa" w:w="800"/>
            <w:tcMar>
              <w:top w:w="80" w:type="dxa"/>
              <w:start w:w="120" w:type="dxa"/>
              <w:bottom w:w="80" w:type="dxa"/>
              <w:end w:w="120" w:type="dxa"/>
            </w:tcMar>
            <w:shd w:fill="FCE8E6"/>
            <w:vAlign w:val="center"/>
          </w:tcPr>
          <w:p>
            <w:pPr>
              <w:keepNext/>
              <w:spacing w:after="0"/>
            </w:pPr>
            <w:r>
              <w:rPr>
                <w:rFonts w:ascii="Calibri" w:hAnsi="Calibri"/>
                <w:b/>
                <w:color w:val="0B2545"/>
                <w:sz w:val="15"/>
              </w:rPr>
              <w:t>Level</w:t>
            </w:r>
          </w:p>
        </w:tc>
        <w:tc>
          <w:tcPr>
            <w:tcW w:type="dxa" w:w="3180"/>
            <w:tcMar>
              <w:top w:w="80" w:type="dxa"/>
              <w:start w:w="120" w:type="dxa"/>
              <w:bottom w:w="80" w:type="dxa"/>
              <w:end w:w="120" w:type="dxa"/>
            </w:tcMar>
            <w:shd w:fill="FCE8E6"/>
            <w:vAlign w:val="center"/>
          </w:tcPr>
          <w:p>
            <w:pPr>
              <w:keepNext/>
              <w:spacing w:after="0"/>
            </w:pPr>
            <w:r>
              <w:rPr>
                <w:rFonts w:ascii="Calibri" w:hAnsi="Calibri"/>
                <w:b/>
                <w:color w:val="0B2545"/>
                <w:sz w:val="15"/>
              </w:rPr>
              <w:t>Consequence</w:t>
            </w:r>
          </w:p>
        </w:tc>
        <w:tc>
          <w:tcPr>
            <w:tcW w:type="dxa" w:w="3670"/>
            <w:tcMar>
              <w:top w:w="80" w:type="dxa"/>
              <w:start w:w="120" w:type="dxa"/>
              <w:bottom w:w="80" w:type="dxa"/>
              <w:end w:w="120" w:type="dxa"/>
            </w:tcMar>
            <w:shd w:fill="FCE8E6"/>
            <w:vAlign w:val="center"/>
          </w:tcPr>
          <w:p>
            <w:pPr>
              <w:keepNext/>
              <w:spacing w:after="0"/>
            </w:pPr>
            <w:r>
              <w:rPr>
                <w:rFonts w:ascii="Calibri" w:hAnsi="Calibri"/>
                <w:b/>
                <w:color w:val="0B2545"/>
                <w:sz w:val="15"/>
              </w:rPr>
              <w:t>Control</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Domain under-specification</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Critical</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Accounting, F&amp;I, title, OEM warranty, and service edge cases can invalidate late architecture</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Embed SMEs; example-driven specs; shadow real workflows</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One-engineer bottleneck</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Critical</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Serial delivery and weak review create schedule and quality risk</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Constrain V1; add independent QA/security/domain review</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Integration certification</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Lender/OEM/DMV/provider access and certification are external critical paths</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Start commercial/technical discovery early; adapters and simulators</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Dealer data conversion</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Dirty duplicates, legacy codes, balances, documents, and history can derail launch</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Migration factory, profiling, rehearsal, reconciliation, signoff</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Accounting correctness</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Critical</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A plausible UI can hide irreconcilable books</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Controller-led design; ledger invariants; parallel close</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Security/privacy incident</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Critical</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Sensitive consumer and finance data creates severe operational and trust impact</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Safeguards program, minimized scope, independent testing</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Scope imitation</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Copying competitor feature lists yields a broad but unusable product</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Outcome KPIs and wedge discipline</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Microservice overreach</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Medium</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Complexity exceeds team capacity</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Enforced modular monolith; extraction criteria</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AI overreach</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Opaque or autonomous decisions create legal and trust risk</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Human approval, evidence, evals, exclusions</w:t>
            </w:r>
          </w:p>
        </w:tc>
      </w:tr>
      <w:tr>
        <w:trPr>
          <w:trHeight w:hRule="atLeast"/>
          <w:cantSplit/>
          <w:cantSplit/>
          <w:cantSplit/>
          <w:cantSplit/>
        </w:trPr>
        <w:tc>
          <w:tcPr>
            <w:tcW w:type="dxa" w:w="1710"/>
            <w:vAlign w:val="top"/>
            <w:tcMar>
              <w:top w:w="80" w:type="dxa"/>
              <w:start w:w="120" w:type="dxa"/>
              <w:bottom w:w="80" w:type="dxa"/>
              <w:end w:w="120" w:type="dxa"/>
            </w:tcMar>
          </w:tcPr>
          <w:p>
            <w:pPr>
              <w:spacing w:before="0" w:after="40" w:line="240" w:lineRule="auto"/>
            </w:pPr>
            <w:r>
              <w:rPr>
                <w:rFonts w:ascii="Calibri" w:hAnsi="Calibri"/>
                <w:b w:val="0"/>
                <w:color w:val="1F2328"/>
                <w:sz w:val="15"/>
              </w:rPr>
              <w:t>Migration/release failure</w:t>
            </w:r>
          </w:p>
        </w:tc>
        <w:tc>
          <w:tcPr>
            <w:tcW w:type="dxa" w:w="800"/>
            <w:vAlign w:val="top"/>
            <w:tcMar>
              <w:top w:w="80" w:type="dxa"/>
              <w:start w:w="120" w:type="dxa"/>
              <w:bottom w:w="80" w:type="dxa"/>
              <w:end w:w="120" w:type="dxa"/>
            </w:tcMar>
          </w:tcPr>
          <w:p>
            <w:pPr>
              <w:spacing w:before="0" w:after="40" w:line="240" w:lineRule="auto"/>
            </w:pPr>
            <w:r>
              <w:rPr>
                <w:rFonts w:ascii="Calibri" w:hAnsi="Calibri"/>
                <w:b w:val="0"/>
                <w:color w:val="1F2328"/>
                <w:sz w:val="15"/>
              </w:rPr>
              <w:t>High</w:t>
            </w:r>
          </w:p>
        </w:tc>
        <w:tc>
          <w:tcPr>
            <w:tcW w:type="dxa" w:w="3180"/>
            <w:vAlign w:val="top"/>
            <w:tcMar>
              <w:top w:w="80" w:type="dxa"/>
              <w:start w:w="120" w:type="dxa"/>
              <w:bottom w:w="80" w:type="dxa"/>
              <w:end w:w="120" w:type="dxa"/>
            </w:tcMar>
          </w:tcPr>
          <w:p>
            <w:pPr>
              <w:spacing w:before="0" w:after="40" w:line="240" w:lineRule="auto"/>
            </w:pPr>
            <w:r>
              <w:rPr>
                <w:rFonts w:ascii="Calibri" w:hAnsi="Calibri"/>
                <w:b w:val="0"/>
                <w:color w:val="1F2328"/>
                <w:sz w:val="15"/>
              </w:rPr>
              <w:t>Schema drift or irrecoverable deploy can stop dealer operations</w:t>
            </w:r>
          </w:p>
        </w:tc>
        <w:tc>
          <w:tcPr>
            <w:tcW w:type="dxa" w:w="3670"/>
            <w:vAlign w:val="top"/>
            <w:tcMar>
              <w:top w:w="80" w:type="dxa"/>
              <w:start w:w="120" w:type="dxa"/>
              <w:bottom w:w="80" w:type="dxa"/>
              <w:end w:w="120" w:type="dxa"/>
            </w:tcMar>
          </w:tcPr>
          <w:p>
            <w:pPr>
              <w:spacing w:before="0" w:after="40" w:line="240" w:lineRule="auto"/>
            </w:pPr>
            <w:r>
              <w:rPr>
                <w:rFonts w:ascii="Calibri" w:hAnsi="Calibri"/>
                <w:b w:val="0"/>
                <w:color w:val="1F2328"/>
                <w:sz w:val="15"/>
              </w:rPr>
              <w:t>Expand/contract, PITR, restore tests, progressive delivery</w:t>
            </w:r>
          </w:p>
        </w:tc>
      </w:tr>
    </w:tbl>
    <w:p>
      <w:pPr>
        <w:spacing w:after="0"/>
      </w:pPr>
    </w:p>
    <w:p>
      <w:pPr>
        <w:pStyle w:val="Heading2"/>
      </w:pPr>
      <w:r>
        <w:t>15.3 Commercial metrics</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900"/>
        <w:gridCol w:w="7460"/>
      </w:tblGrid>
      <w:tr>
        <w:trPr>
          <w:cantSplit/>
          <w:tblHeader w:val="true"/>
        </w:trPr>
        <w:tc>
          <w:tcPr>
            <w:tcW w:type="dxa" w:w="1900"/>
            <w:tcMar>
              <w:top w:w="80" w:type="dxa"/>
              <w:start w:w="120" w:type="dxa"/>
              <w:bottom w:w="80" w:type="dxa"/>
              <w:end w:w="120" w:type="dxa"/>
            </w:tcMar>
            <w:shd w:fill="F2F4F7"/>
            <w:vAlign w:val="center"/>
          </w:tcPr>
          <w:p>
            <w:pPr>
              <w:keepNext/>
              <w:spacing w:after="0"/>
            </w:pPr>
            <w:r>
              <w:rPr>
                <w:rFonts w:ascii="Calibri" w:hAnsi="Calibri"/>
                <w:b/>
                <w:color w:val="0B2545"/>
                <w:sz w:val="17"/>
              </w:rPr>
              <w:t>Stage</w:t>
            </w:r>
          </w:p>
        </w:tc>
        <w:tc>
          <w:tcPr>
            <w:tcW w:type="dxa" w:w="7460"/>
            <w:tcMar>
              <w:top w:w="80" w:type="dxa"/>
              <w:start w:w="120" w:type="dxa"/>
              <w:bottom w:w="80" w:type="dxa"/>
              <w:end w:w="120" w:type="dxa"/>
            </w:tcMar>
            <w:shd w:fill="F2F4F7"/>
            <w:vAlign w:val="center"/>
          </w:tcPr>
          <w:p>
            <w:pPr>
              <w:keepNext/>
              <w:spacing w:after="0"/>
            </w:pPr>
            <w:r>
              <w:rPr>
                <w:rFonts w:ascii="Calibri" w:hAnsi="Calibri"/>
                <w:b/>
                <w:color w:val="0B2545"/>
                <w:sz w:val="17"/>
              </w:rPr>
              <w:t>Required evidence</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7"/>
              </w:rPr>
              <w:t>Problem validation</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7"/>
              </w:rPr>
              <w:t>At least 10 dealership workflow interviews across advisor, tech, parts, controller, owner/group operator</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7"/>
              </w:rPr>
              <w:t>Design partner</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7"/>
              </w:rPr>
              <w:t>2–3 rooftops commit data, SMEs, weekly review, and measurable baseline outcomes</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7"/>
              </w:rPr>
              <w:t>Private pilot</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7"/>
              </w:rPr>
              <w:t>Complete appointment-to-settlement flow with conversion/reconciliation and support runbook</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7"/>
              </w:rPr>
              <w:t>Paid V1</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7"/>
              </w:rPr>
              <w:t>SLOs met; security/compliance gate; migration repeatable; user adoption and ROI documented</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7"/>
              </w:rPr>
              <w:t>Expansion</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7"/>
              </w:rPr>
              <w:t>Fixed-ops retention and unit economics justify inventory/CRM/sales investment</w:t>
            </w:r>
          </w:p>
        </w:tc>
      </w:tr>
      <w:tr>
        <w:trPr>
          <w:trHeight w:hRule="atLeast"/>
          <w:cantSplit/>
          <w:cantSplit/>
        </w:trPr>
        <w:tc>
          <w:tcPr>
            <w:tcW w:type="dxa" w:w="1900"/>
            <w:vAlign w:val="top"/>
            <w:tcMar>
              <w:top w:w="80" w:type="dxa"/>
              <w:start w:w="120" w:type="dxa"/>
              <w:bottom w:w="80" w:type="dxa"/>
              <w:end w:w="120" w:type="dxa"/>
            </w:tcMar>
          </w:tcPr>
          <w:p>
            <w:pPr>
              <w:spacing w:before="0" w:after="40" w:line="240" w:lineRule="auto"/>
            </w:pPr>
            <w:r>
              <w:rPr>
                <w:rFonts w:ascii="Calibri" w:hAnsi="Calibri"/>
                <w:b w:val="0"/>
                <w:color w:val="1F2328"/>
                <w:sz w:val="17"/>
              </w:rPr>
              <w:t>Enterprise</w:t>
            </w:r>
          </w:p>
        </w:tc>
        <w:tc>
          <w:tcPr>
            <w:tcW w:type="dxa" w:w="7460"/>
            <w:vAlign w:val="top"/>
            <w:tcMar>
              <w:top w:w="80" w:type="dxa"/>
              <w:start w:w="120" w:type="dxa"/>
              <w:bottom w:w="80" w:type="dxa"/>
              <w:end w:w="120" w:type="dxa"/>
            </w:tcMar>
          </w:tcPr>
          <w:p>
            <w:pPr>
              <w:spacing w:before="0" w:after="40" w:line="240" w:lineRule="auto"/>
            </w:pPr>
            <w:r>
              <w:rPr>
                <w:rFonts w:ascii="Calibri" w:hAnsi="Calibri"/>
                <w:b w:val="0"/>
                <w:color w:val="1F2328"/>
                <w:sz w:val="17"/>
              </w:rPr>
              <w:t>Multi-rooftop controls, provider certifications, migration factory, 24/7 operations, audit readiness</w:t>
            </w:r>
          </w:p>
        </w:tc>
      </w:tr>
    </w:tbl>
    <w:p>
      <w:pPr>
        <w:spacing w:after="0"/>
      </w:pPr>
    </w:p>
    <w:p>
      <w:r>
        <w:br w:type="page"/>
      </w:r>
    </w:p>
    <w:p>
      <w:pPr>
        <w:pStyle w:val="Heading1"/>
      </w:pPr>
      <w:r>
        <w:t>16. Acceptance Scorecard and Next Decisions</w:t>
      </w:r>
    </w:p>
    <w:p>
      <w:pPr>
        <w:pStyle w:val="Heading2"/>
      </w:pPr>
      <w:r>
        <w:t>16.1 “Industrial SaaS” acceptance scorecard</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300"/>
        <w:gridCol w:w="7060"/>
      </w:tblGrid>
      <w:tr>
        <w:trPr>
          <w:cantSplit/>
          <w:tblHeader w:val="true"/>
        </w:trPr>
        <w:tc>
          <w:tcPr>
            <w:tcW w:type="dxa" w:w="2300"/>
            <w:tcMar>
              <w:top w:w="80" w:type="dxa"/>
              <w:start w:w="120" w:type="dxa"/>
              <w:bottom w:w="80" w:type="dxa"/>
              <w:end w:w="120" w:type="dxa"/>
            </w:tcMar>
            <w:shd w:fill="F2F4F7"/>
            <w:vAlign w:val="center"/>
          </w:tcPr>
          <w:p>
            <w:pPr>
              <w:keepNext/>
              <w:spacing w:after="0"/>
            </w:pPr>
            <w:r>
              <w:rPr>
                <w:rFonts w:ascii="Calibri" w:hAnsi="Calibri"/>
                <w:b/>
                <w:color w:val="0B2545"/>
                <w:sz w:val="17"/>
              </w:rPr>
              <w:t>Dimension</w:t>
            </w:r>
          </w:p>
        </w:tc>
        <w:tc>
          <w:tcPr>
            <w:tcW w:type="dxa" w:w="7060"/>
            <w:tcMar>
              <w:top w:w="80" w:type="dxa"/>
              <w:start w:w="120" w:type="dxa"/>
              <w:bottom w:w="80" w:type="dxa"/>
              <w:end w:w="120" w:type="dxa"/>
            </w:tcMar>
            <w:shd w:fill="F2F4F7"/>
            <w:vAlign w:val="center"/>
          </w:tcPr>
          <w:p>
            <w:pPr>
              <w:keepNext/>
              <w:spacing w:after="0"/>
            </w:pPr>
            <w:r>
              <w:rPr>
                <w:rFonts w:ascii="Calibri" w:hAnsi="Calibri"/>
                <w:b/>
                <w:color w:val="0B2545"/>
                <w:sz w:val="17"/>
              </w:rPr>
              <w:t>Pass condition</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Product completeness</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A complete paid journey has no spreadsheet/manual rekey except intentional provider fallbacks</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Tenant trust</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Database denies cross-tenant access even when application predicates are deliberately removed</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Financial integrity</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Every quantity/money movement reconciles; every posting balances and traces to evidence</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Customer evidence</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Authorization, signatures, notices, consent, documents, and payments are version-bound and retrievable</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Reliability</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SLO, restore, migration, queue replay, and incident exercises meet targets</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Operability</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Support can diagnose safely without direct production edits; every intervention is audited</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Ecosystem</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Documented APIs/webhooks, sandbox, connector health, replay, versioning, and certification process</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User experience</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Role-specific journeys are accessible, localized, mobile/resilient, and measured</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Security/compliance</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Control owners, evidence, testing, provider oversight, and incident duties are operational</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AI governance</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No high-impact autonomy; evidence, evaluation, human decisions, and rollback are present</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Commercial readiness</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Provisioning, entitlements, billing, migration, training, support, and data portability work</w:t>
            </w:r>
          </w:p>
        </w:tc>
      </w:tr>
    </w:tbl>
    <w:p>
      <w:pPr>
        <w:spacing w:after="0"/>
      </w:pPr>
    </w:p>
    <w:p>
      <w:pPr>
        <w:pStyle w:val="Heading2"/>
      </w:pPr>
      <w:r>
        <w:t>16.2 Decisions required now</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700"/>
        <w:gridCol w:w="5070"/>
        <w:gridCol w:w="3590"/>
      </w:tblGrid>
      <w:tr>
        <w:trPr>
          <w:cantSplit/>
          <w:tblHeader w:val="true"/>
        </w:trPr>
        <w:tc>
          <w:tcPr>
            <w:tcW w:type="dxa" w:w="700"/>
            <w:tcMar>
              <w:top w:w="80" w:type="dxa"/>
              <w:start w:w="120" w:type="dxa"/>
              <w:bottom w:w="80" w:type="dxa"/>
              <w:end w:w="120" w:type="dxa"/>
            </w:tcMar>
            <w:shd w:fill="F2F4F7"/>
            <w:vAlign w:val="center"/>
          </w:tcPr>
          <w:p>
            <w:pPr>
              <w:keepNext/>
              <w:spacing w:after="0"/>
            </w:pPr>
            <w:r>
              <w:rPr>
                <w:rFonts w:ascii="Calibri" w:hAnsi="Calibri"/>
                <w:b/>
                <w:color w:val="0B2545"/>
                <w:sz w:val="17"/>
              </w:rPr>
              <w:t>ID</w:t>
            </w:r>
          </w:p>
        </w:tc>
        <w:tc>
          <w:tcPr>
            <w:tcW w:type="dxa" w:w="5070"/>
            <w:tcMar>
              <w:top w:w="80" w:type="dxa"/>
              <w:start w:w="120" w:type="dxa"/>
              <w:bottom w:w="80" w:type="dxa"/>
              <w:end w:w="120" w:type="dxa"/>
            </w:tcMar>
            <w:shd w:fill="F2F4F7"/>
            <w:vAlign w:val="center"/>
          </w:tcPr>
          <w:p>
            <w:pPr>
              <w:keepNext/>
              <w:spacing w:after="0"/>
            </w:pPr>
            <w:r>
              <w:rPr>
                <w:rFonts w:ascii="Calibri" w:hAnsi="Calibri"/>
                <w:b/>
                <w:color w:val="0B2545"/>
                <w:sz w:val="17"/>
              </w:rPr>
              <w:t>Decision</w:t>
            </w:r>
          </w:p>
        </w:tc>
        <w:tc>
          <w:tcPr>
            <w:tcW w:type="dxa" w:w="3590"/>
            <w:tcMar>
              <w:top w:w="80" w:type="dxa"/>
              <w:start w:w="120" w:type="dxa"/>
              <w:bottom w:w="80" w:type="dxa"/>
              <w:end w:w="120" w:type="dxa"/>
            </w:tcMar>
            <w:shd w:fill="F2F4F7"/>
            <w:vAlign w:val="center"/>
          </w:tcPr>
          <w:p>
            <w:pPr>
              <w:keepNext/>
              <w:spacing w:after="0"/>
            </w:pPr>
            <w:r>
              <w:rPr>
                <w:rFonts w:ascii="Calibri" w:hAnsi="Calibri"/>
                <w:b/>
                <w:color w:val="0B2545"/>
                <w:sz w:val="17"/>
              </w:rPr>
              <w:t>Architect recommendation</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7"/>
              </w:rPr>
              <w:t>D1</w:t>
            </w:r>
          </w:p>
        </w:tc>
        <w:tc>
          <w:tcPr>
            <w:tcW w:type="dxa" w:w="5070"/>
            <w:vAlign w:val="top"/>
            <w:tcMar>
              <w:top w:w="80" w:type="dxa"/>
              <w:start w:w="120" w:type="dxa"/>
              <w:bottom w:w="80" w:type="dxa"/>
              <w:end w:w="120" w:type="dxa"/>
            </w:tcMar>
          </w:tcPr>
          <w:p>
            <w:pPr>
              <w:spacing w:before="0" w:after="40" w:line="240" w:lineRule="auto"/>
            </w:pPr>
            <w:r>
              <w:rPr>
                <w:rFonts w:ascii="Calibri" w:hAnsi="Calibri"/>
                <w:b w:val="0"/>
                <w:color w:val="1F2328"/>
                <w:sz w:val="17"/>
              </w:rPr>
              <w:t>Approve Fixed Ops Cloud as the initial paid wedge</w:t>
            </w:r>
          </w:p>
        </w:tc>
        <w:tc>
          <w:tcPr>
            <w:tcW w:type="dxa" w:w="3590"/>
            <w:vAlign w:val="top"/>
            <w:tcMar>
              <w:top w:w="80" w:type="dxa"/>
              <w:start w:w="120" w:type="dxa"/>
              <w:bottom w:w="80" w:type="dxa"/>
              <w:end w:w="120" w:type="dxa"/>
            </w:tcMar>
          </w:tcPr>
          <w:p>
            <w:pPr>
              <w:spacing w:before="0" w:after="40" w:line="240" w:lineRule="auto"/>
            </w:pPr>
            <w:r>
              <w:rPr>
                <w:rFonts w:ascii="Calibri" w:hAnsi="Calibri"/>
                <w:b w:val="0"/>
                <w:color w:val="1F2328"/>
                <w:sz w:val="17"/>
              </w:rPr>
              <w:t>Recommended: yes</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7"/>
              </w:rPr>
              <w:t>D2</w:t>
            </w:r>
          </w:p>
        </w:tc>
        <w:tc>
          <w:tcPr>
            <w:tcW w:type="dxa" w:w="5070"/>
            <w:vAlign w:val="top"/>
            <w:tcMar>
              <w:top w:w="80" w:type="dxa"/>
              <w:start w:w="120" w:type="dxa"/>
              <w:bottom w:w="80" w:type="dxa"/>
              <w:end w:w="120" w:type="dxa"/>
            </w:tcMar>
          </w:tcPr>
          <w:p>
            <w:pPr>
              <w:spacing w:before="0" w:after="40" w:line="240" w:lineRule="auto"/>
            </w:pPr>
            <w:r>
              <w:rPr>
                <w:rFonts w:ascii="Calibri" w:hAnsi="Calibri"/>
                <w:b w:val="0"/>
                <w:color w:val="1F2328"/>
                <w:sz w:val="17"/>
              </w:rPr>
              <w:t>Select first dealer segment</w:t>
            </w:r>
          </w:p>
        </w:tc>
        <w:tc>
          <w:tcPr>
            <w:tcW w:type="dxa" w:w="3590"/>
            <w:vAlign w:val="top"/>
            <w:tcMar>
              <w:top w:w="80" w:type="dxa"/>
              <w:start w:w="120" w:type="dxa"/>
              <w:bottom w:w="80" w:type="dxa"/>
              <w:end w:w="120" w:type="dxa"/>
            </w:tcMar>
          </w:tcPr>
          <w:p>
            <w:pPr>
              <w:spacing w:before="0" w:after="40" w:line="240" w:lineRule="auto"/>
            </w:pPr>
            <w:r>
              <w:rPr>
                <w:rFonts w:ascii="Calibri" w:hAnsi="Calibri"/>
                <w:b w:val="0"/>
                <w:color w:val="1F2328"/>
                <w:sz w:val="17"/>
              </w:rPr>
              <w:t>Recommended: independent and small multi-rooftop groups before franchise certification</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7"/>
              </w:rPr>
              <w:t>D3</w:t>
            </w:r>
          </w:p>
        </w:tc>
        <w:tc>
          <w:tcPr>
            <w:tcW w:type="dxa" w:w="5070"/>
            <w:vAlign w:val="top"/>
            <w:tcMar>
              <w:top w:w="80" w:type="dxa"/>
              <w:start w:w="120" w:type="dxa"/>
              <w:bottom w:w="80" w:type="dxa"/>
              <w:end w:w="120" w:type="dxa"/>
            </w:tcMar>
          </w:tcPr>
          <w:p>
            <w:pPr>
              <w:spacing w:before="0" w:after="40" w:line="240" w:lineRule="auto"/>
            </w:pPr>
            <w:r>
              <w:rPr>
                <w:rFonts w:ascii="Calibri" w:hAnsi="Calibri"/>
                <w:b w:val="0"/>
                <w:color w:val="1F2328"/>
                <w:sz w:val="17"/>
              </w:rPr>
              <w:t>Approve architecture disposition</w:t>
            </w:r>
          </w:p>
        </w:tc>
        <w:tc>
          <w:tcPr>
            <w:tcW w:type="dxa" w:w="3590"/>
            <w:vAlign w:val="top"/>
            <w:tcMar>
              <w:top w:w="80" w:type="dxa"/>
              <w:start w:w="120" w:type="dxa"/>
              <w:bottom w:w="80" w:type="dxa"/>
              <w:end w:w="120" w:type="dxa"/>
            </w:tcMar>
          </w:tcPr>
          <w:p>
            <w:pPr>
              <w:spacing w:before="0" w:after="40" w:line="240" w:lineRule="auto"/>
            </w:pPr>
            <w:r>
              <w:rPr>
                <w:rFonts w:ascii="Calibri" w:hAnsi="Calibri"/>
                <w:b w:val="0"/>
                <w:color w:val="1F2328"/>
                <w:sz w:val="17"/>
              </w:rPr>
              <w:t>Recommended: evolutionary replacement / modular monolith</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7"/>
              </w:rPr>
              <w:t>D4</w:t>
            </w:r>
          </w:p>
        </w:tc>
        <w:tc>
          <w:tcPr>
            <w:tcW w:type="dxa" w:w="5070"/>
            <w:vAlign w:val="top"/>
            <w:tcMar>
              <w:top w:w="80" w:type="dxa"/>
              <w:start w:w="120" w:type="dxa"/>
              <w:bottom w:w="80" w:type="dxa"/>
              <w:end w:w="120" w:type="dxa"/>
            </w:tcMar>
          </w:tcPr>
          <w:p>
            <w:pPr>
              <w:spacing w:before="0" w:after="40" w:line="240" w:lineRule="auto"/>
            </w:pPr>
            <w:r>
              <w:rPr>
                <w:rFonts w:ascii="Calibri" w:hAnsi="Calibri"/>
                <w:b w:val="0"/>
                <w:color w:val="1F2328"/>
                <w:sz w:val="17"/>
              </w:rPr>
              <w:t>Choose cloud and managed identity provider</w:t>
            </w:r>
          </w:p>
        </w:tc>
        <w:tc>
          <w:tcPr>
            <w:tcW w:type="dxa" w:w="3590"/>
            <w:vAlign w:val="top"/>
            <w:tcMar>
              <w:top w:w="80" w:type="dxa"/>
              <w:start w:w="120" w:type="dxa"/>
              <w:bottom w:w="80" w:type="dxa"/>
              <w:end w:w="120" w:type="dxa"/>
            </w:tcMar>
          </w:tcPr>
          <w:p>
            <w:pPr>
              <w:spacing w:before="0" w:after="40" w:line="240" w:lineRule="auto"/>
            </w:pPr>
            <w:r>
              <w:rPr>
                <w:rFonts w:ascii="Calibri" w:hAnsi="Calibri"/>
                <w:b w:val="0"/>
                <w:color w:val="1F2328"/>
                <w:sz w:val="17"/>
              </w:rPr>
              <w:t>Run a short decision record; do not delay FBL-000</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7"/>
              </w:rPr>
              <w:t>D5</w:t>
            </w:r>
          </w:p>
        </w:tc>
        <w:tc>
          <w:tcPr>
            <w:tcW w:type="dxa" w:w="5070"/>
            <w:vAlign w:val="top"/>
            <w:tcMar>
              <w:top w:w="80" w:type="dxa"/>
              <w:start w:w="120" w:type="dxa"/>
              <w:bottom w:w="80" w:type="dxa"/>
              <w:end w:w="120" w:type="dxa"/>
            </w:tcMar>
          </w:tcPr>
          <w:p>
            <w:pPr>
              <w:spacing w:before="0" w:after="40" w:line="240" w:lineRule="auto"/>
            </w:pPr>
            <w:r>
              <w:rPr>
                <w:rFonts w:ascii="Calibri" w:hAnsi="Calibri"/>
                <w:b w:val="0"/>
                <w:color w:val="1F2328"/>
                <w:sz w:val="17"/>
              </w:rPr>
              <w:t>Name accountable dealership SMEs</w:t>
            </w:r>
          </w:p>
        </w:tc>
        <w:tc>
          <w:tcPr>
            <w:tcW w:type="dxa" w:w="3590"/>
            <w:vAlign w:val="top"/>
            <w:tcMar>
              <w:top w:w="80" w:type="dxa"/>
              <w:start w:w="120" w:type="dxa"/>
              <w:bottom w:w="80" w:type="dxa"/>
              <w:end w:w="120" w:type="dxa"/>
            </w:tcMar>
          </w:tcPr>
          <w:p>
            <w:pPr>
              <w:spacing w:before="0" w:after="40" w:line="240" w:lineRule="auto"/>
            </w:pPr>
            <w:r>
              <w:rPr>
                <w:rFonts w:ascii="Calibri" w:hAnsi="Calibri"/>
                <w:b w:val="0"/>
                <w:color w:val="1F2328"/>
                <w:sz w:val="17"/>
              </w:rPr>
              <w:t>Service/parts first; controller and compliance engaged from platform design</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7"/>
              </w:rPr>
              <w:t>D6</w:t>
            </w:r>
          </w:p>
        </w:tc>
        <w:tc>
          <w:tcPr>
            <w:tcW w:type="dxa" w:w="5070"/>
            <w:vAlign w:val="top"/>
            <w:tcMar>
              <w:top w:w="80" w:type="dxa"/>
              <w:start w:w="120" w:type="dxa"/>
              <w:bottom w:w="80" w:type="dxa"/>
              <w:end w:w="120" w:type="dxa"/>
            </w:tcMar>
          </w:tcPr>
          <w:p>
            <w:pPr>
              <w:spacing w:before="0" w:after="40" w:line="240" w:lineRule="auto"/>
            </w:pPr>
            <w:r>
              <w:rPr>
                <w:rFonts w:ascii="Calibri" w:hAnsi="Calibri"/>
                <w:b w:val="0"/>
                <w:color w:val="1F2328"/>
                <w:sz w:val="17"/>
              </w:rPr>
              <w:t>Set delivery capacity and budget</w:t>
            </w:r>
          </w:p>
        </w:tc>
        <w:tc>
          <w:tcPr>
            <w:tcW w:type="dxa" w:w="3590"/>
            <w:vAlign w:val="top"/>
            <w:tcMar>
              <w:top w:w="80" w:type="dxa"/>
              <w:start w:w="120" w:type="dxa"/>
              <w:bottom w:w="80" w:type="dxa"/>
              <w:end w:w="120" w:type="dxa"/>
            </w:tcMar>
          </w:tcPr>
          <w:p>
            <w:pPr>
              <w:spacing w:before="0" w:after="40" w:line="240" w:lineRule="auto"/>
            </w:pPr>
            <w:r>
              <w:rPr>
                <w:rFonts w:ascii="Calibri" w:hAnsi="Calibri"/>
                <w:b w:val="0"/>
                <w:color w:val="1F2328"/>
                <w:sz w:val="17"/>
              </w:rPr>
              <w:t>Do not commit full-DMS dates based on a one-engineer plan</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7"/>
              </w:rPr>
              <w:t>D7</w:t>
            </w:r>
          </w:p>
        </w:tc>
        <w:tc>
          <w:tcPr>
            <w:tcW w:type="dxa" w:w="5070"/>
            <w:vAlign w:val="top"/>
            <w:tcMar>
              <w:top w:w="80" w:type="dxa"/>
              <w:start w:w="120" w:type="dxa"/>
              <w:bottom w:w="80" w:type="dxa"/>
              <w:end w:w="120" w:type="dxa"/>
            </w:tcMar>
          </w:tcPr>
          <w:p>
            <w:pPr>
              <w:spacing w:before="0" w:after="40" w:line="240" w:lineRule="auto"/>
            </w:pPr>
            <w:r>
              <w:rPr>
                <w:rFonts w:ascii="Calibri" w:hAnsi="Calibri"/>
                <w:b w:val="0"/>
                <w:color w:val="1F2328"/>
                <w:sz w:val="17"/>
              </w:rPr>
              <w:t>Approve pilot outcome metrics</w:t>
            </w:r>
          </w:p>
        </w:tc>
        <w:tc>
          <w:tcPr>
            <w:tcW w:type="dxa" w:w="3590"/>
            <w:vAlign w:val="top"/>
            <w:tcMar>
              <w:top w:w="80" w:type="dxa"/>
              <w:start w:w="120" w:type="dxa"/>
              <w:bottom w:w="80" w:type="dxa"/>
              <w:end w:w="120" w:type="dxa"/>
            </w:tcMar>
          </w:tcPr>
          <w:p>
            <w:pPr>
              <w:spacing w:before="0" w:after="40" w:line="240" w:lineRule="auto"/>
            </w:pPr>
            <w:r>
              <w:rPr>
                <w:rFonts w:ascii="Calibri" w:hAnsi="Calibri"/>
                <w:b w:val="0"/>
                <w:color w:val="1F2328"/>
                <w:sz w:val="17"/>
              </w:rPr>
              <w:t>Cycle time, authorization conversion, hours/RO, fill rate, payment time, adoption, support burden</w:t>
            </w:r>
          </w:p>
        </w:tc>
      </w:tr>
      <w:tr>
        <w:trPr>
          <w:trHeight w:hRule="atLeast"/>
          <w:cantSplit/>
          <w:cantSplit/>
          <w:cantSplit/>
        </w:trPr>
        <w:tc>
          <w:tcPr>
            <w:tcW w:type="dxa" w:w="700"/>
            <w:vAlign w:val="top"/>
            <w:tcMar>
              <w:top w:w="80" w:type="dxa"/>
              <w:start w:w="120" w:type="dxa"/>
              <w:bottom w:w="80" w:type="dxa"/>
              <w:end w:w="120" w:type="dxa"/>
            </w:tcMar>
          </w:tcPr>
          <w:p>
            <w:pPr>
              <w:spacing w:before="0" w:after="40" w:line="240" w:lineRule="auto"/>
            </w:pPr>
            <w:r>
              <w:rPr>
                <w:rFonts w:ascii="Calibri" w:hAnsi="Calibri"/>
                <w:b w:val="0"/>
                <w:color w:val="1F2328"/>
                <w:sz w:val="17"/>
              </w:rPr>
              <w:t>D8</w:t>
            </w:r>
          </w:p>
        </w:tc>
        <w:tc>
          <w:tcPr>
            <w:tcW w:type="dxa" w:w="5070"/>
            <w:vAlign w:val="top"/>
            <w:tcMar>
              <w:top w:w="80" w:type="dxa"/>
              <w:start w:w="120" w:type="dxa"/>
              <w:bottom w:w="80" w:type="dxa"/>
              <w:end w:w="120" w:type="dxa"/>
            </w:tcMar>
          </w:tcPr>
          <w:p>
            <w:pPr>
              <w:spacing w:before="0" w:after="40" w:line="240" w:lineRule="auto"/>
            </w:pPr>
            <w:r>
              <w:rPr>
                <w:rFonts w:ascii="Calibri" w:hAnsi="Calibri"/>
                <w:b w:val="0"/>
                <w:color w:val="1F2328"/>
                <w:sz w:val="17"/>
              </w:rPr>
              <w:t>Authorize Fable order FBL-000 only</w:t>
            </w:r>
          </w:p>
        </w:tc>
        <w:tc>
          <w:tcPr>
            <w:tcW w:type="dxa" w:w="3590"/>
            <w:vAlign w:val="top"/>
            <w:tcMar>
              <w:top w:w="80" w:type="dxa"/>
              <w:start w:w="120" w:type="dxa"/>
              <w:bottom w:w="80" w:type="dxa"/>
              <w:end w:w="120" w:type="dxa"/>
            </w:tcMar>
          </w:tcPr>
          <w:p>
            <w:pPr>
              <w:spacing w:before="0" w:after="40" w:line="240" w:lineRule="auto"/>
            </w:pPr>
            <w:r>
              <w:rPr>
                <w:rFonts w:ascii="Calibri" w:hAnsi="Calibri"/>
                <w:b w:val="0"/>
                <w:color w:val="1F2328"/>
                <w:sz w:val="17"/>
              </w:rPr>
              <w:t>Stop after evidence pack and architecture review</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1F5D42"/>
          <w:left w:val="single" w:sz="6" w:space="0" w:color="1F5D42"/>
          <w:bottom w:val="single" w:sz="6" w:space="0" w:color="1F5D42"/>
          <w:right w:val="single" w:sz="6" w:space="0" w:color="1F5D42"/>
          <w:insideH w:val="single" w:sz="6" w:space="0" w:color="1F5D42"/>
          <w:insideV w:val="single" w:sz="6" w:space="0" w:color="1F5D42"/>
        </w:tblBorders>
      </w:tblPr>
      <w:tblGrid>
        <w:gridCol w:w="9360"/>
      </w:tblGrid>
      <w:tr>
        <w:trPr>
          <w:cantSplit/>
        </w:trPr>
        <w:tc>
          <w:tcPr>
            <w:tcW w:type="dxa" w:w="9360"/>
            <w:tcMar>
              <w:top w:w="80" w:type="dxa"/>
              <w:start w:w="120" w:type="dxa"/>
              <w:bottom w:w="80" w:type="dxa"/>
              <w:end w:w="120" w:type="dxa"/>
            </w:tcMar>
            <w:shd w:fill="E6F4EA"/>
            <w:vAlign w:val="center"/>
          </w:tcPr>
          <w:p>
            <w:pPr>
              <w:spacing w:after="60"/>
            </w:pPr>
            <w:r>
              <w:rPr>
                <w:rFonts w:ascii="Calibri" w:hAnsi="Calibri"/>
                <w:b/>
                <w:color w:val="1F5D42"/>
                <w:sz w:val="21"/>
              </w:rPr>
              <w:t>Immediate next move</w:t>
            </w:r>
          </w:p>
          <w:p>
            <w:pPr>
              <w:spacing w:after="0" w:line="264" w:lineRule="auto"/>
            </w:pPr>
            <w:r>
              <w:rPr>
                <w:rFonts w:ascii="Calibri" w:hAnsi="Calibri"/>
                <w:color w:val="1F2328"/>
                <w:sz w:val="21"/>
              </w:rPr>
              <w:t>Give Fable only FBL-000. In parallel, recruit two design-partner dealerships and capture real appointment-to-payment workflows. The next architecture decisions should be based on a reproducible engineering baseline and observed dealer work—not on assumptions from the current route list.</w:t>
            </w:r>
          </w:p>
        </w:tc>
      </w:tr>
    </w:tbl>
    <w:p>
      <w:pPr>
        <w:spacing w:after="0"/>
      </w:pPr>
    </w:p>
    <w:p>
      <w:r>
        <w:br w:type="page"/>
      </w:r>
    </w:p>
    <w:p>
      <w:pPr>
        <w:pStyle w:val="Heading1"/>
      </w:pPr>
      <w:r>
        <w:t>Appendix A — Repository Evidence</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650"/>
        <w:gridCol w:w="5710"/>
      </w:tblGrid>
      <w:tr>
        <w:trPr>
          <w:cantSplit/>
          <w:tblHeader w:val="true"/>
        </w:trPr>
        <w:tc>
          <w:tcPr>
            <w:tcW w:type="dxa" w:w="3650"/>
            <w:tcMar>
              <w:top w:w="80" w:type="dxa"/>
              <w:start w:w="120" w:type="dxa"/>
              <w:bottom w:w="80" w:type="dxa"/>
              <w:end w:w="120" w:type="dxa"/>
            </w:tcMar>
            <w:shd w:fill="F2F4F7"/>
            <w:vAlign w:val="center"/>
          </w:tcPr>
          <w:p>
            <w:pPr>
              <w:keepNext/>
              <w:spacing w:after="0"/>
            </w:pPr>
            <w:r>
              <w:rPr>
                <w:rFonts w:ascii="Calibri" w:hAnsi="Calibri"/>
                <w:b/>
                <w:color w:val="0B2545"/>
                <w:sz w:val="17"/>
              </w:rPr>
              <w:t>Evidence</w:t>
            </w:r>
          </w:p>
        </w:tc>
        <w:tc>
          <w:tcPr>
            <w:tcW w:type="dxa" w:w="5710"/>
            <w:tcMar>
              <w:top w:w="80" w:type="dxa"/>
              <w:start w:w="120" w:type="dxa"/>
              <w:bottom w:w="80" w:type="dxa"/>
              <w:end w:w="120" w:type="dxa"/>
            </w:tcMar>
            <w:shd w:fill="F2F4F7"/>
            <w:vAlign w:val="center"/>
          </w:tcPr>
          <w:p>
            <w:pPr>
              <w:keepNext/>
              <w:spacing w:after="0"/>
            </w:pPr>
            <w:r>
              <w:rPr>
                <w:rFonts w:ascii="Calibri" w:hAnsi="Calibri"/>
                <w:b/>
                <w:color w:val="0B2545"/>
                <w:sz w:val="17"/>
              </w:rPr>
              <w:t>Architectural use</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package.json</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Runtime scripts and dependency set; no application framework beyond one Node/Express service</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src/index.ts</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HTTP bootstrap, health/readiness, metrics, request handling</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src/modules/service-cockpit/routes.ts</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44 route handlers and role checks for the available product surface</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src/modules/service-cockpit/service.ts</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3,279-line application/service layer containing most business use cases</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src/modules/service-cockpit/domain.ts</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Repair-order states and transition rules</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src/modules/service-cockpit/metrics.ts</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Fixed-ops counters/gauges/histograms and location-label design</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src/db/migrate.ts</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Filename-based migration runner without checksums/dirty state/advisory locking</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migrations/000_*.sql through 054_*.sql</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Tenant-tagged service schema, global UUID references, audit/queue additions</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tests/*.test.ts</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Portable domain/security/doc tests and database-backed integration/route suites</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docs/PLATFORM-CONTEXT.md</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Confirms the broader generated platform is not the delivered repository and records prior tenancy concerns</w:t>
            </w:r>
          </w:p>
        </w:tc>
      </w:tr>
      <w:tr>
        <w:trPr>
          <w:trHeight w:hRule="atLeast"/>
          <w:cantSplit/>
          <w:cantSplit/>
        </w:trPr>
        <w:tc>
          <w:tcPr>
            <w:tcW w:type="dxa" w:w="3650"/>
            <w:vAlign w:val="top"/>
            <w:tcMar>
              <w:top w:w="80" w:type="dxa"/>
              <w:start w:w="120" w:type="dxa"/>
              <w:bottom w:w="80" w:type="dxa"/>
              <w:end w:w="120" w:type="dxa"/>
            </w:tcMar>
          </w:tcPr>
          <w:p>
            <w:pPr>
              <w:spacing w:before="0" w:after="40" w:line="240" w:lineRule="auto"/>
            </w:pPr>
            <w:r>
              <w:rPr>
                <w:rFonts w:ascii="Calibri" w:hAnsi="Calibri"/>
                <w:b w:val="0"/>
                <w:color w:val="1F2328"/>
                <w:sz w:val="17"/>
              </w:rPr>
              <w:t>Dockerfile / docker-compose.yml</w:t>
            </w:r>
          </w:p>
        </w:tc>
        <w:tc>
          <w:tcPr>
            <w:tcW w:type="dxa" w:w="5710"/>
            <w:vAlign w:val="top"/>
            <w:tcMar>
              <w:top w:w="80" w:type="dxa"/>
              <w:start w:w="120" w:type="dxa"/>
              <w:bottom w:w="80" w:type="dxa"/>
              <w:end w:w="120" w:type="dxa"/>
            </w:tcMar>
          </w:tcPr>
          <w:p>
            <w:pPr>
              <w:spacing w:before="0" w:after="40" w:line="240" w:lineRule="auto"/>
            </w:pPr>
            <w:r>
              <w:rPr>
                <w:rFonts w:ascii="Calibri" w:hAnsi="Calibri"/>
                <w:b w:val="0"/>
                <w:color w:val="1F2328"/>
                <w:sz w:val="17"/>
              </w:rPr>
              <w:t>Single API and PostgreSQL local topology</w:t>
            </w:r>
          </w:p>
        </w:tc>
      </w:tr>
    </w:tbl>
    <w:p>
      <w:pPr>
        <w:spacing w:after="0"/>
      </w:pPr>
    </w:p>
    <w:p>
      <w:r>
        <w:br w:type="page"/>
      </w:r>
    </w:p>
    <w:p>
      <w:pPr>
        <w:pStyle w:val="Heading1"/>
      </w:pPr>
      <w:r>
        <w:t>Appendix B — Architecture Decision Register</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100"/>
        <w:gridCol w:w="2450"/>
        <w:gridCol w:w="1850"/>
        <w:gridCol w:w="3960"/>
      </w:tblGrid>
      <w:tr>
        <w:trPr>
          <w:cantSplit/>
          <w:tblHeader w:val="true"/>
        </w:trPr>
        <w:tc>
          <w:tcPr>
            <w:tcW w:type="dxa" w:w="1100"/>
            <w:tcMar>
              <w:top w:w="80" w:type="dxa"/>
              <w:start w:w="120" w:type="dxa"/>
              <w:bottom w:w="80" w:type="dxa"/>
              <w:end w:w="120" w:type="dxa"/>
            </w:tcMar>
            <w:shd w:fill="F2F4F7"/>
            <w:vAlign w:val="center"/>
          </w:tcPr>
          <w:p>
            <w:pPr>
              <w:keepNext/>
              <w:spacing w:after="0"/>
            </w:pPr>
            <w:r>
              <w:rPr>
                <w:rFonts w:ascii="Calibri" w:hAnsi="Calibri"/>
                <w:b/>
                <w:color w:val="0B2545"/>
                <w:sz w:val="16"/>
              </w:rPr>
              <w:t>ADR</w:t>
            </w:r>
          </w:p>
        </w:tc>
        <w:tc>
          <w:tcPr>
            <w:tcW w:type="dxa" w:w="2450"/>
            <w:tcMar>
              <w:top w:w="80" w:type="dxa"/>
              <w:start w:w="120" w:type="dxa"/>
              <w:bottom w:w="80" w:type="dxa"/>
              <w:end w:w="120" w:type="dxa"/>
            </w:tcMar>
            <w:shd w:fill="F2F4F7"/>
            <w:vAlign w:val="center"/>
          </w:tcPr>
          <w:p>
            <w:pPr>
              <w:keepNext/>
              <w:spacing w:after="0"/>
            </w:pPr>
            <w:r>
              <w:rPr>
                <w:rFonts w:ascii="Calibri" w:hAnsi="Calibri"/>
                <w:b/>
                <w:color w:val="0B2545"/>
                <w:sz w:val="16"/>
              </w:rPr>
              <w:t>Decision</w:t>
            </w:r>
          </w:p>
        </w:tc>
        <w:tc>
          <w:tcPr>
            <w:tcW w:type="dxa" w:w="1850"/>
            <w:tcMar>
              <w:top w:w="80" w:type="dxa"/>
              <w:start w:w="120" w:type="dxa"/>
              <w:bottom w:w="80" w:type="dxa"/>
              <w:end w:w="120" w:type="dxa"/>
            </w:tcMar>
            <w:shd w:fill="F2F4F7"/>
            <w:vAlign w:val="center"/>
          </w:tcPr>
          <w:p>
            <w:pPr>
              <w:keepNext/>
              <w:spacing w:after="0"/>
            </w:pPr>
            <w:r>
              <w:rPr>
                <w:rFonts w:ascii="Calibri" w:hAnsi="Calibri"/>
                <w:b/>
                <w:color w:val="0B2545"/>
                <w:sz w:val="16"/>
              </w:rPr>
              <w:t>Status</w:t>
            </w:r>
          </w:p>
        </w:tc>
        <w:tc>
          <w:tcPr>
            <w:tcW w:type="dxa" w:w="3960"/>
            <w:tcMar>
              <w:top w:w="80" w:type="dxa"/>
              <w:start w:w="120" w:type="dxa"/>
              <w:bottom w:w="80" w:type="dxa"/>
              <w:end w:w="120" w:type="dxa"/>
            </w:tcMar>
            <w:shd w:fill="F2F4F7"/>
            <w:vAlign w:val="center"/>
          </w:tcPr>
          <w:p>
            <w:pPr>
              <w:keepNext/>
              <w:spacing w:after="0"/>
            </w:pPr>
            <w:r>
              <w:rPr>
                <w:rFonts w:ascii="Calibri" w:hAnsi="Calibri"/>
                <w:b/>
                <w:color w:val="0B2545"/>
                <w:sz w:val="16"/>
              </w:rPr>
              <w:t>Rationale</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ADR-001</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Evolutionary replacement</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Accepted recommendation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Preserve proven fixed-ops behavior while replacing platform deficiencies</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ADR-002</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Modular monolith first</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Accepted recommendation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Minimize distributed complexity; enforce extraction-ready module seams</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ADR-003</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PostgreSQL/RLS tenancy</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Accepted recommendation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Database-enforced isolation and tenant-qualified referential integrity</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ADR-004</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Transactional outbox</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Accepted recommendation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No business-state/event dual-write gap</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ADR-005</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Managed enterprise identity</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Accepted recommendation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OIDC/SAML/SCIM and assurance instead of custom trust</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ADR-006</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Typed ledgers and immutable versions</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Accepted recommendation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Financial, inventory, and evidence correctness</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ADR-007</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Regulated rails via partners</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Accepted recommendation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Accelerate certification-heavy capabilities</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ADR-008</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Contract-first API/events</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Accepted recommendation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Versioning, generated clients, partner ecosystem</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ADR-009</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Governed copilot AI</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Accepted recommendation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Human control over high-impact decisions</w:t>
            </w:r>
          </w:p>
        </w:tc>
      </w:tr>
      <w:tr>
        <w:trPr>
          <w:trHeight w:hRule="atLeast"/>
          <w:cantSplit/>
          <w:cantSplit/>
          <w:cantSplit/>
          <w:cantSplit/>
        </w:trPr>
        <w:tc>
          <w:tcPr>
            <w:tcW w:type="dxa" w:w="1100"/>
            <w:vAlign w:val="top"/>
            <w:tcMar>
              <w:top w:w="80" w:type="dxa"/>
              <w:start w:w="120" w:type="dxa"/>
              <w:bottom w:w="80" w:type="dxa"/>
              <w:end w:w="120" w:type="dxa"/>
            </w:tcMar>
          </w:tcPr>
          <w:p>
            <w:pPr>
              <w:spacing w:before="0" w:after="40" w:line="240" w:lineRule="auto"/>
            </w:pPr>
            <w:r>
              <w:rPr>
                <w:rFonts w:ascii="Calibri" w:hAnsi="Calibri"/>
                <w:b w:val="0"/>
                <w:color w:val="1F2328"/>
                <w:sz w:val="16"/>
              </w:rPr>
              <w:t>ADR-010</w:t>
            </w:r>
          </w:p>
        </w:tc>
        <w:tc>
          <w:tcPr>
            <w:tcW w:type="dxa" w:w="2450"/>
            <w:vAlign w:val="top"/>
            <w:tcMar>
              <w:top w:w="80" w:type="dxa"/>
              <w:start w:w="120" w:type="dxa"/>
              <w:bottom w:w="80" w:type="dxa"/>
              <w:end w:w="120" w:type="dxa"/>
            </w:tcMar>
          </w:tcPr>
          <w:p>
            <w:pPr>
              <w:spacing w:before="0" w:after="40" w:line="240" w:lineRule="auto"/>
            </w:pPr>
            <w:r>
              <w:rPr>
                <w:rFonts w:ascii="Calibri" w:hAnsi="Calibri"/>
                <w:b w:val="0"/>
                <w:color w:val="1F2328"/>
                <w:sz w:val="16"/>
              </w:rPr>
              <w:t>Initial cloud/provider choices</w:t>
            </w:r>
          </w:p>
        </w:tc>
        <w:tc>
          <w:tcPr>
            <w:tcW w:type="dxa" w:w="1850"/>
            <w:vAlign w:val="top"/>
            <w:tcMar>
              <w:top w:w="80" w:type="dxa"/>
              <w:start w:w="120" w:type="dxa"/>
              <w:bottom w:w="80" w:type="dxa"/>
              <w:end w:w="120" w:type="dxa"/>
            </w:tcMar>
          </w:tcPr>
          <w:p>
            <w:pPr>
              <w:spacing w:before="0" w:after="40" w:line="240" w:lineRule="auto"/>
            </w:pPr>
            <w:r>
              <w:rPr>
                <w:rFonts w:ascii="Calibri" w:hAnsi="Calibri"/>
                <w:b w:val="0"/>
                <w:color w:val="1F2328"/>
                <w:sz w:val="16"/>
              </w:rPr>
              <w:t>Open</w:t>
            </w:r>
          </w:p>
        </w:tc>
        <w:tc>
          <w:tcPr>
            <w:tcW w:type="dxa" w:w="3960"/>
            <w:vAlign w:val="top"/>
            <w:tcMar>
              <w:top w:w="80" w:type="dxa"/>
              <w:start w:w="120" w:type="dxa"/>
              <w:bottom w:w="80" w:type="dxa"/>
              <w:end w:w="120" w:type="dxa"/>
            </w:tcMar>
          </w:tcPr>
          <w:p>
            <w:pPr>
              <w:spacing w:before="0" w:after="40" w:line="240" w:lineRule="auto"/>
            </w:pPr>
            <w:r>
              <w:rPr>
                <w:rFonts w:ascii="Calibri" w:hAnsi="Calibri"/>
                <w:b w:val="0"/>
                <w:color w:val="1F2328"/>
                <w:sz w:val="16"/>
              </w:rPr>
              <w:t>Select with cost, region, managed services, team experience, and controls</w:t>
            </w:r>
          </w:p>
        </w:tc>
      </w:tr>
    </w:tbl>
    <w:p>
      <w:pPr>
        <w:spacing w:after="0"/>
      </w:pPr>
    </w:p>
    <w:p>
      <w:r>
        <w:br w:type="page"/>
      </w:r>
    </w:p>
    <w:p>
      <w:pPr>
        <w:pStyle w:val="Heading1"/>
      </w:pPr>
      <w:r>
        <w:t>Appendix C — Primary Market and Regulatory Sources</w:t>
      </w:r>
    </w:p>
    <w:p>
      <w:pPr>
        <w:spacing w:before="0" w:after="120" w:line="264" w:lineRule="auto"/>
      </w:pPr>
      <w:r>
        <w:rPr>
          <w:rFonts w:ascii="Calibri" w:hAnsi="Calibri"/>
          <w:b w:val="0"/>
          <w:i/>
          <w:color w:val="5B6573"/>
          <w:sz w:val="19"/>
        </w:rPr>
        <w:t>Sources were accessed July 30, 2026. Product pages establish current marketed scope; they do not independently prove implementation quality. Regulatory sources are primary guidance/regulation entry points and must be interpreted with counsel.</w:t>
      </w:r>
    </w:p>
    <w:p>
      <w:pPr>
        <w:spacing w:after="80"/>
      </w:pPr>
      <w:r>
        <w:rPr>
          <w:rFonts w:ascii="Calibri" w:hAnsi="Calibri"/>
          <w:b/>
          <w:color w:val="0B2545"/>
          <w:sz w:val="19"/>
        </w:rPr>
        <w:t xml:space="preserve">M1  Tekion Automotive Retail Cloud. </w:t>
      </w:r>
      <w:hyperlink r:id="rId11">
        <w:r>
          <w:rPr>
            <w:color w:val="2E74B5"/>
            <w:u w:val="single"/>
            <w:rFonts w:ascii="Calibri" w:hAnsi="Calibri"/>
          </w:rPr>
          <w:t>https://tekion.com/products/arc</w:t>
        </w:r>
      </w:hyperlink>
      <w:r>
        <w:rPr>
          <w:rFonts w:ascii="Calibri" w:hAnsi="Calibri"/>
          <w:color w:val="5B6573"/>
          <w:sz w:val="19"/>
        </w:rPr>
        <w:t xml:space="preserve"> — Unified DMS, sales, service, parts, F&amp;I, accounting and adjacent cloud products.</w:t>
      </w:r>
    </w:p>
    <w:p>
      <w:pPr>
        <w:spacing w:after="80"/>
      </w:pPr>
      <w:r>
        <w:rPr>
          <w:rFonts w:ascii="Calibri" w:hAnsi="Calibri"/>
          <w:b/>
          <w:color w:val="0B2545"/>
          <w:sz w:val="19"/>
        </w:rPr>
        <w:t xml:space="preserve">M2  Tekion. </w:t>
      </w:r>
      <w:hyperlink r:id="rId12">
        <w:r>
          <w:rPr>
            <w:color w:val="2E74B5"/>
            <w:u w:val="single"/>
            <w:rFonts w:ascii="Calibri" w:hAnsi="Calibri"/>
          </w:rPr>
          <w:t>https://tekion.com/</w:t>
        </w:r>
      </w:hyperlink>
      <w:r>
        <w:rPr>
          <w:rFonts w:ascii="Calibri" w:hAnsi="Calibri"/>
          <w:color w:val="5B6573"/>
          <w:sz w:val="19"/>
        </w:rPr>
        <w:t xml:space="preserve"> — AI-native platform positioning across DMS, CRM, digital retail, and service.</w:t>
      </w:r>
    </w:p>
    <w:p>
      <w:pPr>
        <w:spacing w:after="80"/>
      </w:pPr>
      <w:r>
        <w:rPr>
          <w:rFonts w:ascii="Calibri" w:hAnsi="Calibri"/>
          <w:b/>
          <w:color w:val="0B2545"/>
          <w:sz w:val="19"/>
        </w:rPr>
        <w:t xml:space="preserve">M3  CDK Global. </w:t>
      </w:r>
      <w:hyperlink r:id="rId13">
        <w:r>
          <w:rPr>
            <w:color w:val="2E74B5"/>
            <w:u w:val="single"/>
            <w:rFonts w:ascii="Calibri" w:hAnsi="Calibri"/>
          </w:rPr>
          <w:t>https://www.cdkglobal.com/</w:t>
        </w:r>
      </w:hyperlink>
      <w:r>
        <w:rPr>
          <w:rFonts w:ascii="Calibri" w:hAnsi="Calibri"/>
          <w:color w:val="5B6573"/>
          <w:sz w:val="19"/>
        </w:rPr>
        <w:t xml:space="preserve"> — Digital retail, CRM, F&amp;I, DMS, fixed operations, and intelligence product scope.</w:t>
      </w:r>
    </w:p>
    <w:p>
      <w:pPr>
        <w:spacing w:after="80"/>
      </w:pPr>
      <w:r>
        <w:rPr>
          <w:rFonts w:ascii="Calibri" w:hAnsi="Calibri"/>
          <w:b/>
          <w:color w:val="0B2545"/>
          <w:sz w:val="19"/>
        </w:rPr>
        <w:t xml:space="preserve">M4  CDK Dealer Management System. </w:t>
      </w:r>
      <w:hyperlink r:id="rId14">
        <w:r>
          <w:rPr>
            <w:color w:val="2E74B5"/>
            <w:u w:val="single"/>
            <w:rFonts w:ascii="Calibri" w:hAnsi="Calibri"/>
          </w:rPr>
          <w:t>https://www.cdkglobal.com/dms</w:t>
        </w:r>
      </w:hyperlink>
      <w:r>
        <w:rPr>
          <w:rFonts w:ascii="Calibri" w:hAnsi="Calibri"/>
          <w:color w:val="5B6573"/>
          <w:sz w:val="19"/>
        </w:rPr>
        <w:t xml:space="preserve"> — DMS and connected service/payment capabilities.</w:t>
      </w:r>
    </w:p>
    <w:p>
      <w:pPr>
        <w:spacing w:after="80"/>
      </w:pPr>
      <w:r>
        <w:rPr>
          <w:rFonts w:ascii="Calibri" w:hAnsi="Calibri"/>
          <w:b/>
          <w:color w:val="0B2545"/>
          <w:sz w:val="19"/>
        </w:rPr>
        <w:t xml:space="preserve">M5  Dealertrack Dealer Management Solutions. </w:t>
      </w:r>
      <w:hyperlink r:id="rId15">
        <w:r>
          <w:rPr>
            <w:color w:val="2E74B5"/>
            <w:u w:val="single"/>
            <w:rFonts w:ascii="Calibri" w:hAnsi="Calibri"/>
          </w:rPr>
          <w:t>https://us.dealertrack.com/content/dealertrack/en/dealer-management-solutions.html</w:t>
        </w:r>
      </w:hyperlink>
      <w:r>
        <w:rPr>
          <w:rFonts w:ascii="Calibri" w:hAnsi="Calibri"/>
          <w:color w:val="5B6573"/>
          <w:sz w:val="19"/>
        </w:rPr>
        <w:t xml:space="preserve"> — Cloud DMS and integration positioning.</w:t>
      </w:r>
    </w:p>
    <w:p>
      <w:pPr>
        <w:spacing w:after="80"/>
      </w:pPr>
      <w:r>
        <w:rPr>
          <w:rFonts w:ascii="Calibri" w:hAnsi="Calibri"/>
          <w:b/>
          <w:color w:val="0B2545"/>
          <w:sz w:val="19"/>
        </w:rPr>
        <w:t xml:space="preserve">M6  Dealertrack. </w:t>
      </w:r>
      <w:hyperlink r:id="rId16">
        <w:r>
          <w:rPr>
            <w:color w:val="2E74B5"/>
            <w:u w:val="single"/>
            <w:rFonts w:ascii="Calibri" w:hAnsi="Calibri"/>
          </w:rPr>
          <w:t>https://us.dealertrack.com/</w:t>
        </w:r>
      </w:hyperlink>
      <w:r>
        <w:rPr>
          <w:rFonts w:ascii="Calibri" w:hAnsi="Calibri"/>
          <w:color w:val="5B6573"/>
          <w:sz w:val="19"/>
        </w:rPr>
        <w:t xml:space="preserve"> — DMS/F&amp;I/lender ecosystem and contracting surface.</w:t>
      </w:r>
    </w:p>
    <w:p>
      <w:pPr>
        <w:spacing w:after="80"/>
      </w:pPr>
      <w:r>
        <w:rPr>
          <w:rFonts w:ascii="Calibri" w:hAnsi="Calibri"/>
          <w:b/>
          <w:color w:val="0B2545"/>
          <w:sz w:val="19"/>
        </w:rPr>
        <w:t xml:space="preserve">M7  Reynolds ERA-IGNITE. </w:t>
      </w:r>
      <w:hyperlink r:id="rId17">
        <w:r>
          <w:rPr>
            <w:color w:val="2E74B5"/>
            <w:u w:val="single"/>
            <w:rFonts w:ascii="Calibri" w:hAnsi="Calibri"/>
          </w:rPr>
          <w:t>https://www.reyrey.com/solutions/retail-management-system/era-ignite</w:t>
        </w:r>
      </w:hyperlink>
      <w:r>
        <w:rPr>
          <w:rFonts w:ascii="Calibri" w:hAnsi="Calibri"/>
          <w:color w:val="5B6573"/>
          <w:sz w:val="19"/>
        </w:rPr>
        <w:t xml:space="preserve"> — Connected customer, vehicle, and transaction record positioning.</w:t>
      </w:r>
    </w:p>
    <w:p>
      <w:pPr>
        <w:spacing w:after="80"/>
      </w:pPr>
      <w:r>
        <w:rPr>
          <w:rFonts w:ascii="Calibri" w:hAnsi="Calibri"/>
          <w:b/>
          <w:color w:val="0B2545"/>
          <w:sz w:val="19"/>
        </w:rPr>
        <w:t xml:space="preserve">M8  Auto/Mate DMS. </w:t>
      </w:r>
      <w:hyperlink r:id="rId18">
        <w:r>
          <w:rPr>
            <w:color w:val="2E74B5"/>
            <w:u w:val="single"/>
            <w:rFonts w:ascii="Calibri" w:hAnsi="Calibri"/>
          </w:rPr>
          <w:t>https://automate.com/dms/</w:t>
        </w:r>
      </w:hyperlink>
      <w:r>
        <w:rPr>
          <w:rFonts w:ascii="Calibri" w:hAnsi="Calibri"/>
          <w:color w:val="5B6573"/>
          <w:sz w:val="19"/>
        </w:rPr>
        <w:t xml:space="preserve"> — Integrated accounting, sales, F&amp;I, parts, and service scope.</w:t>
      </w:r>
    </w:p>
    <w:p>
      <w:pPr>
        <w:spacing w:after="80"/>
      </w:pPr>
      <w:r>
        <w:rPr>
          <w:rFonts w:ascii="Calibri" w:hAnsi="Calibri"/>
          <w:b/>
          <w:color w:val="0B2545"/>
          <w:sz w:val="19"/>
        </w:rPr>
        <w:t xml:space="preserve">M9  Fortellis. </w:t>
      </w:r>
      <w:hyperlink r:id="rId19">
        <w:r>
          <w:rPr>
            <w:color w:val="2E74B5"/>
            <w:u w:val="single"/>
            <w:rFonts w:ascii="Calibri" w:hAnsi="Calibri"/>
          </w:rPr>
          <w:t>https://fortellis.io/</w:t>
        </w:r>
      </w:hyperlink>
      <w:r>
        <w:rPr>
          <w:rFonts w:ascii="Calibri" w:hAnsi="Calibri"/>
          <w:color w:val="5B6573"/>
          <w:sz w:val="19"/>
        </w:rPr>
        <w:t xml:space="preserve"> — Dealership API marketplace and ecosystem scale.</w:t>
      </w:r>
    </w:p>
    <w:p>
      <w:pPr>
        <w:spacing w:after="80"/>
      </w:pPr>
      <w:r>
        <w:rPr>
          <w:rFonts w:ascii="Calibri" w:hAnsi="Calibri"/>
          <w:b/>
          <w:color w:val="0B2545"/>
          <w:sz w:val="19"/>
        </w:rPr>
        <w:t xml:space="preserve">M10  VinSolutions. </w:t>
      </w:r>
      <w:hyperlink r:id="rId20">
        <w:r>
          <w:rPr>
            <w:color w:val="2E74B5"/>
            <w:u w:val="single"/>
            <w:rFonts w:ascii="Calibri" w:hAnsi="Calibri"/>
          </w:rPr>
          <w:t>https://www.vinsolutions.com/</w:t>
        </w:r>
      </w:hyperlink>
      <w:r>
        <w:rPr>
          <w:rFonts w:ascii="Calibri" w:hAnsi="Calibri"/>
          <w:color w:val="5B6573"/>
          <w:sz w:val="19"/>
        </w:rPr>
        <w:t xml:space="preserve"> — CRM, marketing, desking, and AI-assisted retail scope.</w:t>
      </w:r>
    </w:p>
    <w:p>
      <w:pPr>
        <w:spacing w:after="80"/>
      </w:pPr>
      <w:r>
        <w:rPr>
          <w:rFonts w:ascii="Calibri" w:hAnsi="Calibri"/>
          <w:b/>
          <w:color w:val="0B2545"/>
          <w:sz w:val="19"/>
        </w:rPr>
        <w:t xml:space="preserve">M11  RouteOne Credit Application System. </w:t>
      </w:r>
      <w:hyperlink r:id="rId21">
        <w:r>
          <w:rPr>
            <w:color w:val="2E74B5"/>
            <w:u w:val="single"/>
            <w:rFonts w:ascii="Calibri" w:hAnsi="Calibri"/>
          </w:rPr>
          <w:t>https://www.routeone.com/dealers/credit/credit-application-system</w:t>
        </w:r>
      </w:hyperlink>
      <w:r>
        <w:rPr>
          <w:rFonts w:ascii="Calibri" w:hAnsi="Calibri"/>
          <w:color w:val="5B6573"/>
          <w:sz w:val="19"/>
        </w:rPr>
        <w:t xml:space="preserve"> — Dealer credit, contracting, and compliance workflow.</w:t>
      </w:r>
    </w:p>
    <w:p>
      <w:pPr>
        <w:spacing w:after="80"/>
      </w:pPr>
      <w:r>
        <w:rPr>
          <w:rFonts w:ascii="Calibri" w:hAnsi="Calibri"/>
          <w:b/>
          <w:color w:val="0B2545"/>
          <w:sz w:val="19"/>
        </w:rPr>
        <w:t xml:space="preserve">C1  FTC: Automobile Dealers and the Safeguards Rule FAQ. </w:t>
      </w:r>
      <w:hyperlink r:id="rId22">
        <w:r>
          <w:rPr>
            <w:color w:val="2E74B5"/>
            <w:u w:val="single"/>
            <w:rFonts w:ascii="Calibri" w:hAnsi="Calibri"/>
          </w:rPr>
          <w:t>https://www.ftc.gov/business-guidance/resources/automobile-dealers-ftcs-safeguards-rule-frequently-asked-questions</w:t>
        </w:r>
      </w:hyperlink>
      <w:r>
        <w:rPr>
          <w:rFonts w:ascii="Calibri" w:hAnsi="Calibri"/>
          <w:color w:val="5B6573"/>
          <w:sz w:val="19"/>
        </w:rPr>
        <w:t xml:space="preserve"> — Dealer-specific Safeguards Rule and breach-notification guidance.</w:t>
      </w:r>
    </w:p>
    <w:p>
      <w:pPr>
        <w:spacing w:after="80"/>
      </w:pPr>
      <w:r>
        <w:rPr>
          <w:rFonts w:ascii="Calibri" w:hAnsi="Calibri"/>
          <w:b/>
          <w:color w:val="0B2545"/>
          <w:sz w:val="19"/>
        </w:rPr>
        <w:t xml:space="preserve">C2  FTC: Safeguards Rule — What Your Business Needs to Know. </w:t>
      </w:r>
      <w:hyperlink r:id="rId23">
        <w:r>
          <w:rPr>
            <w:color w:val="2E74B5"/>
            <w:u w:val="single"/>
            <w:rFonts w:ascii="Calibri" w:hAnsi="Calibri"/>
          </w:rPr>
          <w:t>https://www.ftc.gov/business-guidance/resources/ftc-safeguards-rule-what-your-business-needs-know</w:t>
        </w:r>
      </w:hyperlink>
      <w:r>
        <w:rPr>
          <w:rFonts w:ascii="Calibri" w:hAnsi="Calibri"/>
          <w:color w:val="5B6573"/>
          <w:sz w:val="19"/>
        </w:rPr>
        <w:t xml:space="preserve"> — Security program and control guidance, including MFA.</w:t>
      </w:r>
    </w:p>
    <w:p>
      <w:pPr>
        <w:spacing w:after="80"/>
      </w:pPr>
      <w:r>
        <w:rPr>
          <w:rFonts w:ascii="Calibri" w:hAnsi="Calibri"/>
          <w:b/>
          <w:color w:val="0B2545"/>
          <w:sz w:val="19"/>
        </w:rPr>
        <w:t xml:space="preserve">C3  FTC: Red Flags Rule. </w:t>
      </w:r>
      <w:hyperlink r:id="rId24">
        <w:r>
          <w:rPr>
            <w:color w:val="2E74B5"/>
            <w:u w:val="single"/>
            <w:rFonts w:ascii="Calibri" w:hAnsi="Calibri"/>
          </w:rPr>
          <w:t>https://www.ftc.gov/business-guidance/privacy-security/red-flags-rule</w:t>
        </w:r>
      </w:hyperlink>
      <w:r>
        <w:rPr>
          <w:rFonts w:ascii="Calibri" w:hAnsi="Calibri"/>
          <w:color w:val="5B6573"/>
          <w:sz w:val="19"/>
        </w:rPr>
        <w:t xml:space="preserve"> — Identity theft prevention program guidance.</w:t>
      </w:r>
    </w:p>
    <w:p>
      <w:pPr>
        <w:spacing w:after="80"/>
      </w:pPr>
      <w:r>
        <w:rPr>
          <w:rFonts w:ascii="Calibri" w:hAnsi="Calibri"/>
          <w:b/>
          <w:color w:val="0B2545"/>
          <w:sz w:val="19"/>
        </w:rPr>
        <w:t xml:space="preserve">C4  PCI Security Standards Council: PCI DSS. </w:t>
      </w:r>
      <w:hyperlink r:id="rId25">
        <w:r>
          <w:rPr>
            <w:color w:val="2E74B5"/>
            <w:u w:val="single"/>
            <w:rFonts w:ascii="Calibri" w:hAnsi="Calibri"/>
          </w:rPr>
          <w:t>https://www.pcisecuritystandards.org/standards/pci-dss/</w:t>
        </w:r>
      </w:hyperlink>
      <w:r>
        <w:rPr>
          <w:rFonts w:ascii="Calibri" w:hAnsi="Calibri"/>
          <w:color w:val="5B6573"/>
          <w:sz w:val="19"/>
        </w:rPr>
        <w:t xml:space="preserve"> — Payment account data security standard entry point.</w:t>
      </w:r>
    </w:p>
    <w:p>
      <w:pPr>
        <w:spacing w:after="80"/>
      </w:pPr>
      <w:r>
        <w:rPr>
          <w:rFonts w:ascii="Calibri" w:hAnsi="Calibri"/>
          <w:b/>
          <w:color w:val="0B2545"/>
          <w:sz w:val="19"/>
        </w:rPr>
        <w:t xml:space="preserve">C5  CFPB: Regulation B §1002.9. </w:t>
      </w:r>
      <w:hyperlink r:id="rId26">
        <w:r>
          <w:rPr>
            <w:color w:val="2E74B5"/>
            <w:u w:val="single"/>
            <w:rFonts w:ascii="Calibri" w:hAnsi="Calibri"/>
          </w:rPr>
          <w:t>https://www.consumerfinance.gov/rules-policy/regulations/1002/9</w:t>
        </w:r>
      </w:hyperlink>
      <w:r>
        <w:rPr>
          <w:rFonts w:ascii="Calibri" w:hAnsi="Calibri"/>
          <w:color w:val="5B6573"/>
          <w:sz w:val="19"/>
        </w:rPr>
        <w:t xml:space="preserve"> — Action-taken and adverse-action notification requirements.</w:t>
      </w:r>
    </w:p>
    <w:p>
      <w:pPr>
        <w:spacing w:after="80"/>
      </w:pPr>
      <w:r>
        <w:rPr>
          <w:rFonts w:ascii="Calibri" w:hAnsi="Calibri"/>
          <w:b/>
          <w:color w:val="0B2545"/>
          <w:sz w:val="19"/>
        </w:rPr>
        <w:t xml:space="preserve">C6  FTC: Using Consumer Reports for Credit Decisions. </w:t>
      </w:r>
      <w:hyperlink r:id="rId27">
        <w:r>
          <w:rPr>
            <w:color w:val="2E74B5"/>
            <w:u w:val="single"/>
            <w:rFonts w:ascii="Calibri" w:hAnsi="Calibri"/>
          </w:rPr>
          <w:t>https://www.ftc.gov/business-guidance/resources/using-consumer-reports-credit-decisions-what-know-about-adverse-action-risk-based-pricing-notices</w:t>
        </w:r>
      </w:hyperlink>
      <w:r>
        <w:rPr>
          <w:rFonts w:ascii="Calibri" w:hAnsi="Calibri"/>
          <w:color w:val="5B6573"/>
          <w:sz w:val="19"/>
        </w:rPr>
        <w:t xml:space="preserve"> — Adverse action and risk-based pricing notice guidance.</w:t>
      </w:r>
    </w:p>
    <w:p>
      <w:pPr>
        <w:spacing w:after="80"/>
      </w:pPr>
      <w:r>
        <w:rPr>
          <w:rFonts w:ascii="Calibri" w:hAnsi="Calibri"/>
          <w:b/>
          <w:color w:val="0B2545"/>
          <w:sz w:val="19"/>
        </w:rPr>
        <w:t xml:space="preserve">C7  IRS: Form 8300 Motor Vehicle Dealership Q&amp;A. </w:t>
      </w:r>
      <w:hyperlink r:id="rId28">
        <w:r>
          <w:rPr>
            <w:color w:val="2E74B5"/>
            <w:u w:val="single"/>
            <w:rFonts w:ascii="Calibri" w:hAnsi="Calibri"/>
          </w:rPr>
          <w:t>https://www.irs.gov/businesses/small-businesses-self-employed/report-of-cash-payments-over-10000-received-in-a-trade-or-business-motor-vehicle-dealership-qas</w:t>
        </w:r>
      </w:hyperlink>
      <w:r>
        <w:rPr>
          <w:rFonts w:ascii="Calibri" w:hAnsi="Calibri"/>
          <w:color w:val="5B6573"/>
          <w:sz w:val="19"/>
        </w:rPr>
        <w:t xml:space="preserve"> — Dealer-specific cash reporting guidance.</w:t>
      </w:r>
    </w:p>
    <w:p>
      <w:pPr>
        <w:spacing w:after="80"/>
      </w:pPr>
      <w:r>
        <w:rPr>
          <w:rFonts w:ascii="Calibri" w:hAnsi="Calibri"/>
          <w:b/>
          <w:color w:val="0B2545"/>
          <w:sz w:val="19"/>
        </w:rPr>
        <w:t xml:space="preserve">C8  OFAC Sanctions List Search. </w:t>
      </w:r>
      <w:hyperlink r:id="rId29">
        <w:r>
          <w:rPr>
            <w:color w:val="2E74B5"/>
            <w:u w:val="single"/>
            <w:rFonts w:ascii="Calibri" w:hAnsi="Calibri"/>
          </w:rPr>
          <w:t>https://ofac.treasury.gov/sanctions-list-search-tool</w:t>
        </w:r>
      </w:hyperlink>
      <w:r>
        <w:rPr>
          <w:rFonts w:ascii="Calibri" w:hAnsi="Calibri"/>
          <w:color w:val="5B6573"/>
          <w:sz w:val="19"/>
        </w:rPr>
        <w:t xml:space="preserve"> — Official sanctions search entry point; production use needs a risk-based compliance process.</w:t>
      </w:r>
    </w:p>
    <w:p>
      <w:pPr>
        <w:pStyle w:val="Heading1"/>
      </w:pPr>
      <w:r>
        <w:t>Appendix D — Glossary</w:t>
      </w:r>
    </w:p>
    <w:tbl>
      <w:tblPr>
        <w:tblW w:type="dxa" w:w="9360"/>
        <w:jc w:val="left"/>
        <w:tblLayout w:type="fixed"/>
        <w:tblLook w:firstColumn="1" w:firstRow="1" w:lastColumn="0" w:lastRow="0" w:noHBand="0" w:noVBand="1" w:val="04A0"/>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300"/>
        <w:gridCol w:w="7060"/>
      </w:tblGrid>
      <w:tr>
        <w:trPr>
          <w:cantSplit/>
          <w:tblHeader w:val="true"/>
        </w:trPr>
        <w:tc>
          <w:tcPr>
            <w:tcW w:type="dxa" w:w="2300"/>
            <w:tcMar>
              <w:top w:w="80" w:type="dxa"/>
              <w:start w:w="120" w:type="dxa"/>
              <w:bottom w:w="80" w:type="dxa"/>
              <w:end w:w="120" w:type="dxa"/>
            </w:tcMar>
            <w:shd w:fill="F2F4F7"/>
            <w:vAlign w:val="center"/>
          </w:tcPr>
          <w:p>
            <w:pPr>
              <w:keepNext/>
              <w:spacing w:after="0"/>
            </w:pPr>
            <w:r>
              <w:rPr>
                <w:rFonts w:ascii="Calibri" w:hAnsi="Calibri"/>
                <w:b/>
                <w:color w:val="0B2545"/>
                <w:sz w:val="17"/>
              </w:rPr>
              <w:t>Term</w:t>
            </w:r>
          </w:p>
        </w:tc>
        <w:tc>
          <w:tcPr>
            <w:tcW w:type="dxa" w:w="7060"/>
            <w:tcMar>
              <w:top w:w="80" w:type="dxa"/>
              <w:start w:w="120" w:type="dxa"/>
              <w:bottom w:w="80" w:type="dxa"/>
              <w:end w:w="120" w:type="dxa"/>
            </w:tcMar>
            <w:shd w:fill="F2F4F7"/>
            <w:vAlign w:val="center"/>
          </w:tcPr>
          <w:p>
            <w:pPr>
              <w:keepNext/>
              <w:spacing w:after="0"/>
            </w:pPr>
            <w:r>
              <w:rPr>
                <w:rFonts w:ascii="Calibri" w:hAnsi="Calibri"/>
                <w:b/>
                <w:color w:val="0B2545"/>
                <w:sz w:val="17"/>
              </w:rPr>
              <w:t>Meaning</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ABAC</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Attribute-based access control</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ADR</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Architecture Decision Record</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BDC</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Business development center</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CDC</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Change data capture</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DMS</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Dealer management system</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DVI / MPI</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Digital or multipoint vehicle inspection</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F&amp;I</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Finance and insurance</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GL</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General ledger</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OIDC / SAML / SCIM</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Identity federation and provisioning standards</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PITR</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Point-in-time database recovery</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RLS</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PostgreSQL Row-Level Security</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RO</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Repair order</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RPO / RTO</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Recovery point / recovery time objective</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SLO</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Service-level objective</w:t>
            </w:r>
          </w:p>
        </w:tc>
      </w:tr>
      <w:tr>
        <w:trPr>
          <w:trHeight w:hRule="atLeast"/>
          <w:cantSplit/>
          <w:cantSplit/>
        </w:trPr>
        <w:tc>
          <w:tcPr>
            <w:tcW w:type="dxa" w:w="2300"/>
            <w:vAlign w:val="top"/>
            <w:tcMar>
              <w:top w:w="80" w:type="dxa"/>
              <w:start w:w="120" w:type="dxa"/>
              <w:bottom w:w="80" w:type="dxa"/>
              <w:end w:w="120" w:type="dxa"/>
            </w:tcMar>
          </w:tcPr>
          <w:p>
            <w:pPr>
              <w:spacing w:before="0" w:after="40" w:line="240" w:lineRule="auto"/>
            </w:pPr>
            <w:r>
              <w:rPr>
                <w:rFonts w:ascii="Calibri" w:hAnsi="Calibri"/>
                <w:b w:val="0"/>
                <w:color w:val="1F2328"/>
                <w:sz w:val="17"/>
              </w:rPr>
              <w:t>WIP</w:t>
            </w:r>
          </w:p>
        </w:tc>
        <w:tc>
          <w:tcPr>
            <w:tcW w:type="dxa" w:w="7060"/>
            <w:vAlign w:val="top"/>
            <w:tcMar>
              <w:top w:w="80" w:type="dxa"/>
              <w:start w:w="120" w:type="dxa"/>
              <w:bottom w:w="80" w:type="dxa"/>
              <w:end w:w="120" w:type="dxa"/>
            </w:tcMar>
          </w:tcPr>
          <w:p>
            <w:pPr>
              <w:spacing w:before="0" w:after="40" w:line="240" w:lineRule="auto"/>
            </w:pPr>
            <w:r>
              <w:rPr>
                <w:rFonts w:ascii="Calibri" w:hAnsi="Calibri"/>
                <w:b w:val="0"/>
                <w:color w:val="1F2328"/>
                <w:sz w:val="17"/>
              </w:rPr>
              <w:t>Work in progress</w:t>
            </w:r>
          </w:p>
        </w:tc>
      </w:tr>
    </w:tbl>
    <w:p>
      <w:pPr>
        <w:spacing w:after="0"/>
      </w:pPr>
    </w:p>
    <w:p>
      <w:pPr>
        <w:spacing w:before="480" w:after="0" w:line="264" w:lineRule="auto"/>
        <w:jc w:val="center"/>
      </w:pPr>
      <w:r>
        <w:rPr>
          <w:rFonts w:ascii="Calibri" w:hAnsi="Calibri"/>
          <w:b w:val="0"/>
          <w:i/>
          <w:color w:val="5B6573"/>
          <w:sz w:val="18"/>
        </w:rPr>
        <w:t>End of blueprint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Page </w:t>
    </w:r>
    <w:r>
      <w:rPr>
        <w:rFonts w:ascii="Calibri" w:hAnsi="Calibri"/>
        <w:color w:val="5B6573"/>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4" w:space="4" w:color="CBD3DC"/>
      </w:pBdr>
    </w:pPr>
    <w:r>
      <w:rPr>
        <w:rFonts w:ascii="Calibri" w:hAnsi="Calibri"/>
        <w:b/>
        <w:color w:val="5B6573"/>
        <w:sz w:val="17"/>
      </w:rPr>
      <w:t>DEALERSHIP CLOUD  |  ARCHITECTURE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0">
    <w:multiLevelType w:val="singleLevel"/>
    <w:lvl w:ilvl="0">
      <w:start w:val="1"/>
      <w:numFmt w:val="bullet"/>
      <w:lvlText w:val="•"/>
      <w:lvlJc w:val="left"/>
      <w:pPr>
        <w:tabs>
          <w:tab w:val="num" w:pos="720"/>
        </w:tabs>
        <w:ind w:left="720" w:hanging="360"/>
        <w:spacing w:before="0" w:after="160" w:line="280" w:lineRule="auto"/>
      </w:pPr>
    </w:lvl>
  </w:abstractNum>
  <w:num w:numId="900">
    <w:abstractNumId w:val="900"/>
  </w:num>
  <w:abstractNum w:abstractNumId="901">
    <w:multiLevelType w:val="singleLevel"/>
    <w:lvl w:ilvl="0">
      <w:start w:val="1"/>
      <w:numFmt w:val="decimal"/>
      <w:lvlText w:val="%1."/>
      <w:lvlJc w:val="left"/>
      <w:pPr>
        <w:tabs>
          <w:tab w:val="num" w:pos="720"/>
        </w:tabs>
        <w:ind w:left="720" w:hanging="360"/>
        <w:spacing w:before="0" w:after="160" w:line="280" w:lineRule="auto"/>
      </w:pPr>
    </w:lvl>
  </w:abstractNum>
  <w:num w:numId="901">
    <w:abstractNumId w:val="9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color w:val="1F23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ilvl w:val="0"/>
        <w:numId w:val="900"/>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ilvl w:val="0"/>
        <w:numId w:val="901"/>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ekion.com/products/arc" TargetMode="External"/><Relationship Id="rId12" Type="http://schemas.openxmlformats.org/officeDocument/2006/relationships/hyperlink" Target="https://tekion.com/" TargetMode="External"/><Relationship Id="rId13" Type="http://schemas.openxmlformats.org/officeDocument/2006/relationships/hyperlink" Target="https://www.cdkglobal.com/" TargetMode="External"/><Relationship Id="rId14" Type="http://schemas.openxmlformats.org/officeDocument/2006/relationships/hyperlink" Target="https://www.cdkglobal.com/dms" TargetMode="External"/><Relationship Id="rId15" Type="http://schemas.openxmlformats.org/officeDocument/2006/relationships/hyperlink" Target="https://us.dealertrack.com/content/dealertrack/en/dealer-management-solutions.html" TargetMode="External"/><Relationship Id="rId16" Type="http://schemas.openxmlformats.org/officeDocument/2006/relationships/hyperlink" Target="https://us.dealertrack.com/" TargetMode="External"/><Relationship Id="rId17" Type="http://schemas.openxmlformats.org/officeDocument/2006/relationships/hyperlink" Target="https://www.reyrey.com/solutions/retail-management-system/era-ignite" TargetMode="External"/><Relationship Id="rId18" Type="http://schemas.openxmlformats.org/officeDocument/2006/relationships/hyperlink" Target="https://automate.com/dms/" TargetMode="External"/><Relationship Id="rId19" Type="http://schemas.openxmlformats.org/officeDocument/2006/relationships/hyperlink" Target="https://fortellis.io/" TargetMode="External"/><Relationship Id="rId20" Type="http://schemas.openxmlformats.org/officeDocument/2006/relationships/hyperlink" Target="https://www.vinsolutions.com/" TargetMode="External"/><Relationship Id="rId21" Type="http://schemas.openxmlformats.org/officeDocument/2006/relationships/hyperlink" Target="https://www.routeone.com/dealers/credit/credit-application-system" TargetMode="External"/><Relationship Id="rId22" Type="http://schemas.openxmlformats.org/officeDocument/2006/relationships/hyperlink" Target="https://www.ftc.gov/business-guidance/resources/automobile-dealers-ftcs-safeguards-rule-frequently-asked-questions" TargetMode="External"/><Relationship Id="rId23" Type="http://schemas.openxmlformats.org/officeDocument/2006/relationships/hyperlink" Target="https://www.ftc.gov/business-guidance/resources/ftc-safeguards-rule-what-your-business-needs-know" TargetMode="External"/><Relationship Id="rId24" Type="http://schemas.openxmlformats.org/officeDocument/2006/relationships/hyperlink" Target="https://www.ftc.gov/business-guidance/privacy-security/red-flags-rule" TargetMode="External"/><Relationship Id="rId25" Type="http://schemas.openxmlformats.org/officeDocument/2006/relationships/hyperlink" Target="https://www.pcisecuritystandards.org/standards/pci-dss/" TargetMode="External"/><Relationship Id="rId26" Type="http://schemas.openxmlformats.org/officeDocument/2006/relationships/hyperlink" Target="https://www.consumerfinance.gov/rules-policy/regulations/1002/9" TargetMode="External"/><Relationship Id="rId27" Type="http://schemas.openxmlformats.org/officeDocument/2006/relationships/hyperlink" Target="https://www.ftc.gov/business-guidance/resources/using-consumer-reports-credit-decisions-what-know-about-adverse-action-risk-based-pricing-notices" TargetMode="External"/><Relationship Id="rId28" Type="http://schemas.openxmlformats.org/officeDocument/2006/relationships/hyperlink" Target="https://www.irs.gov/businesses/small-businesses-self-employed/report-of-cash-payments-over-10000-received-in-a-trade-or-business-motor-vehicle-dealership-qas" TargetMode="External"/><Relationship Id="rId29" Type="http://schemas.openxmlformats.org/officeDocument/2006/relationships/hyperlink" Target="https://ofac.treasury.gov/sanctions-list-search-to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 Dealership SaaS Architecture Blueprint</dc:title>
  <dc:subject>Repository assessment, target architecture, and Fable implementation program</dc:subject>
  <dc:creator>Senior Software Architecture Review</dc:creator>
  <cp:keywords>DMS, dealership SaaS, fixed operations, architecture, roadmap</cp:keywords>
  <dc:description>Prepared from repository SHA-256 1b8dff3bf159c4bdc45671ee97b839907590df26ea43e7fd14c289f09cd5543d</dc:description>
  <cp:lastModifiedBy/>
  <cp:revision>1</cp:revision>
  <dcterms:created xsi:type="dcterms:W3CDTF">2013-12-23T23:15:00Z</dcterms:created>
  <dcterms:modified xsi:type="dcterms:W3CDTF">2013-12-23T23:15:00Z</dcterms:modified>
  <cp:category/>
</cp:coreProperties>
</file>