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rPr>
      </w:pPr>
      <w:r>
        <w:rPr>
          <w:rFonts w:cs="Times New Roman" w:ascii="Times New Roman" w:hAnsi="Times New Roman"/>
          <w:b/>
          <w:bCs/>
        </w:rPr>
        <w:t>Protocolo de Proyecto de Investigación</w:t>
      </w:r>
    </w:p>
    <w:p>
      <w:pPr>
        <w:pStyle w:val="Normal"/>
        <w:rPr>
          <w:rFonts w:ascii="Times New Roman" w:hAnsi="Times New Roman" w:cs="Times New Roman"/>
          <w:b/>
          <w:bCs/>
        </w:rPr>
      </w:pPr>
      <w:r>
        <w:rPr>
          <w:rFonts w:cs="Times New Roman" w:ascii="Times New Roman" w:hAnsi="Times New Roman"/>
          <w:b/>
          <w:bCs/>
        </w:rPr>
        <w:t>Modelos de Reacción-Difusión acoplada a una red metabólica asociada al cáncer de mamas</w:t>
      </w:r>
    </w:p>
    <w:p>
      <w:pPr>
        <w:pStyle w:val="Normal"/>
        <w:rPr>
          <w:rFonts w:ascii="Times New Roman" w:hAnsi="Times New Roman" w:cs="Times New Roman"/>
        </w:rPr>
      </w:pPr>
      <w:r>
        <w:rPr>
          <w:rFonts w:cs="Times New Roman" w:ascii="Times New Roman" w:hAnsi="Times New Roman"/>
          <w:b/>
          <w:bCs/>
        </w:rPr>
        <w:t xml:space="preserve">Autor: </w:t>
      </w:r>
      <w:r>
        <w:rPr>
          <w:rFonts w:cs="Times New Roman" w:ascii="Times New Roman" w:hAnsi="Times New Roman"/>
        </w:rPr>
        <w:t>Alejandro Guerra González</w:t>
      </w:r>
    </w:p>
    <w:p>
      <w:pPr>
        <w:pStyle w:val="Normal"/>
        <w:rPr>
          <w:rFonts w:ascii="Times New Roman" w:hAnsi="Times New Roman" w:cs="Times New Roman"/>
        </w:rPr>
      </w:pPr>
      <w:r>
        <w:rPr>
          <w:rFonts w:cs="Times New Roman" w:ascii="Times New Roman" w:hAnsi="Times New Roman"/>
          <w:b/>
          <w:bCs/>
        </w:rPr>
        <w:t>Asesor:</w:t>
      </w:r>
      <w:r>
        <w:rPr>
          <w:rFonts w:cs="Times New Roman" w:ascii="Times New Roman" w:hAnsi="Times New Roman"/>
        </w:rPr>
        <w:t xml:space="preserve"> Dr. Erik César Herrera Hernández</w:t>
      </w:r>
    </w:p>
    <w:p>
      <w:pPr>
        <w:pStyle w:val="Normal"/>
        <w:rPr>
          <w:rFonts w:ascii="Times New Roman" w:hAnsi="Times New Roman" w:cs="Times New Roman"/>
        </w:rPr>
      </w:pPr>
      <w:r>
        <w:rPr>
          <w:rFonts w:cs="Times New Roman" w:ascii="Times New Roman" w:hAnsi="Times New Roman"/>
          <w:b/>
          <w:bCs/>
        </w:rPr>
        <w:t xml:space="preserve">1. Resumen </w:t>
      </w:r>
    </w:p>
    <w:p>
      <w:pPr>
        <w:pStyle w:val="Normal"/>
        <w:rPr>
          <w:rFonts w:ascii="Times New Roman" w:hAnsi="Times New Roman" w:cs="Times New Roman"/>
        </w:rPr>
      </w:pPr>
      <w:r>
        <w:rPr>
          <w:rFonts w:cs="Times New Roman" w:ascii="Times New Roman" w:hAnsi="Times New Roman"/>
        </w:rPr>
        <w:t>Este proyecto propone un marco integrado de biología de sistemas para investigar las redes metabólicas del cáncer de mama mediante la combinación de: (1) caracterización topológica como redes complejas, (2) modelado dinámico mediante sistemas de ecuaciones diferenciales ordinarias (SEDO), (3) análisis de sensibilidad paramétrica, y (4) aplicación de la teoría de patrones de Turing mediante la construcción de un Atlas de Turing. El objetivo final es identificar mecanismos de control críticos y patrones espaciales emergentes con potencial relevancia terapéutica.</w:t>
      </w:r>
      <w:r>
        <w:rPr/>
        <w:br/>
        <w:br/>
        <w:t>En particular, el concepto de robustez se abordará como la capacidad de la red metabólica para mantener su funcionalidad frente a perturbaciones paramétricas y estructurales, evaluada mediante análisis de sensibilidad global y simulaciones Monte Carlo.</w:t>
      </w:r>
    </w:p>
    <w:p>
      <w:pPr>
        <w:pStyle w:val="Normal"/>
        <w:rPr>
          <w:rFonts w:ascii="Times New Roman" w:hAnsi="Times New Roman" w:cs="Times New Roman"/>
        </w:rPr>
      </w:pPr>
      <w:r>
        <w:rPr>
          <w:rFonts w:cs="Times New Roman" w:ascii="Times New Roman" w:hAnsi="Times New Roman"/>
          <w:b/>
          <w:bCs/>
        </w:rPr>
        <w:t>2. Introducción y Justificación</w:t>
      </w:r>
      <w:r>
        <w:rPr/>
        <w:br/>
        <w:br/>
        <w:t>Desde el punto de vista teórico, la robustez, modularidad y jerarquía de las redes complejas se interpretan como propiedades emergentes que influyen directamente en la estabilidad dinámica del sistema metabólico y su capacidad adaptativa.</w:t>
      </w:r>
    </w:p>
    <w:p>
      <w:pPr>
        <w:pStyle w:val="Normal"/>
        <w:rPr>
          <w:rFonts w:ascii="Times New Roman" w:hAnsi="Times New Roman" w:cs="Times New Roman"/>
          <w:color w:val="EE0000"/>
        </w:rPr>
      </w:pPr>
      <w:r>
        <w:rPr>
          <w:rFonts w:cs="Times New Roman" w:ascii="Times New Roman" w:hAnsi="Times New Roman"/>
        </w:rPr>
        <w:t>El cáncer de mama es una de las principales causas de mortalidad oncológica a nivel mundial. En 2024, el cáncer de mama fue la primera causa de muerte entre los tumores malignos en México (INEGI, 2025); 99.2 % ocurrieron en mujeres. Esta enfermedad es caracterizada por una heterogeneidad molecular, clínica y metabólica que complica su tratamiento y pronóstico. Una de las características distintivas de las células cancerosas es la reprogramación metabólica, un proceso mediante el cual estas células alteran su metabolismo para sostener la proliferación descontrolada, la supervivencia en condiciones adversas y la invasión tisular. Esta reprogramación implica cambios complejos en las redes de reacciones bioquímicas, las cuales pueden ser estudiadas desde la perspectiva de la biología de sistemas y la teoría de redes complejas.</w:t>
      </w:r>
      <w:sdt>
        <w:sdtPr>
          <w:placeholder>
            <w:docPart w:val="DefaultPlaceholder_-1854013440"/>
          </w:placeholder>
          <w:tag w:val="MENDELEY_CITATION_v3_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"/>
          <w:id w:val="-1404358822"/>
        </w:sdtPr>
        <w:sdtContent>
          <w:r>
            <w:rPr>
              <w:rFonts w:cs="Times New Roman" w:ascii="Times New Roman" w:hAnsi="Times New Roman"/>
            </w:rPr>
          </w:r>
          <w:r>
            <w:rPr>
              <w:rFonts w:eastAsia="Times New Roman" w:ascii="Aptos" w:hAnsi="Aptos"/>
              <w:color w:val="000000"/>
            </w:rPr>
            <w:t>(Hanahan &amp; Weinberg, 2011)</w:t>
          </w:r>
        </w:sdtContent>
      </w:sdt>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Las redes metabólicas son sistemas dinámicos y adaptativos cuyas propiedades emergentes no pueden ser completamente comprendidas únicamente mediante enfoques reduccionistas. La topología de estas redes, es decir, la forma en que se conectan sus componentes (metabolitos, enzimas, reacciones); influye directamente en su funcionamiento, robustez y capacidad de respuesta a perturbaciones </w:t>
      </w:r>
      <w:sdt>
        <w:sdtPr>
          <w:placeholder>
            <w:docPart w:val="DefaultPlaceholder_-1854013440"/>
          </w:placeholder>
          <w:tag w:val="MENDELEY_CITATION_v3_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"/>
          <w:id w:val="-1700471640"/>
        </w:sdtPr>
        <w:sdtContent>
          <w:r>
            <w:rPr>
              <w:rFonts w:cs="Times New Roman" w:ascii="Times New Roman" w:hAnsi="Times New Roman"/>
            </w:rPr>
          </w:r>
          <w:r>
            <w:rPr>
              <w:rFonts w:eastAsia="Times New Roman" w:ascii="Aptos" w:hAnsi="Aptos"/>
              <w:color w:val="000000"/>
            </w:rPr>
            <w:t>(Barabási &amp; Oltvai, 2004)</w:t>
          </w:r>
        </w:sdtContent>
      </w:sdt>
      <w:r>
        <w:rPr>
          <w:rFonts w:cs="Times New Roman" w:ascii="Times New Roman" w:hAnsi="Times New Roman"/>
        </w:rPr>
        <w:t>.</w:t>
      </w:r>
      <w:r>
        <w:rPr>
          <w:rFonts w:cs="Times New Roman" w:ascii="Times New Roman" w:hAnsi="Times New Roman"/>
        </w:rPr>
        <w:t xml:space="preserve"> Sin embargo, la mera caracterización estructural resulta insuficiente para explicar la aparición de patrones espaciales y temporales observados en los tumores, como la distribución heterogénea de metabolitos, gradientes de nutrientes y la zonificación metabólica dentro del microambiente tumoral </w:t>
      </w:r>
      <w:sdt>
        <w:sdtPr>
          <w:placeholder>
            <w:docPart w:val="DefaultPlaceholder_-1854013440"/>
          </w:placeholder>
          <w:tag w:val="MENDELEY_CITATION_v3_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"/>
          <w:id w:val="-1892954007"/>
        </w:sdtPr>
        <w:sdtContent>
          <w:r>
            <w:rPr>
              <w:rFonts w:cs="Times New Roman" w:ascii="Times New Roman" w:hAnsi="Times New Roman"/>
            </w:rPr>
          </w:r>
          <w:r>
            <w:rPr>
              <w:rFonts w:eastAsia="Times New Roman" w:cs="Times New Roman" w:ascii="Times New Roman" w:hAnsi="Times New Roman"/>
              <w:color w:val="000000"/>
            </w:rPr>
            <w:t>(Gatenby &amp; Gillies, 2004; Zhang et al., 2017)</w:t>
          </w:r>
        </w:sdtContent>
      </w:sdt>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En este contexto, la teoría de patrones de Turing ofrece un marco matemático poderoso para entender cómo sistemas homogéneos pueden desarrollar patrones espaciales estables a partir de interacciones entre componentes con diferentes tasas de difusión. Esta teoría se ha aplicado con éxito en biología del desarrollo, ecología y química, pero su integración en el estudio del metabolismo canceroso es aún incipiente. La hipótesis central de este trabajo plantea que las redes metabólicas del cáncer de mama, bajo ciertas condiciones dinámicas y de difusión, pueden exhibir inestabilidades de Turing que conduzcan a la formación de patrones espaciales de concentración de metabolitos. Estos patrones, a su vez, podrían contribuir a la heterogeneidad intratumoral y a la progresión de la enfermedad.</w:t>
      </w:r>
      <w:r>
        <w:rPr>
          <w:rFonts w:cs="Times New Roman" w:ascii="Times New Roman" w:hAnsi="Times New Roman"/>
          <w:color w:val="000000"/>
        </w:rPr>
        <w:t xml:space="preserve"> </w:t>
      </w:r>
      <w:sdt>
        <w:sdtPr>
          <w:placeholder>
            <w:docPart w:val="FC81527C1C3A40DAB47C3475EA5797F3"/>
          </w:placeholder>
          <w:tag w:val="MENDELEY_CITATION_v3_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"/>
          <w:id w:val="-146677497"/>
        </w:sdtPr>
        <w:sdtContent>
          <w:r>
            <w:rPr>
              <w:rFonts w:cs="Times New Roman" w:ascii="Times New Roman" w:hAnsi="Times New Roman"/>
              <w:color w:val="000000"/>
            </w:rPr>
          </w:r>
          <w:r>
            <w:rPr>
              <w:rFonts w:cs="Times New Roman" w:ascii="Times New Roman" w:hAnsi="Times New Roman"/>
              <w:color w:val="000000"/>
            </w:rPr>
            <w:t>(Brennan et al., 2025; Turing, 1990)</w:t>
          </w:r>
        </w:sdtContent>
      </w:sdt>
    </w:p>
    <w:p>
      <w:pPr>
        <w:pStyle w:val="Normal"/>
        <w:rPr>
          <w:rFonts w:ascii="Times New Roman" w:hAnsi="Times New Roman" w:cs="Times New Roman"/>
          <w:b/>
          <w:bCs/>
        </w:rPr>
      </w:pPr>
      <w:r>
        <w:rPr>
          <w:rFonts w:cs="Times New Roman" w:ascii="Times New Roman" w:hAnsi="Times New Roman"/>
        </w:rPr>
        <w:t>La justificación de este trabajo radica en la necesidad de avanzar más allá de las descripciones estáticas del metabolismo tumoral, hacia un entendimiento dinámico, espacial y sistémico que pueda revelar nuevos mecanismos de control, vulnerabilidades terapéuticas y principios organizativos subyacentes a la complejidad del cáncer. La integración de la teoría de Turing con el modelado metabólico representa una innovación conceptual y metodológica con el potencial de generar predicciones comprobables y abrir nuevas líneas de investigación translacional en oncología. Además, al ser un estudio basado en datos públicos y herramientas computacionales, este proyecto es éticamente viable y reproducible, sentando las bases para futuras validaciones experimentales mediante técnicas de imagen metabólica avanzada.</w:t>
      </w:r>
    </w:p>
    <w:p>
      <w:pPr>
        <w:pStyle w:val="Normal"/>
        <w:rPr>
          <w:rFonts w:ascii="Times New Roman" w:hAnsi="Times New Roman" w:cs="Times New Roman"/>
          <w:b/>
          <w:bCs/>
        </w:rPr>
      </w:pPr>
      <w:r>
        <w:rPr>
          <w:rFonts w:cs="Times New Roman" w:ascii="Times New Roman" w:hAnsi="Times New Roman"/>
          <w:b/>
          <w:bCs/>
        </w:rPr>
        <w:t xml:space="preserve">3. Antecedentes </w:t>
      </w:r>
    </w:p>
    <w:p>
      <w:pPr>
        <w:pStyle w:val="Normal"/>
        <w:rPr>
          <w:rFonts w:ascii="Times New Roman" w:hAnsi="Times New Roman" w:cs="Times New Roman"/>
        </w:rPr>
      </w:pPr>
      <w:r>
        <w:rPr>
          <w:rFonts w:cs="Times New Roman" w:ascii="Times New Roman" w:hAnsi="Times New Roman"/>
        </w:rPr>
        <w:t>El estudio de las redes metabólicas en cáncer ha evolucionado desde descripciones bioquímicas reduccionistas hacia enfoques sistémicos que reconocen la complejidad e interdependencia de las vías metabólicas. Esta sección contextualiza los fundamentos conceptuales y metodológicos que sustentan la presente propuesta de investigación.</w:t>
      </w:r>
    </w:p>
    <w:p>
      <w:pPr>
        <w:pStyle w:val="Normal"/>
        <w:rPr>
          <w:rFonts w:ascii="Times New Roman" w:hAnsi="Times New Roman" w:cs="Times New Roman"/>
          <w:b/>
          <w:bCs/>
        </w:rPr>
      </w:pPr>
      <w:r>
        <w:rPr>
          <w:rFonts w:cs="Times New Roman" w:ascii="Times New Roman" w:hAnsi="Times New Roman"/>
          <w:b/>
          <w:bCs/>
        </w:rPr>
        <w:t>3.1. La reprogramación metabólica como sello distintivo del cáncer</w:t>
      </w:r>
    </w:p>
    <w:p>
      <w:pPr>
        <w:pStyle w:val="Normal"/>
        <w:rPr>
          <w:rFonts w:ascii="Times New Roman" w:hAnsi="Times New Roman" w:cs="Times New Roman"/>
        </w:rPr>
      </w:pPr>
      <w:r>
        <w:rPr>
          <w:rFonts w:cs="Times New Roman" w:ascii="Times New Roman" w:hAnsi="Times New Roman"/>
        </w:rPr>
        <w:t>El concepto de reprogramación metabólica, retomado por Hanahan y Weinberg (2011) como una de las “características del cáncer”, postula que las células tumorales alteran su metabolismo para soportar la biosíntesis masiva de macromoléculas, mantener el equilibrio redox y generar energía en condiciones de estrés ambiental, como la hipoxia. Alteraciones en vías centrales como la glucólisis y el metabolismo de aminoácidos y lípidos son impulsores activos de la tumorigénesis (Pavlova &amp; Thompson, 2016).</w:t>
      </w:r>
    </w:p>
    <w:p>
      <w:pPr>
        <w:pStyle w:val="Normal"/>
        <w:rPr>
          <w:rFonts w:ascii="Times New Roman" w:hAnsi="Times New Roman" w:cs="Times New Roman"/>
          <w:b/>
          <w:bCs/>
        </w:rPr>
      </w:pPr>
      <w:r>
        <w:rPr>
          <w:rFonts w:cs="Times New Roman" w:ascii="Times New Roman" w:hAnsi="Times New Roman"/>
          <w:b/>
          <w:bCs/>
        </w:rPr>
        <w:t>3.2. La perspectiva de redes complejas en biología de sistemas</w:t>
      </w:r>
    </w:p>
    <w:p>
      <w:pPr>
        <w:pStyle w:val="Normal"/>
        <w:rPr>
          <w:rFonts w:ascii="Times New Roman" w:hAnsi="Times New Roman" w:cs="Times New Roman"/>
        </w:rPr>
      </w:pPr>
      <w:r>
        <w:rPr>
          <w:rFonts w:cs="Times New Roman" w:ascii="Times New Roman" w:hAnsi="Times New Roman"/>
        </w:rPr>
        <w:t>Para comprender la robustez y la plasticidad del metabolismo tumoral, es necesario el enfoque de redes complejas (Barabási &amp; Oltvai, 2004), esta nos permite representar el sistema metabólico como un grafo donde los nodos (metabolitos, enzimas) están conectados por aristas (reacciones). El análisis topológico de estas redes ha identificado propiedades, como la distribución de grado libre de escala, la alta conectividad de unos pocos nodos “hub” (ej., ATP, NADH) y una estructura modular. En cáncer, estos análisis han revelado que las redes metabólicas se reorganizan, aumentando su centralización y alterando los flujos a través de módulos específicos que favorecen la proliferación</w:t>
      </w:r>
      <w:r>
        <w:rPr>
          <w:rFonts w:cs="Times New Roman" w:ascii="Times New Roman" w:hAnsi="Times New Roman"/>
          <w:b/>
          <w:bCs/>
        </w:rPr>
        <w:t xml:space="preserve"> </w:t>
      </w:r>
      <w:r>
        <w:rPr>
          <w:rFonts w:cs="Times New Roman" w:ascii="Times New Roman" w:hAnsi="Times New Roman"/>
        </w:rPr>
        <w:t>(Resendis-Antonio et al., 2010). Sin</w:t>
      </w:r>
      <w:r>
        <w:rPr>
          <w:rFonts w:cs="Times New Roman" w:ascii="Times New Roman" w:hAnsi="Times New Roman"/>
          <w:b/>
          <w:bCs/>
        </w:rPr>
        <w:t xml:space="preserve"> </w:t>
      </w:r>
      <w:r>
        <w:rPr>
          <w:rFonts w:cs="Times New Roman" w:ascii="Times New Roman" w:hAnsi="Times New Roman"/>
        </w:rPr>
        <w:t>embargo, esta caracterización estructural es estática y no captura la dinámica temporal ni los patrones espaciales emergentes.</w:t>
      </w:r>
    </w:p>
    <w:p>
      <w:pPr>
        <w:pStyle w:val="Normal"/>
        <w:rPr>
          <w:rFonts w:ascii="Times New Roman" w:hAnsi="Times New Roman" w:cs="Times New Roman"/>
          <w:b/>
          <w:bCs/>
        </w:rPr>
      </w:pPr>
      <w:r>
        <w:rPr>
          <w:rFonts w:cs="Times New Roman" w:ascii="Times New Roman" w:hAnsi="Times New Roman"/>
          <w:b/>
          <w:bCs/>
        </w:rPr>
        <w:t>3.3. Estudio dinámico de las especies</w:t>
      </w:r>
    </w:p>
    <w:p>
      <w:pPr>
        <w:pStyle w:val="Normal"/>
        <w:rPr>
          <w:rFonts w:ascii="Times New Roman" w:hAnsi="Times New Roman" w:cs="Times New Roman"/>
        </w:rPr>
      </w:pPr>
      <w:r>
        <w:rPr>
          <w:rFonts w:cs="Times New Roman" w:ascii="Times New Roman" w:hAnsi="Times New Roman"/>
        </w:rPr>
        <w:t xml:space="preserve">La transición de la topología a la dinámica se logra mediante el modelado cinético basado en ecuaciones diferenciales ordinarias (EDO). Estos modelos, permiten simular el comportamiento del sistema bajo distintas condiciones y perturbaciones. La reconstrucción de modelos metabólicos a gran escala y su análisis mediante métodos de balance de flujo (FBA) han sido cruciales, pero carecen de información cinética y espacial (Brunk et al., 2018). La integración de datos cinéticos de bases como BRENDA y SABIO-RK, junto con algoritmos de estimación de parámetros, permite construir SEDOs cuantitativos que pueden predecir estados estacionarios, oscilaciones y respuestas a fármacos </w:t>
      </w:r>
      <w:sdt>
        <w:sdtPr>
          <w:placeholder>
            <w:docPart w:val="DefaultPlaceholder_-1854013440"/>
          </w:placeholder>
          <w:tag w:val="MENDELEY_CITATION_v3_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"/>
          <w:id w:val="2112555427"/>
        </w:sdtPr>
        <w:sdtContent>
          <w:r>
            <w:rPr>
              <w:rFonts w:cs="Times New Roman" w:ascii="Times New Roman" w:hAnsi="Times New Roman"/>
            </w:rPr>
          </w:r>
          <w:r>
            <w:rPr>
              <w:rFonts w:eastAsia="Times New Roman" w:cs="Times New Roman" w:ascii="Times New Roman" w:hAnsi="Times New Roman"/>
              <w:color w:val="000000"/>
            </w:rPr>
            <w:t>(Aguilar Elguea, 2024; Hanahan &amp; Weinberg, 2011)</w:t>
          </w:r>
        </w:sdtContent>
      </w:sdt>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3.4. Necesidad de modelos espaciotemporales</w:t>
      </w:r>
    </w:p>
    <w:p>
      <w:pPr>
        <w:pStyle w:val="Normal"/>
        <w:rPr>
          <w:rFonts w:ascii="Times New Roman" w:hAnsi="Times New Roman" w:cs="Times New Roman"/>
        </w:rPr>
      </w:pPr>
      <w:r>
        <w:rPr>
          <w:rFonts w:cs="Times New Roman" w:ascii="Times New Roman" w:hAnsi="Times New Roman"/>
        </w:rPr>
        <w:t xml:space="preserve">Los tumores no son masas homogéneas. Presentan gradientes espaciales de nutrientes (oxígeno, glucosa), pH y metabolitos, lo que genera una zonificación metabólica con regiones de hipoxia, acidosis y diferentes perfiles proliferativos (Gatenby &amp; Gillies, 2004; </w:t>
      </w:r>
      <w:sdt>
        <w:sdtPr>
          <w:placeholder>
            <w:docPart w:val="DefaultPlaceholder_-1854013440"/>
          </w:placeholder>
          <w:tag w:val="MENDELEY_CITATION_v3_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"/>
          <w:id w:val="930080365"/>
        </w:sdtPr>
        <w:sdtContent>
          <w:r>
            <w:rPr>
              <w:rFonts w:cs="Times New Roman" w:ascii="Times New Roman" w:hAnsi="Times New Roman"/>
            </w:rPr>
          </w:r>
          <w:r>
            <w:rPr>
              <w:rFonts w:eastAsia="Times New Roman" w:cs="Times New Roman" w:ascii="Times New Roman" w:hAnsi="Times New Roman"/>
              <w:color w:val="000000"/>
            </w:rPr>
            <w:t>(Gatenby &amp; Gillies, 2004; Swartz et al., 2013)</w:t>
          </w:r>
        </w:sdtContent>
      </w:sdt>
      <w:r>
        <w:rPr>
          <w:rFonts w:cs="Times New Roman" w:ascii="Times New Roman" w:hAnsi="Times New Roman"/>
        </w:rPr>
        <w:t>). Esta heterogeneidad es un motor de la evolución tumoral y la resistencia terapéutica. Comprender su origen requiere modelos que incorporen explícitamente la dimensión espacial. Los modelos de reacción-difusión en forma de ecuaciones en derivadas parciales (EDP) son el marco matemático natural para ello, ya que pueden describir cómo las especies químicas reaccionan y se difunden en un espacio físico, dando lugar a perfiles de concentración no homogéneos.</w:t>
      </w:r>
    </w:p>
    <w:p>
      <w:pPr>
        <w:pStyle w:val="Normal"/>
        <w:rPr>
          <w:rFonts w:ascii="Times New Roman" w:hAnsi="Times New Roman" w:cs="Times New Roman"/>
          <w:b/>
          <w:bCs/>
        </w:rPr>
      </w:pPr>
      <w:r>
        <w:rPr>
          <w:rFonts w:cs="Times New Roman" w:ascii="Times New Roman" w:hAnsi="Times New Roman"/>
          <w:b/>
          <w:bCs/>
        </w:rPr>
        <w:t>3.5. La teoría de Turing</w:t>
      </w:r>
    </w:p>
    <w:p>
      <w:pPr>
        <w:pStyle w:val="Normal"/>
        <w:rPr>
          <w:rFonts w:ascii="Times New Roman" w:hAnsi="Times New Roman" w:cs="Times New Roman"/>
        </w:rPr>
      </w:pPr>
      <w:r>
        <w:rPr>
          <w:rFonts w:cs="Times New Roman" w:ascii="Times New Roman" w:hAnsi="Times New Roman"/>
        </w:rPr>
        <w:t xml:space="preserve">En 1952, Alan Turing propuso que patrones espaciales regulares (como las rayas de una cebra o la disposición de folículos) pueden surgir espontáneamente en un sistema inicialmente homogéneo a través de un mecanismo de inestabilidad inducida por difusión. La condición fundamental es la interacción entre al menos dos morfógenos: un activador de corto alcance y un inhibidor de largo alcance, cuyas tasas de difusión son significativamente diferentes </w:t>
      </w:r>
      <w:sdt>
        <w:sdtPr>
          <w:placeholder>
            <w:docPart w:val="DefaultPlaceholder_-1854013440"/>
          </w:placeholder>
          <w:tag w:val="MENDELEY_CITATION_v3_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"/>
          <w:id w:val="-1643120674"/>
        </w:sdtPr>
        <w:sdtContent>
          <w:r>
            <w:rPr>
              <w:rFonts w:cs="Times New Roman" w:ascii="Times New Roman" w:hAnsi="Times New Roman"/>
            </w:rPr>
          </w:r>
          <w:r>
            <w:rPr>
              <w:rFonts w:cs="Times New Roman" w:ascii="Times New Roman" w:hAnsi="Times New Roman"/>
              <w:color w:val="000000"/>
            </w:rPr>
            <w:t>(Turing, 1990)</w:t>
          </w:r>
        </w:sdtContent>
      </w:sdt>
      <w:r>
        <w:rPr>
          <w:rFonts w:cs="Times New Roman" w:ascii="Times New Roman" w:hAnsi="Times New Roman"/>
        </w:rPr>
        <w:t xml:space="preserve">. Este paradigma se ha aplicado exitosamente en biología del desarrollo y ecología </w:t>
      </w:r>
      <w:sdt>
        <w:sdtPr>
          <w:placeholder>
            <w:docPart w:val="DefaultPlaceholder_-1854013440"/>
          </w:placeholder>
          <w:tag w:val="MENDELEY_CITATION_v3_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"/>
          <w:id w:val="-394210169"/>
        </w:sdtPr>
        <w:sdtContent>
          <w:r>
            <w:rPr>
              <w:rFonts w:cs="Times New Roman" w:ascii="Times New Roman" w:hAnsi="Times New Roman"/>
            </w:rPr>
          </w:r>
          <w:r>
            <w:rPr>
              <w:rFonts w:eastAsia="Times New Roman" w:cs="Times New Roman" w:ascii="Times New Roman" w:hAnsi="Times New Roman"/>
              <w:color w:val="000000"/>
            </w:rPr>
            <w:t>(Kondo &amp; Miura, 2010)</w:t>
          </w:r>
        </w:sdtContent>
      </w:sdt>
      <w:r>
        <w:rPr>
          <w:rFonts w:cs="Times New Roman" w:ascii="Times New Roman" w:hAnsi="Times New Roman"/>
        </w:rPr>
        <w:t xml:space="preserve">, y recientemente se ha explorado en contextos biomédicos, como en la formación de patrones en poblaciones bacterianas y en la organización de la </w:t>
      </w:r>
      <w:r>
        <w:rPr>
          <w:rFonts w:cs="Times New Roman" w:ascii="Times New Roman" w:hAnsi="Times New Roman"/>
        </w:rPr>
        <w:t>vasculatura tumoral.</w:t>
      </w:r>
    </w:p>
    <w:p>
      <w:pPr>
        <w:pStyle w:val="Normal"/>
        <w:rPr>
          <w:rFonts w:ascii="Times New Roman" w:hAnsi="Times New Roman" w:cs="Times New Roman"/>
          <w:b/>
          <w:bCs/>
        </w:rPr>
      </w:pPr>
      <w:r>
        <w:rPr>
          <w:rFonts w:cs="Times New Roman" w:ascii="Times New Roman" w:hAnsi="Times New Roman"/>
          <w:b/>
          <w:bCs/>
        </w:rPr>
        <w:t>3.6. Oportunidad de innovación</w:t>
      </w:r>
    </w:p>
    <w:p>
      <w:pPr>
        <w:pStyle w:val="Normal"/>
        <w:rPr>
          <w:rFonts w:ascii="Times New Roman" w:hAnsi="Times New Roman" w:cs="Times New Roman"/>
        </w:rPr>
      </w:pPr>
      <w:r>
        <w:rPr>
          <w:rFonts w:cs="Times New Roman" w:ascii="Times New Roman" w:hAnsi="Times New Roman"/>
        </w:rPr>
        <w:t>A pesar de estos avances, existe un vacío de conocimiento significativo en la integración de estos marcos conceptuales. No se ha explorado sistemáticamente si las redes metabólicas del cáncer, vistas como sistemas dinámicos de reacción-difusión, pueden exhibir inestabilidades de Turing que generen patrones espaciales en la distribución de metabolitos. La hipótesis de que pares de metabolitos clave (como lactato/glucosa, o especies redox como NADH/NAD+) puedan actuar como el par activador-inhibidor en un sistema de Turing dentro del microambiente tumoral es plausible pero no ha sido formalmente modelada ni explorada computacionalmente a escala de red metabólica completa.</w:t>
      </w:r>
    </w:p>
    <w:p>
      <w:pPr>
        <w:pStyle w:val="Normal"/>
        <w:rPr>
          <w:rFonts w:ascii="Times New Roman" w:hAnsi="Times New Roman" w:cs="Times New Roman"/>
        </w:rPr>
      </w:pPr>
      <w:r>
        <w:rPr>
          <w:rFonts w:cs="Times New Roman" w:ascii="Times New Roman" w:hAnsi="Times New Roman"/>
        </w:rPr>
        <w:t>Por lo tanto, este proyecto se posiciona en la intersección de cuatro áreas poco conectadas en la literatura: 1) la biología de sistemas del cáncer, 2) el análisis de redes complejas, 3) el modelado dinámico con EDO/EDP, y 4) la teoría de patrones de Turing. Su objetivo es llenar este vacío mediante el desarrollo de un Atlas de Turing metabólico, un recurso computacional que predice las condiciones bajo las cuales emerge la heterogeneidad espacial en el metabolismo del cáncer de mama.</w:t>
      </w:r>
    </w:p>
    <w:p>
      <w:pPr>
        <w:pStyle w:val="Normal"/>
        <w:rPr>
          <w:rFonts w:ascii="Times New Roman" w:hAnsi="Times New Roman" w:cs="Times New Roman"/>
        </w:rPr>
      </w:pPr>
      <w:r>
        <w:rPr>
          <w:rFonts w:cs="Times New Roman" w:ascii="Times New Roman" w:hAnsi="Times New Roman"/>
          <w:b/>
          <w:bCs/>
        </w:rPr>
        <w:t>4. Objetivos</w:t>
      </w:r>
    </w:p>
    <w:p>
      <w:pPr>
        <w:pStyle w:val="Normal"/>
        <w:rPr>
          <w:rFonts w:ascii="Times New Roman" w:hAnsi="Times New Roman" w:cs="Times New Roman"/>
          <w:b/>
          <w:bCs/>
          <w:lang w:val="es-ES"/>
        </w:rPr>
      </w:pPr>
      <w:r>
        <w:rPr>
          <w:rFonts w:cs="Times New Roman" w:ascii="Times New Roman" w:hAnsi="Times New Roman"/>
          <w:b/>
          <w:bCs/>
          <w:lang w:val="es-ES"/>
        </w:rPr>
        <w:t>Hipótesis:</w:t>
      </w:r>
    </w:p>
    <w:p>
      <w:pPr>
        <w:pStyle w:val="Normal"/>
        <w:rPr>
          <w:rFonts w:ascii="Times New Roman" w:hAnsi="Times New Roman" w:cs="Times New Roman"/>
          <w:b w:val="false"/>
          <w:bCs w:val="false"/>
          <w:lang w:val="es-ES"/>
        </w:rPr>
      </w:pPr>
      <w:r>
        <w:rPr>
          <w:rFonts w:cs="Times New Roman" w:ascii="Times New Roman" w:hAnsi="Times New Roman"/>
          <w:b w:val="false"/>
          <w:bCs w:val="false"/>
          <w:lang w:val="es-ES"/>
        </w:rPr>
        <w:t xml:space="preserve">La formulación de un sistema de reacción difusión acoplada a una red compleja de cáncer de mamas nos permitirá identificar las interacciones que llevan al sistema a presenciar inestabilidades de Turing y patrones espaciales. </w:t>
      </w:r>
    </w:p>
    <w:p>
      <w:pPr>
        <w:pStyle w:val="Normal"/>
        <w:rPr>
          <w:rFonts w:ascii="Times New Roman" w:hAnsi="Times New Roman" w:cs="Times New Roman"/>
        </w:rPr>
      </w:pPr>
      <w:r>
        <w:rPr>
          <w:rFonts w:cs="Times New Roman" w:ascii="Times New Roman" w:hAnsi="Times New Roman"/>
          <w:b/>
          <w:bCs/>
        </w:rPr>
        <w:t>Objetivo General:</w:t>
      </w:r>
      <w:r>
        <w:rPr>
          <w:rFonts w:cs="Times New Roman" w:ascii="Times New Roman" w:hAnsi="Times New Roman"/>
        </w:rPr>
        <w:br/>
        <w:t>Diseñar y simular un modelo dinámico de reacción-difusión de la red metabólica del cáncer de mama, a partir de su representación como red compleja y su conversión en un sistema de ecuaciones diferenciales, con el fin de identificar condiciones paramétricas que generen inestabilidades de Turing y patrones espaciales emergentes en la distribución de metabolitos.</w:t>
      </w:r>
    </w:p>
    <w:p>
      <w:pPr>
        <w:pStyle w:val="Normal"/>
        <w:rPr>
          <w:rFonts w:ascii="Times New Roman" w:hAnsi="Times New Roman" w:cs="Times New Roman"/>
        </w:rPr>
      </w:pPr>
      <w:r>
        <w:rPr>
          <w:rFonts w:cs="Times New Roman" w:ascii="Times New Roman" w:hAnsi="Times New Roman"/>
          <w:b/>
          <w:bCs/>
        </w:rPr>
        <w:t>Objetivos Específicos:</w:t>
      </w:r>
      <w:r>
        <w:rPr/>
        <w:br/>
        <w:br/>
        <w:t>Se profundiza en los componentes clave de la red metabólica del cáncer de mama, incluyendo metabolitos centrales, rutas de señalización asociadas al metabolismo y su interacción con el microambiente tumoral, enfatizando su papel en la progresión y heterogeneidad tumoral.</w:t>
      </w:r>
    </w:p>
    <w:p>
      <w:pPr>
        <w:pStyle w:val="Normal"/>
        <w:numPr>
          <w:ilvl w:val="0"/>
          <w:numId w:val="1"/>
        </w:numPr>
        <w:rPr>
          <w:rFonts w:ascii="Times New Roman" w:hAnsi="Times New Roman" w:cs="Times New Roman"/>
          <w:b/>
          <w:bCs/>
        </w:rPr>
      </w:pPr>
      <w:r>
        <w:rPr>
          <w:rFonts w:cs="Times New Roman" w:ascii="Times New Roman" w:hAnsi="Times New Roman"/>
          <w:b/>
          <w:bCs/>
        </w:rPr>
        <w:t>Reconstruir y caracterizar topológicamente la red metabólica del cáncer de mama como un sistema complejo, identificando sus módulos funcionales y nodos críticos (hubs y conectividad).</w:t>
      </w:r>
    </w:p>
    <w:p>
      <w:pPr>
        <w:pStyle w:val="Normal"/>
        <w:ind w:start="720"/>
        <w:rPr>
          <w:rFonts w:ascii="Times New Roman" w:hAnsi="Times New Roman" w:cs="Times New Roman"/>
        </w:rPr>
      </w:pPr>
      <w:r>
        <w:rPr>
          <w:rFonts w:cs="Times New Roman" w:ascii="Times New Roman" w:hAnsi="Times New Roman"/>
        </w:rPr>
        <w:t>Procedimiento:</w:t>
      </w:r>
    </w:p>
    <w:p>
      <w:pPr>
        <w:pStyle w:val="Normal"/>
        <w:ind w:start="720"/>
        <w:rPr>
          <w:rFonts w:ascii="Times New Roman" w:hAnsi="Times New Roman" w:cs="Times New Roman"/>
        </w:rPr>
      </w:pPr>
      <w:r>
        <w:rPr>
          <w:rFonts w:cs="Times New Roman" w:ascii="Times New Roman" w:hAnsi="Times New Roman"/>
        </w:rPr>
        <w:t>Reconstrucción de la Red: Se utilizará la base de datos genómica KEGG, específicamente los datos de cáncer de mama para construir un modelo metabólico a escala genómica, representado como un grafo dirigido donde los nodos son metabolitos y las aristas son reacciones catalizadas por enzimas (Brunk et al., 2018; Caspi et al., 2020).</w:t>
      </w:r>
    </w:p>
    <w:p>
      <w:pPr>
        <w:pStyle w:val="Normal"/>
        <w:ind w:start="720"/>
        <w:rPr>
          <w:rFonts w:ascii="Times New Roman" w:hAnsi="Times New Roman" w:cs="Times New Roman"/>
        </w:rPr>
      </w:pPr>
      <w:r>
        <w:rPr>
          <w:rFonts w:cs="Times New Roman" w:ascii="Times New Roman" w:hAnsi="Times New Roman"/>
        </w:rPr>
        <w:t>Análisis Topológico: Empleando NetworkX, se calcularán métricas estructurales clave (Hagberg, Swart &amp; Chult, 2008; Shannon et al., 2003):</w:t>
      </w:r>
    </w:p>
    <w:p>
      <w:pPr>
        <w:pStyle w:val="Normal"/>
        <w:ind w:start="720"/>
        <w:rPr>
          <w:rFonts w:ascii="Times New Roman" w:hAnsi="Times New Roman" w:cs="Times New Roman"/>
        </w:rPr>
      </w:pPr>
      <w:r>
        <w:rPr>
          <w:rFonts w:cs="Times New Roman" w:ascii="Times New Roman" w:hAnsi="Times New Roman"/>
        </w:rPr>
        <w:t>Grado (Degree): Para identificar metabolitos altamente conectados (hubs) (Barabási &amp; Oltvai, 2004).</w:t>
      </w:r>
    </w:p>
    <w:p>
      <w:pPr>
        <w:pStyle w:val="Normal"/>
        <w:ind w:start="720"/>
        <w:rPr>
          <w:rFonts w:ascii="Times New Roman" w:hAnsi="Times New Roman" w:cs="Times New Roman"/>
        </w:rPr>
      </w:pPr>
      <w:r>
        <w:rPr>
          <w:rFonts w:cs="Times New Roman" w:ascii="Times New Roman" w:hAnsi="Times New Roman"/>
        </w:rPr>
        <w:t>Intermediación (Betweenness Centrality): Para detectar nodos que actúan como conectores esenciales entre módulos (cuellos de botella) (Joy, Brock, &amp; Huber, 2005).</w:t>
      </w:r>
    </w:p>
    <w:p>
      <w:pPr>
        <w:pStyle w:val="Normal"/>
        <w:ind w:start="720"/>
        <w:rPr>
          <w:rFonts w:ascii="Times New Roman" w:hAnsi="Times New Roman" w:cs="Times New Roman"/>
        </w:rPr>
      </w:pPr>
      <w:r>
        <w:rPr>
          <w:rFonts w:cs="Times New Roman" w:ascii="Times New Roman" w:hAnsi="Times New Roman"/>
        </w:rPr>
        <w:t>Coeficiente de Agrupamiento (Clustering Coefficient): Para evaluar la modularidad y la tendencia a formar "cliques" funcionales (Watts &amp; Strogatz, 1998).</w:t>
      </w:r>
    </w:p>
    <w:p>
      <w:pPr>
        <w:pStyle w:val="Normal"/>
        <w:ind w:start="720"/>
        <w:rPr>
          <w:rFonts w:ascii="Times New Roman" w:hAnsi="Times New Roman" w:cs="Times New Roman"/>
        </w:rPr>
      </w:pPr>
      <w:r>
        <w:rPr>
          <w:rFonts w:cs="Times New Roman" w:ascii="Times New Roman" w:hAnsi="Times New Roman"/>
        </w:rPr>
        <w:t>Análisis de Comunidades: Se aplicarán el algoritmo de Louvain para descomponer la red en módulos o comunidades altamente interconectadas, correspondientes a vías metabólicas coordinadas (Blondel et al., 2008).</w:t>
      </w:r>
    </w:p>
    <w:p>
      <w:pPr>
        <w:pStyle w:val="Normal"/>
        <w:numPr>
          <w:ilvl w:val="0"/>
          <w:numId w:val="1"/>
        </w:numPr>
        <w:rPr>
          <w:rFonts w:ascii="Times New Roman" w:hAnsi="Times New Roman" w:cs="Times New Roman"/>
          <w:b/>
          <w:bCs/>
        </w:rPr>
      </w:pPr>
      <w:r>
        <w:rPr>
          <w:rFonts w:cs="Times New Roman" w:ascii="Times New Roman" w:hAnsi="Times New Roman"/>
          <w:b/>
          <w:bCs/>
        </w:rPr>
        <w:t>Desarrollar un modelo dinámico determinista de la red, basado en un Sistema de Ecuaciones Diferenciales Ordinarias (SEDO), que describa la cinética de las concentraciones metabólicas.</w:t>
      </w:r>
    </w:p>
    <w:p>
      <w:pPr>
        <w:pStyle w:val="Normal"/>
        <w:ind w:start="720"/>
        <w:rPr>
          <w:rFonts w:ascii="Times New Roman" w:hAnsi="Times New Roman" w:cs="Times New Roman"/>
        </w:rPr>
      </w:pPr>
      <w:r>
        <w:rPr>
          <w:rFonts w:cs="Times New Roman" w:ascii="Times New Roman" w:hAnsi="Times New Roman"/>
        </w:rPr>
        <w:t>Procedimiento:</w:t>
      </w:r>
      <w:r>
        <w:rPr/>
        <w:br/>
        <w:br/>
        <w:t>El procedimiento de derivación del sistema de EDO parte directamente de la matriz de estequiometría de la red metabólica. Cada reacción se traduce en términos cinéticos, y la suma ponderada de flujos entrantes y salientes define la dinámica temporal de cada metabolito.</w:t>
      </w:r>
    </w:p>
    <w:p>
      <w:pPr>
        <w:pStyle w:val="Normal"/>
        <w:ind w:start="720"/>
        <w:rPr>
          <w:rFonts w:ascii="Times New Roman" w:hAnsi="Times New Roman" w:cs="Times New Roman"/>
        </w:rPr>
      </w:pPr>
      <w:r>
        <w:rPr>
          <w:rFonts w:cs="Times New Roman" w:ascii="Times New Roman" w:hAnsi="Times New Roman"/>
        </w:rPr>
        <w:t>Sistema de ecuaciones diferenciales ordinarias: A partir de las relaciones entre los nodos (aristas), se construirá un sistema de ecuaciones diferenciales ordinarias para la red completa.</w:t>
      </w:r>
    </w:p>
    <w:p>
      <w:pPr>
        <w:pStyle w:val="Normal"/>
        <w:ind w:start="720"/>
        <w:rPr>
          <w:rFonts w:ascii="Times New Roman" w:hAnsi="Times New Roman" w:cs="Times New Roman"/>
        </w:rPr>
      </w:pPr>
      <w:r>
        <w:rPr>
          <w:rFonts w:cs="Times New Roman" w:ascii="Times New Roman" w:hAnsi="Times New Roman"/>
        </w:rPr>
        <w:t>Selección del Subconjunto Crítico: A partir de los nodos críticos y módulos identificados en el Objetivo 1, se seleccionará un subconjunto de metabolitos y reacciones centrales para el modelado dinámico detallado (ej., vía glicolítica, ciclo de Krebs, metabolismo de glutamina). Serán comparados los resultados de ambos SEDO.</w:t>
      </w:r>
    </w:p>
    <w:p>
      <w:pPr>
        <w:pStyle w:val="Normal"/>
        <w:ind w:start="708"/>
        <w:jc w:val="center"/>
        <w:rPr>
          <w:rFonts w:ascii="Times New Roman" w:hAnsi="Times New Roman" w:cs="Times New Roman"/>
        </w:rPr>
      </w:pPr>
      <w:r>
        <w:rPr>
          <w:rFonts w:cs="Times New Roman" w:ascii="Times New Roman" w:hAnsi="Times New Roman"/>
        </w:rPr>
        <w:t>Formulación de cada SEDO: Para cada metabolito Xᵢ, se planteará una ecuación de balance de masa (Liebermeister et al., 2010):</w:t>
        <w:br/>
      </w:r>
      <w:r>
        <w:rPr/>
      </w:r>
      <m:oMath xmlns:m="http://schemas.openxmlformats.org/officeDocument/2006/math">
        <m:f>
          <m:num>
            <m:r>
              <m:t xml:space="preserve">dXᵢ</m:t>
            </m:r>
          </m:num>
          <m:den>
            <m:r>
              <m:t xml:space="preserve">dt</m:t>
            </m:r>
          </m:den>
        </m:f>
        <m:r>
          <m:rPr>
            <m:lit/>
            <m:nor/>
          </m:rPr>
          <m:t xml:space="preserve"> </m:t>
        </m:r>
        <m:r>
          <m:rPr>
            <m:lit/>
            <m:nor/>
          </m:rPr>
          <m:t xml:space="preserve">=</m:t>
        </m:r>
        <m:r>
          <m:rPr>
            <m:lit/>
            <m:nor/>
          </m:rPr>
          <m:t xml:space="preserve"> </m:t>
        </m:r>
        <m:r>
          <m:t xml:space="preserve">Σ</m:t>
        </m:r>
        <m:r>
          <m:rPr>
            <m:lit/>
            <m:nor/>
          </m:rPr>
          <m:t xml:space="preserve"> </m:t>
        </m:r>
        <m:sSub>
          <m:e>
            <m:r>
              <m:t xml:space="preserve">V</m:t>
            </m:r>
          </m:e>
          <m:sub>
            <m:r>
              <m:t xml:space="preserve">producción</m:t>
            </m:r>
          </m:sub>
        </m:sSub>
        <m:r>
          <m:rPr>
            <m:lit/>
            <m:nor/>
          </m:rPr>
          <m:t xml:space="preserve"> </m:t>
        </m:r>
        <m:r>
          <m:rPr>
            <m:lit/>
            <m:nor/>
          </m:rPr>
          <m:t xml:space="preserve">-</m:t>
        </m:r>
        <m:r>
          <m:rPr>
            <m:lit/>
            <m:nor/>
          </m:rPr>
          <m:t xml:space="preserve"> </m:t>
        </m:r>
        <m:r>
          <m:t xml:space="preserve">Σ</m:t>
        </m:r>
        <m:r>
          <m:rPr>
            <m:lit/>
            <m:nor/>
          </m:rPr>
          <m:t xml:space="preserve"> </m:t>
        </m:r>
        <m:sSub>
          <m:e>
            <m:r>
              <m:t xml:space="preserve">V</m:t>
            </m:r>
          </m:e>
          <m:sub>
            <m:r>
              <m:t xml:space="preserve">consumo</m:t>
            </m:r>
          </m:sub>
        </m:sSub>
        <m:r>
          <m:rPr>
            <m:lit/>
            <m:nor/>
          </m:rPr>
          <m:t xml:space="preserve"> </m:t>
        </m:r>
        <m:r>
          <m:rPr>
            <m:lit/>
            <m:nor/>
          </m:rPr>
          <m:t xml:space="preserve">-</m:t>
        </m:r>
        <m:r>
          <m:rPr>
            <m:lit/>
            <m:nor/>
          </m:rPr>
          <m:t xml:space="preserve"> </m:t>
        </m:r>
        <m:r>
          <m:t xml:space="preserve">δXᵢ</m:t>
        </m:r>
      </m:oMath>
    </w:p>
    <w:p>
      <w:pPr>
        <w:pStyle w:val="Normal"/>
        <w:ind w:start="720"/>
        <w:rPr>
          <w:rFonts w:ascii="Times New Roman" w:hAnsi="Times New Roman" w:cs="Times New Roman"/>
        </w:rPr>
      </w:pPr>
      <w:r>
        <w:rPr>
          <w:rFonts w:cs="Times New Roman" w:ascii="Times New Roman" w:hAnsi="Times New Roman"/>
        </w:rPr>
        <w:t>donde V representa la ley de velocidad de cada reacción (ej., cinética de Michaelis-Menten, acción de masas, etc) (Cornish-Bowden, 2013).</w:t>
      </w:r>
    </w:p>
    <w:p>
      <w:pPr>
        <w:pStyle w:val="Normal"/>
        <w:ind w:start="720"/>
        <w:rPr>
          <w:rFonts w:ascii="Times New Roman" w:hAnsi="Times New Roman" w:cs="Times New Roman"/>
        </w:rPr>
      </w:pPr>
      <w:r>
        <w:rPr>
          <w:rFonts w:cs="Times New Roman" w:ascii="Times New Roman" w:hAnsi="Times New Roman"/>
        </w:rPr>
        <w:t>Estimación de Parámetros: Los parámetros cinéticos (</w:t>
      </w:r>
      <w:r>
        <w:rPr/>
      </w:r>
      <m:oMath xmlns:m="http://schemas.openxmlformats.org/officeDocument/2006/math">
        <m:sSub>
          <m:e>
            <m:r>
              <m:t xml:space="preserve">V</m:t>
            </m:r>
          </m:e>
          <m:sub>
            <m:r>
              <m:t xml:space="preserve">max</m:t>
            </m:r>
          </m:sub>
        </m:sSub>
        <m:r>
          <m:t xml:space="preserve">,</m:t>
        </m:r>
        <m:r>
          <m:rPr>
            <m:lit/>
            <m:nor/>
          </m:rPr>
          <m:t xml:space="preserve"> </m:t>
        </m:r>
        <m:sSub>
          <m:e>
            <m:r>
              <m:t xml:space="preserve">K</m:t>
            </m:r>
          </m:e>
          <m:sub>
            <m:r>
              <m:t xml:space="preserve">m</m:t>
            </m:r>
          </m:sub>
        </m:sSub>
      </m:oMath>
      <w:r>
        <w:rPr>
          <w:rFonts w:cs="Times New Roman" w:ascii="Times New Roman" w:hAnsi="Times New Roman"/>
        </w:rPr>
        <w:t>) se obtendrán de bases de datos (BRENDA, SABIO-RK) y literatura especializada (Chang et al., 2021; Wittig et al., 2012). En caso de datos faltantes, se emplearán algoritmos de ajuste por optimización (ej., mínimos cuadrados) utilizando datos de estado estacionario de la red (Stanford et al., 2013).</w:t>
      </w:r>
    </w:p>
    <w:p>
      <w:pPr>
        <w:pStyle w:val="Normal"/>
        <w:numPr>
          <w:ilvl w:val="0"/>
          <w:numId w:val="1"/>
        </w:numPr>
        <w:rPr>
          <w:rFonts w:ascii="Times New Roman" w:hAnsi="Times New Roman" w:cs="Times New Roman"/>
          <w:b/>
          <w:bCs/>
        </w:rPr>
      </w:pPr>
      <w:r>
        <w:rPr>
          <w:rFonts w:cs="Times New Roman" w:ascii="Times New Roman" w:hAnsi="Times New Roman"/>
          <w:b/>
          <w:bCs/>
        </w:rPr>
        <w:t>Realizar un análisis de sensibilidad paramétrica global del SEDO para cuantificar la influencia de cada parámetro cinético en el comportamiento del sistema y priorizar aquellos con mayor impacto.</w:t>
      </w:r>
    </w:p>
    <w:p>
      <w:pPr>
        <w:pStyle w:val="Normal"/>
        <w:ind w:start="720"/>
        <w:rPr>
          <w:rFonts w:ascii="Times New Roman" w:hAnsi="Times New Roman" w:cs="Times New Roman"/>
        </w:rPr>
      </w:pPr>
      <w:r>
        <w:rPr>
          <w:rFonts w:cs="Times New Roman" w:ascii="Times New Roman" w:hAnsi="Times New Roman"/>
          <w:b/>
          <w:bCs/>
        </w:rPr>
        <w:t>Procedimiento:</w:t>
      </w:r>
    </w:p>
    <w:p>
      <w:pPr>
        <w:pStyle w:val="Normal"/>
        <w:ind w:start="720"/>
        <w:rPr>
          <w:rFonts w:ascii="Times New Roman" w:hAnsi="Times New Roman" w:cs="Times New Roman"/>
        </w:rPr>
      </w:pPr>
      <w:r>
        <w:rPr>
          <w:rFonts w:cs="Times New Roman" w:ascii="Times New Roman" w:hAnsi="Times New Roman"/>
        </w:rPr>
        <w:t>Muestreo del Espacio Paramétrico: Se utilizará el método de Saltelli para generar un conjunto amplio y representativo de combinaciones de parámetros dentro de rangos fisiológicamente plausibles (McKay, Beckman &amp; Conover, 1979).</w:t>
      </w:r>
    </w:p>
    <w:p>
      <w:pPr>
        <w:pStyle w:val="Normal"/>
        <w:ind w:start="720"/>
        <w:rPr>
          <w:rFonts w:ascii="Times New Roman" w:hAnsi="Times New Roman" w:cs="Times New Roman"/>
        </w:rPr>
      </w:pPr>
      <w:r>
        <w:rPr>
          <w:rFonts w:cs="Times New Roman" w:ascii="Times New Roman" w:hAnsi="Times New Roman"/>
        </w:rPr>
        <w:t>Análisis de Sensibilidad de Sobol: Se aplicará este método de sensibilidad global basado en varianza para calcular (Sobol, 2001; Saltelli et al., 2010):</w:t>
      </w:r>
    </w:p>
    <w:p>
      <w:pPr>
        <w:pStyle w:val="Normal"/>
        <w:ind w:start="720"/>
        <w:rPr>
          <w:rFonts w:ascii="Times New Roman" w:hAnsi="Times New Roman" w:cs="Times New Roman"/>
        </w:rPr>
      </w:pPr>
      <w:r>
        <w:rPr>
          <w:rFonts w:cs="Times New Roman" w:ascii="Times New Roman" w:hAnsi="Times New Roman"/>
        </w:rPr>
        <w:t>Índices de Sobol de primer orden: Miden la contribución directa de cada parámetro a la varianza de la salida (ej., concentración de un metabolito clave).</w:t>
      </w:r>
    </w:p>
    <w:p>
      <w:pPr>
        <w:pStyle w:val="Normal"/>
        <w:ind w:start="720"/>
        <w:rPr>
          <w:rFonts w:ascii="Times New Roman" w:hAnsi="Times New Roman" w:cs="Times New Roman"/>
        </w:rPr>
      </w:pPr>
      <w:r>
        <w:rPr>
          <w:rFonts w:cs="Times New Roman" w:ascii="Times New Roman" w:hAnsi="Times New Roman"/>
        </w:rPr>
        <w:t>Índices de Sobol totales: Miden la contribución total de cada parámetro, incluyendo sus interacciones con otros.</w:t>
      </w:r>
    </w:p>
    <w:p>
      <w:pPr>
        <w:pStyle w:val="Normal"/>
        <w:ind w:start="720"/>
        <w:rPr>
          <w:rFonts w:ascii="Times New Roman" w:hAnsi="Times New Roman" w:cs="Times New Roman"/>
        </w:rPr>
      </w:pPr>
      <w:r>
        <w:rPr>
          <w:rFonts w:cs="Times New Roman" w:ascii="Times New Roman" w:hAnsi="Times New Roman"/>
        </w:rPr>
        <w:t>Ranking de Sensibilidad: Los parámetros se clasificarán según sus índices totales, identificando los parámetros clave (los más influyentes) que serán candidatos para el estudio de patrones de Turing.</w:t>
      </w:r>
    </w:p>
    <w:p>
      <w:pPr>
        <w:pStyle w:val="Normal"/>
        <w:numPr>
          <w:ilvl w:val="0"/>
          <w:numId w:val="1"/>
        </w:numPr>
        <w:rPr>
          <w:rFonts w:ascii="Times New Roman" w:hAnsi="Times New Roman" w:cs="Times New Roman"/>
          <w:b/>
          <w:bCs/>
        </w:rPr>
      </w:pPr>
      <w:r>
        <w:rPr>
          <w:rFonts w:cs="Times New Roman" w:ascii="Times New Roman" w:hAnsi="Times New Roman"/>
          <w:b/>
          <w:bCs/>
        </w:rPr>
        <w:t>Construir y resolver un modelo de reacción-difusión (EDP) para pares de metabolitos candidatos, con el fin de identificar condiciones que satisfagan los criterios de inestabilidad de Turing.</w:t>
      </w:r>
    </w:p>
    <w:p>
      <w:pPr>
        <w:pStyle w:val="Normal"/>
        <w:ind w:start="720"/>
        <w:rPr>
          <w:rFonts w:ascii="Times New Roman" w:hAnsi="Times New Roman" w:cs="Times New Roman"/>
        </w:rPr>
      </w:pPr>
      <w:r>
        <w:rPr>
          <w:rFonts w:cs="Times New Roman" w:ascii="Times New Roman" w:hAnsi="Times New Roman"/>
          <w:b/>
          <w:bCs/>
        </w:rPr>
        <w:t>Procedimiento:</w:t>
      </w:r>
    </w:p>
    <w:p>
      <w:pPr>
        <w:pStyle w:val="Normal"/>
        <w:ind w:start="720"/>
        <w:rPr>
          <w:rFonts w:ascii="Times New Roman" w:hAnsi="Times New Roman" w:cs="Times New Roman"/>
        </w:rPr>
      </w:pPr>
      <w:r>
        <w:rPr>
          <w:rFonts w:cs="Times New Roman" w:ascii="Times New Roman" w:hAnsi="Times New Roman"/>
        </w:rPr>
        <w:t xml:space="preserve">Selección de Pares Candidatos: Basándose en el análisis topológico (Objetivo 1) y el ranking de sensibilidad (Objetivo 3), se seleccionarán pares de metabolitos que cumplan roles potenciales de activador (metabolito autocatalítico o de corto alcance) e inhibidor (metabolito de largo alcance o que suprima la producción del activador), inspirándose en principios bioquímicos </w:t>
      </w:r>
      <w:sdt>
        <w:sdtPr>
          <w:placeholder>
            <w:docPart w:val="DefaultPlaceholder_-1854013440"/>
          </w:placeholder>
          <w:tag w:val="MENDELEY_CITATION_v3_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"/>
          <w:id w:val="1139846437"/>
        </w:sdtPr>
        <w:sdtContent>
          <w:r>
            <w:rPr>
              <w:rFonts w:cs="Times New Roman" w:ascii="Times New Roman" w:hAnsi="Times New Roman"/>
            </w:rPr>
          </w:r>
          <w:r>
            <w:rPr>
              <w:rFonts w:eastAsia="Times New Roman" w:cs="Times New Roman" w:ascii="Times New Roman" w:hAnsi="Times New Roman"/>
              <w:color w:val="000000"/>
            </w:rPr>
            <w:t>(Kondo &amp; Miura, 2010)</w:t>
          </w:r>
        </w:sdtContent>
      </w:sdt>
      <w:r>
        <w:rPr>
          <w:rFonts w:cs="Times New Roman" w:ascii="Times New Roman" w:hAnsi="Times New Roman"/>
        </w:rPr>
        <w:t>.</w:t>
      </w:r>
    </w:p>
    <w:p>
      <w:pPr>
        <w:pStyle w:val="Normal"/>
        <w:ind w:start="720"/>
        <w:jc w:val="center"/>
        <w:rPr>
          <w:rFonts w:ascii="Times New Roman" w:hAnsi="Times New Roman" w:cs="Times New Roman"/>
        </w:rPr>
      </w:pPr>
      <w:r>
        <w:rPr>
          <w:rFonts w:cs="Times New Roman" w:ascii="Times New Roman" w:hAnsi="Times New Roman"/>
        </w:rPr>
        <w:t>Formulación del Modelo de Turing: Para un par (u, v), se planteará el sistema clásico de reacción-difusión (Turing, 1952):</w:t>
        <w:br/>
      </w:r>
      <w:r>
        <w:rPr/>
      </w:r>
      <m:oMath xmlns:m="http://schemas.openxmlformats.org/officeDocument/2006/math">
        <m:f>
          <m:num>
            <m:r>
              <m:t xml:space="preserve">∂</m:t>
            </m:r>
            <m:r>
              <m:t xml:space="preserve">u</m:t>
            </m:r>
          </m:num>
          <m:den>
            <m:r>
              <m:t xml:space="preserve">∂</m:t>
            </m:r>
            <m:r>
              <m:t xml:space="preserve">t</m:t>
            </m:r>
          </m:den>
        </m:f>
        <m:r>
          <m:rPr>
            <m:lit/>
            <m:nor/>
          </m:rPr>
          <m:t xml:space="preserve"> </m:t>
        </m:r>
        <m:r>
          <m:rPr>
            <m:lit/>
            <m:nor/>
          </m:rPr>
          <m:t xml:space="preserve">=</m:t>
        </m:r>
        <m:r>
          <m:rPr>
            <m:lit/>
            <m:nor/>
          </m:rPr>
          <m:t xml:space="preserve"> </m:t>
        </m:r>
        <m:r>
          <m:t xml:space="preserve">f</m:t>
        </m:r>
        <m:r>
          <m:t xml:space="preserve">(</m:t>
        </m:r>
        <m:r>
          <m:t xml:space="preserve">u</m:t>
        </m:r>
        <m:r>
          <m:t xml:space="preserve">,</m:t>
        </m:r>
        <m:r>
          <m:t xml:space="preserve">v</m:t>
        </m:r>
        <m:r>
          <m:t xml:space="preserve">)</m:t>
        </m:r>
        <m:r>
          <m:rPr>
            <m:lit/>
            <m:nor/>
          </m:rPr>
          <m:t xml:space="preserve"> </m:t>
        </m:r>
        <m:r>
          <m:rPr>
            <m:lit/>
            <m:nor/>
          </m:rPr>
          <m:t xml:space="preserve">+</m:t>
        </m:r>
        <m:r>
          <m:rPr>
            <m:lit/>
            <m:nor/>
          </m:rPr>
          <m:t xml:space="preserve"> </m:t>
        </m:r>
        <m:sSub>
          <m:e>
            <m:r>
              <m:t xml:space="preserve">D</m:t>
            </m:r>
          </m:e>
          <m:sub>
            <m:r>
              <m:t xml:space="preserve">u</m:t>
            </m:r>
          </m:sub>
        </m:sSub>
        <m:r>
          <m:t xml:space="preserve">∇</m:t>
        </m:r>
        <m:r>
          <m:t xml:space="preserve">²</m:t>
        </m:r>
        <m:r>
          <m:t xml:space="preserve">u</m:t>
        </m:r>
      </m:oMath>
    </w:p>
    <w:p>
      <w:pPr>
        <w:pStyle w:val="Normal"/>
        <w:jc w:val="center"/>
        <w:rPr>
          <w:rFonts w:ascii="Times New Roman" w:hAnsi="Times New Roman" w:cs="Times New Roman"/>
        </w:rPr>
      </w:pPr>
      <w:r>
        <w:rPr/>
      </w:r>
      <m:oMathPara xmlns:m="http://schemas.openxmlformats.org/officeDocument/2006/math">
        <m:oMathParaPr>
          <m:jc m:val="center"/>
        </m:oMathParaPr>
        <m:oMath>
          <m:f>
            <m:num>
              <m:r>
                <m:t xml:space="preserve">∂</m:t>
              </m:r>
              <m:r>
                <m:t xml:space="preserve">v</m:t>
              </m:r>
            </m:num>
            <m:den>
              <m:r>
                <m:t xml:space="preserve">∂</m:t>
              </m:r>
              <m:r>
                <m:t xml:space="preserve">t</m:t>
              </m:r>
            </m:den>
          </m:f>
          <m:r>
            <m:rPr>
              <m:lit/>
              <m:nor/>
            </m:rPr>
            <m:t xml:space="preserve"> </m:t>
          </m:r>
          <m:r>
            <m:rPr>
              <m:lit/>
              <m:nor/>
            </m:rPr>
            <m:t xml:space="preserve">=</m:t>
          </m:r>
          <m:r>
            <m:rPr>
              <m:lit/>
              <m:nor/>
            </m:rPr>
            <m:t xml:space="preserve"> </m:t>
          </m:r>
          <m:r>
            <m:t xml:space="preserve">g</m:t>
          </m:r>
          <m:r>
            <m:t xml:space="preserve">(</m:t>
          </m:r>
          <m:r>
            <m:t xml:space="preserve">u</m:t>
          </m:r>
          <m:r>
            <m:t xml:space="preserve">,</m:t>
          </m:r>
          <m:r>
            <m:t xml:space="preserve">v</m:t>
          </m:r>
          <m:r>
            <m:t xml:space="preserve">)</m:t>
          </m:r>
          <m:r>
            <m:rPr>
              <m:lit/>
              <m:nor/>
            </m:rPr>
            <m:t xml:space="preserve"> </m:t>
          </m:r>
          <m:r>
            <m:rPr>
              <m:lit/>
              <m:nor/>
            </m:rPr>
            <m:t xml:space="preserve">+</m:t>
          </m:r>
          <m:r>
            <m:rPr>
              <m:lit/>
              <m:nor/>
            </m:rPr>
            <m:t xml:space="preserve"> </m:t>
          </m:r>
          <m:sSub>
            <m:e>
              <m:r>
                <m:t xml:space="preserve">D</m:t>
              </m:r>
            </m:e>
            <m:sub>
              <m:r>
                <m:t xml:space="preserve">v</m:t>
              </m:r>
            </m:sub>
          </m:sSub>
          <m:r>
            <m:t xml:space="preserve">∇</m:t>
          </m:r>
          <m:r>
            <m:t xml:space="preserve">²</m:t>
          </m:r>
          <m:r>
            <m:t xml:space="preserve">v</m:t>
          </m:r>
        </m:oMath>
      </m:oMathPara>
    </w:p>
    <w:p>
      <w:pPr>
        <w:pStyle w:val="Normal"/>
        <w:ind w:start="720"/>
        <w:rPr>
          <w:rFonts w:ascii="Times New Roman" w:hAnsi="Times New Roman" w:cs="Times New Roman"/>
        </w:rPr>
      </w:pPr>
      <w:r>
        <w:rPr>
          <w:rFonts w:cs="Times New Roman" w:ascii="Times New Roman" w:hAnsi="Times New Roman"/>
        </w:rPr>
        <w:t>donde f y g son las funciones de reacción no lineal derivadas del SEDO, y D</w:t>
      </w:r>
      <w:r>
        <w:rPr>
          <w:rFonts w:cs="Times New Roman" w:ascii="Times New Roman" w:hAnsi="Times New Roman"/>
          <w:vertAlign w:val="subscript"/>
        </w:rPr>
        <w:t>u</w:t>
      </w:r>
      <w:r>
        <w:rPr>
          <w:rFonts w:cs="Times New Roman" w:ascii="Times New Roman" w:hAnsi="Times New Roman"/>
        </w:rPr>
        <w:t>, D</w:t>
      </w:r>
      <w:r>
        <w:rPr>
          <w:rFonts w:cs="Times New Roman" w:ascii="Times New Roman" w:hAnsi="Times New Roman"/>
          <w:vertAlign w:val="subscript"/>
        </w:rPr>
        <w:t>v</w:t>
      </w:r>
      <w:r>
        <w:rPr>
          <w:rFonts w:cs="Times New Roman" w:ascii="Times New Roman" w:hAnsi="Times New Roman"/>
        </w:rPr>
        <w:t> son sus coeficientes de difusión efectivos.</w:t>
      </w:r>
    </w:p>
    <w:p>
      <w:pPr>
        <w:pStyle w:val="Normal"/>
        <w:ind w:start="720"/>
        <w:rPr>
          <w:rFonts w:ascii="Times New Roman" w:hAnsi="Times New Roman" w:cs="Times New Roman"/>
        </w:rPr>
      </w:pPr>
      <w:r>
        <w:rPr>
          <w:rFonts w:cs="Times New Roman" w:ascii="Times New Roman" w:hAnsi="Times New Roman"/>
        </w:rPr>
        <w:t>Análisis de Linealización y Condiciones de Turing:</w:t>
      </w:r>
    </w:p>
    <w:p>
      <w:pPr>
        <w:pStyle w:val="Normal"/>
        <w:ind w:start="720"/>
        <w:rPr>
          <w:rFonts w:ascii="Times New Roman" w:hAnsi="Times New Roman" w:cs="Times New Roman"/>
        </w:rPr>
      </w:pPr>
      <w:r>
        <w:rPr>
          <w:rFonts w:cs="Times New Roman" w:ascii="Times New Roman" w:hAnsi="Times New Roman"/>
        </w:rPr>
        <w:t>Se linealizará el sistema alrededor de su estado estacionario homogéneo.</w:t>
      </w:r>
    </w:p>
    <w:p>
      <w:pPr>
        <w:pStyle w:val="Normal"/>
        <w:ind w:start="720"/>
        <w:rPr>
          <w:rFonts w:ascii="Times New Roman" w:hAnsi="Times New Roman" w:cs="Times New Roman"/>
        </w:rPr>
      </w:pPr>
      <w:r>
        <w:rPr>
          <w:rFonts w:cs="Times New Roman" w:ascii="Times New Roman" w:hAnsi="Times New Roman"/>
        </w:rPr>
        <w:t>Se calculará el Jacobiano y se analizará su espectro.</w:t>
      </w:r>
    </w:p>
    <w:p>
      <w:pPr>
        <w:pStyle w:val="Normal"/>
        <w:ind w:start="720"/>
        <w:rPr>
          <w:rFonts w:ascii="Times New Roman" w:hAnsi="Times New Roman" w:cs="Times New Roman"/>
        </w:rPr>
      </w:pPr>
      <w:r>
        <w:rPr>
          <w:rFonts w:cs="Times New Roman" w:ascii="Times New Roman" w:hAnsi="Times New Roman"/>
        </w:rPr>
        <w:t>Se verificará matemáticamente la condición de Turing: el estado homogéneo debe ser estable en ausencia de difusión (todos los autovalores del Jacobiano con parte real negativa, pero debe volverse inestable para algún número de onda k &gt; 0 cuando D</w:t>
      </w:r>
      <w:r>
        <w:rPr>
          <w:rFonts w:cs="Times New Roman" w:ascii="Times New Roman" w:hAnsi="Times New Roman"/>
          <w:vertAlign w:val="subscript"/>
        </w:rPr>
        <w:t>v</w:t>
      </w:r>
      <w:r>
        <w:rPr>
          <w:rFonts w:cs="Times New Roman" w:ascii="Times New Roman" w:hAnsi="Times New Roman"/>
        </w:rPr>
        <w:t xml:space="preserve"> &gt;&gt; D</w:t>
      </w:r>
      <w:r>
        <w:rPr>
          <w:rFonts w:cs="Times New Roman" w:ascii="Times New Roman" w:hAnsi="Times New Roman"/>
          <w:vertAlign w:val="subscript"/>
        </w:rPr>
        <w:t>u</w:t>
      </w:r>
      <w:r>
        <w:rPr>
          <w:rFonts w:cs="Times New Roman" w:ascii="Times New Roman" w:hAnsi="Times New Roman"/>
        </w:rPr>
        <w:t>.</w:t>
      </w:r>
      <w:sdt>
        <w:sdtPr>
          <w:placeholder>
            <w:docPart w:val="DefaultPlaceholder_-1854013440"/>
          </w:placeholder>
          <w:tag w:val="MENDELEY_CITATION_v3_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"/>
          <w:id w:val="621725363"/>
        </w:sdtPr>
        <w:sdtContent>
          <w:r>
            <w:rPr>
              <w:rFonts w:cs="Times New Roman" w:ascii="Times New Roman" w:hAnsi="Times New Roman"/>
            </w:rPr>
          </w:r>
          <w:r>
            <w:rPr>
              <w:rFonts w:cs="Times New Roman" w:ascii="Times New Roman" w:hAnsi="Times New Roman"/>
              <w:color w:val="000000"/>
            </w:rPr>
            <w:t>(Alarcón et al., 2004; Murray, 2012)</w:t>
          </w:r>
        </w:sdtContent>
      </w:sdt>
    </w:p>
    <w:p>
      <w:pPr>
        <w:pStyle w:val="Normal"/>
        <w:numPr>
          <w:ilvl w:val="0"/>
          <w:numId w:val="1"/>
        </w:numPr>
        <w:rPr>
          <w:rFonts w:ascii="Times New Roman" w:hAnsi="Times New Roman" w:cs="Times New Roman"/>
          <w:b/>
          <w:bCs/>
        </w:rPr>
      </w:pPr>
      <w:r>
        <w:rPr>
          <w:rFonts w:cs="Times New Roman" w:ascii="Times New Roman" w:hAnsi="Times New Roman"/>
          <w:b/>
          <w:bCs/>
        </w:rPr>
        <w:t>Realizar un barrido paramétrico sistemático y simulaciones numéricas para generar un "Atlas de Turing" que catalogue los patrones espaciales emergentes (manchas, rayas, híbridos) en función de los parámetros clave del sistema.</w:t>
      </w:r>
    </w:p>
    <w:p>
      <w:pPr>
        <w:pStyle w:val="Normal"/>
        <w:ind w:start="720"/>
        <w:rPr>
          <w:rFonts w:ascii="Times New Roman" w:hAnsi="Times New Roman" w:cs="Times New Roman"/>
        </w:rPr>
      </w:pPr>
      <w:r>
        <w:rPr>
          <w:rFonts w:cs="Times New Roman" w:ascii="Times New Roman" w:hAnsi="Times New Roman"/>
        </w:rPr>
        <w:t>Procedimiento:</w:t>
      </w:r>
    </w:p>
    <w:p>
      <w:pPr>
        <w:pStyle w:val="Normal"/>
        <w:ind w:start="720"/>
        <w:rPr>
          <w:rFonts w:ascii="Times New Roman" w:hAnsi="Times New Roman" w:cs="Times New Roman"/>
        </w:rPr>
      </w:pPr>
      <w:r>
        <w:rPr>
          <w:rFonts w:cs="Times New Roman" w:ascii="Times New Roman" w:hAnsi="Times New Roman"/>
        </w:rPr>
        <w:t>Barrido Paramétrico: Se variarán sistemáticamente los parámetros clave identificados (ej., tasas de producción/degradación, coeficientes de difusión) en un rango amplio. Para cada combinación, se verificará numéricamente el cumplimiento de las condiciones de Turing.</w:t>
      </w:r>
    </w:p>
    <w:p>
      <w:pPr>
        <w:pStyle w:val="Normal"/>
        <w:ind w:start="720"/>
        <w:rPr>
          <w:rFonts w:ascii="Times New Roman" w:hAnsi="Times New Roman" w:cs="Times New Roman"/>
        </w:rPr>
      </w:pPr>
      <w:r>
        <w:rPr>
          <w:rFonts w:cs="Times New Roman" w:ascii="Times New Roman" w:hAnsi="Times New Roman"/>
        </w:rPr>
        <w:t>Simulación Numérica de Patrones: En las regiones del espacio de parámetros donde se cumplan las condiciones, se resolverán numéricamente las EDPs de reacción-difusión en dominios espaciales 1D y 2D. Se utilizarán métodos numéricos robustos implementados en bibliotecas de Python como py-pde (método de lineas) (Logg, Mardal &amp; Wells, 2012) o Fipy (Volúmenes finitos).</w:t>
      </w:r>
    </w:p>
    <w:p>
      <w:pPr>
        <w:pStyle w:val="Normal"/>
        <w:ind w:start="720"/>
        <w:rPr>
          <w:rFonts w:ascii="Times New Roman" w:hAnsi="Times New Roman" w:cs="Times New Roman"/>
        </w:rPr>
      </w:pPr>
      <w:r>
        <w:rPr>
          <w:rFonts w:cs="Times New Roman" w:ascii="Times New Roman" w:hAnsi="Times New Roman"/>
        </w:rPr>
        <w:t>Clasificación y Catalogación: Los patrones resultantes (perfiles de concentración espacial) se clasificarán morfológicamente (ej., manchas aisladas, rayas periódicas, patrones mixtos) siguiendo taxonomías establecidas en sistemas de Turing (Kondo &amp; Miura, 2010).</w:t>
      </w:r>
    </w:p>
    <w:p>
      <w:pPr>
        <w:pStyle w:val="Normal"/>
        <w:ind w:start="720"/>
        <w:rPr>
          <w:rFonts w:ascii="Times New Roman" w:hAnsi="Times New Roman" w:cs="Times New Roman"/>
        </w:rPr>
      </w:pPr>
      <w:r>
        <w:rPr>
          <w:rFonts w:cs="Times New Roman" w:ascii="Times New Roman" w:hAnsi="Times New Roman"/>
        </w:rPr>
        <w:t>Construcción del Atlas: Se creará un mapa multidimensional (el Atlas de Turing) que relacione cada región del espacio de parámetros con el tipo de patrón emergente, sirviendo como un recurso predictivo de la heterogeneidad metabólica espacial esperada bajo distintas condiciones fisiológicas o patológicas. Este concepto de "atlas paramétrico" está inspirado en trabajos de dinámica de sistemas complejos (Strogatz, 2015).</w:t>
      </w:r>
    </w:p>
    <w:p>
      <w:pPr>
        <w:pStyle w:val="Normal"/>
        <w:rPr>
          <w:rFonts w:ascii="Times New Roman" w:hAnsi="Times New Roman" w:cs="Times New Roman"/>
        </w:rPr>
      </w:pPr>
      <w:r>
        <w:rPr>
          <w:rFonts w:cs="Times New Roman" w:ascii="Times New Roman" w:hAnsi="Times New Roman"/>
          <w:b/>
          <w:bCs/>
        </w:rPr>
        <w:t xml:space="preserve">4. Metodología </w:t>
      </w:r>
    </w:p>
    <w:p>
      <w:pPr>
        <w:pStyle w:val="Normal"/>
        <w:rPr>
          <w:rFonts w:ascii="Times New Roman" w:hAnsi="Times New Roman" w:cs="Times New Roman"/>
        </w:rPr>
      </w:pPr>
      <w:r>
        <w:rPr>
          <w:rFonts w:cs="Times New Roman" w:ascii="Times New Roman" w:hAnsi="Times New Roman"/>
          <w:b/>
          <w:bCs/>
        </w:rPr>
        <w:t>Fase 1: Caracterización de Redes Complejas</w:t>
      </w:r>
    </w:p>
    <w:p>
      <w:pPr>
        <w:pStyle w:val="Normal"/>
        <w:numPr>
          <w:ilvl w:val="0"/>
          <w:numId w:val="2"/>
        </w:numPr>
        <w:rPr>
          <w:rFonts w:ascii="Times New Roman" w:hAnsi="Times New Roman" w:cs="Times New Roman"/>
        </w:rPr>
      </w:pPr>
      <w:r>
        <w:rPr>
          <w:rFonts w:cs="Times New Roman" w:ascii="Times New Roman" w:hAnsi="Times New Roman"/>
          <w:i/>
          <w:iCs/>
        </w:rPr>
        <w:t>Recursos:</w:t>
      </w:r>
      <w:r>
        <w:rPr>
          <w:rFonts w:cs="Times New Roman" w:ascii="Times New Roman" w:hAnsi="Times New Roman"/>
        </w:rPr>
        <w:t> Bases de datos (KEGG).</w:t>
      </w:r>
    </w:p>
    <w:p>
      <w:pPr>
        <w:pStyle w:val="Normal"/>
        <w:numPr>
          <w:ilvl w:val="0"/>
          <w:numId w:val="2"/>
        </w:numPr>
        <w:rPr>
          <w:rFonts w:ascii="Times New Roman" w:hAnsi="Times New Roman" w:cs="Times New Roman"/>
        </w:rPr>
      </w:pPr>
      <w:r>
        <w:rPr>
          <w:rFonts w:cs="Times New Roman" w:ascii="Times New Roman" w:hAnsi="Times New Roman"/>
          <w:i/>
          <w:iCs/>
        </w:rPr>
        <w:t>Herramientas:</w:t>
      </w:r>
      <w:r>
        <w:rPr>
          <w:rFonts w:cs="Times New Roman" w:ascii="Times New Roman" w:hAnsi="Times New Roman"/>
        </w:rPr>
        <w:t> COBRApy, NetworkX.</w:t>
      </w:r>
    </w:p>
    <w:p>
      <w:pPr>
        <w:pStyle w:val="Normal"/>
        <w:numPr>
          <w:ilvl w:val="0"/>
          <w:numId w:val="2"/>
        </w:numPr>
        <w:rPr>
          <w:rFonts w:ascii="Times New Roman" w:hAnsi="Times New Roman" w:cs="Times New Roman"/>
        </w:rPr>
      </w:pPr>
      <w:r>
        <w:rPr>
          <w:rFonts w:cs="Times New Roman" w:ascii="Times New Roman" w:hAnsi="Times New Roman"/>
          <w:i/>
          <w:iCs/>
        </w:rPr>
        <w:t>Procedimiento:</w:t>
      </w:r>
    </w:p>
    <w:p>
      <w:pPr>
        <w:pStyle w:val="Normal"/>
        <w:numPr>
          <w:ilvl w:val="1"/>
          <w:numId w:val="2"/>
        </w:numPr>
        <w:rPr>
          <w:rFonts w:ascii="Times New Roman" w:hAnsi="Times New Roman" w:cs="Times New Roman"/>
        </w:rPr>
      </w:pPr>
      <w:r>
        <w:rPr>
          <w:rFonts w:cs="Times New Roman" w:ascii="Times New Roman" w:hAnsi="Times New Roman"/>
        </w:rPr>
        <w:t>Reconstrucción de modelos metabólicos específicos por subtipo.</w:t>
      </w:r>
    </w:p>
    <w:p>
      <w:pPr>
        <w:pStyle w:val="Normal"/>
        <w:numPr>
          <w:ilvl w:val="1"/>
          <w:numId w:val="2"/>
        </w:numPr>
        <w:rPr>
          <w:rFonts w:ascii="Times New Roman" w:hAnsi="Times New Roman" w:cs="Times New Roman"/>
        </w:rPr>
      </w:pPr>
      <w:r>
        <w:rPr>
          <w:rFonts w:cs="Times New Roman" w:ascii="Times New Roman" w:hAnsi="Times New Roman"/>
        </w:rPr>
        <w:t>Cálculo de métricas topológicas (grado, betweenness, centralidad, modularidad).</w:t>
      </w:r>
    </w:p>
    <w:p>
      <w:pPr>
        <w:pStyle w:val="Normal"/>
        <w:numPr>
          <w:ilvl w:val="1"/>
          <w:numId w:val="2"/>
        </w:numPr>
        <w:rPr>
          <w:rFonts w:ascii="Times New Roman" w:hAnsi="Times New Roman" w:cs="Times New Roman"/>
        </w:rPr>
      </w:pPr>
      <w:r>
        <w:rPr>
          <w:rFonts w:cs="Times New Roman" w:ascii="Times New Roman" w:hAnsi="Times New Roman"/>
        </w:rPr>
        <w:t>Identificación de nodos críticos (hubs y cuellos de botella).</w:t>
      </w:r>
    </w:p>
    <w:p>
      <w:pPr>
        <w:pStyle w:val="Normal"/>
        <w:rPr>
          <w:rFonts w:ascii="Times New Roman" w:hAnsi="Times New Roman" w:cs="Times New Roman"/>
        </w:rPr>
      </w:pPr>
      <w:r>
        <w:rPr>
          <w:rFonts w:cs="Times New Roman" w:ascii="Times New Roman" w:hAnsi="Times New Roman"/>
          <w:b/>
          <w:bCs/>
        </w:rPr>
        <w:t>Fase 2: Desarrollo del SEDO</w:t>
      </w:r>
    </w:p>
    <w:p>
      <w:pPr>
        <w:pStyle w:val="Normal"/>
        <w:numPr>
          <w:ilvl w:val="0"/>
          <w:numId w:val="4"/>
        </w:numPr>
        <w:rPr>
          <w:rFonts w:ascii="Times New Roman" w:hAnsi="Times New Roman" w:cs="Times New Roman"/>
        </w:rPr>
      </w:pPr>
      <w:r>
        <w:rPr>
          <w:rFonts w:cs="Times New Roman" w:ascii="Times New Roman" w:hAnsi="Times New Roman"/>
          <w:i/>
          <w:iCs/>
        </w:rPr>
        <w:t>Estructura del Modelo:</w:t>
      </w:r>
    </w:p>
    <w:p>
      <w:pPr>
        <w:pStyle w:val="Normal"/>
        <w:jc w:val="center"/>
        <w:rPr>
          <w:rFonts w:ascii="Times New Roman" w:hAnsi="Times New Roman" w:cs="Times New Roman"/>
        </w:rPr>
      </w:pPr>
      <w:r>
        <w:rPr/>
      </w:r>
      <m:oMathPara xmlns:m="http://schemas.openxmlformats.org/officeDocument/2006/math">
        <m:oMathParaPr>
          <m:jc m:val="center"/>
        </m:oMathParaPr>
        <m:oMath>
          <m:f>
            <m:num>
              <m:r>
                <m:t xml:space="preserve">dXᵢ</m:t>
              </m:r>
            </m:num>
            <m:den>
              <m:r>
                <m:t xml:space="preserve">dt</m:t>
              </m:r>
            </m:den>
          </m:f>
          <m:r>
            <m:rPr>
              <m:lit/>
              <m:nor/>
            </m:rPr>
            <m:t xml:space="preserve"> </m:t>
          </m:r>
          <m:r>
            <m:rPr>
              <m:lit/>
              <m:nor/>
            </m:rPr>
            <m:t xml:space="preserve">=</m:t>
          </m:r>
          <m:r>
            <m:rPr>
              <m:lit/>
              <m:nor/>
            </m:rPr>
            <m:t xml:space="preserve"> </m:t>
          </m:r>
          <m:r>
            <m:t xml:space="preserve">Σ</m:t>
          </m:r>
          <m:r>
            <m:rPr>
              <m:lit/>
              <m:nor/>
            </m:rPr>
            <m:t xml:space="preserve"> </m:t>
          </m:r>
          <m:sSub>
            <m:e>
              <m:r>
                <m:t xml:space="preserve">V</m:t>
              </m:r>
            </m:e>
            <m:sub>
              <m:r>
                <m:t xml:space="preserve">producción</m:t>
              </m:r>
            </m:sub>
          </m:sSub>
          <m:r>
            <m:rPr>
              <m:lit/>
              <m:nor/>
            </m:rPr>
            <m:t xml:space="preserve"> </m:t>
          </m:r>
          <m:r>
            <m:rPr>
              <m:lit/>
              <m:nor/>
            </m:rPr>
            <m:t xml:space="preserve">-</m:t>
          </m:r>
          <m:r>
            <m:rPr>
              <m:lit/>
              <m:nor/>
            </m:rPr>
            <m:t xml:space="preserve"> </m:t>
          </m:r>
          <m:r>
            <m:t xml:space="preserve">Σ</m:t>
          </m:r>
          <m:r>
            <m:rPr>
              <m:lit/>
              <m:nor/>
            </m:rPr>
            <m:t xml:space="preserve"> </m:t>
          </m:r>
          <m:sSub>
            <m:e>
              <m:r>
                <m:t xml:space="preserve">V</m:t>
              </m:r>
            </m:e>
            <m:sub>
              <m:r>
                <m:t xml:space="preserve">consumo</m:t>
              </m:r>
            </m:sub>
          </m:sSub>
          <m:r>
            <m:rPr>
              <m:lit/>
              <m:nor/>
            </m:rPr>
            <m:t xml:space="preserve"> </m:t>
          </m:r>
          <m:r>
            <m:rPr>
              <m:lit/>
              <m:nor/>
            </m:rPr>
            <m:t xml:space="preserve">-</m:t>
          </m:r>
          <m:r>
            <m:rPr>
              <m:lit/>
              <m:nor/>
            </m:rPr>
            <m:t xml:space="preserve"> </m:t>
          </m:r>
          <m:r>
            <m:t xml:space="preserve">δXᵢ</m:t>
          </m:r>
        </m:oMath>
      </m:oMathPara>
    </w:p>
    <w:p>
      <w:pPr>
        <w:pStyle w:val="Normal"/>
        <w:rPr>
          <w:rFonts w:ascii="Times New Roman" w:hAnsi="Times New Roman" w:cs="Times New Roman"/>
        </w:rPr>
      </w:pPr>
      <w:r>
        <w:rPr>
          <w:rFonts w:cs="Times New Roman" w:ascii="Times New Roman" w:hAnsi="Times New Roman"/>
        </w:rPr>
        <w:t>donde V = f(parámetros cinéticos, concentraciones de enzimas).</w:t>
      </w:r>
    </w:p>
    <w:p>
      <w:pPr>
        <w:pStyle w:val="Normal"/>
        <w:numPr>
          <w:ilvl w:val="0"/>
          <w:numId w:val="4"/>
        </w:numPr>
        <w:rPr>
          <w:rFonts w:ascii="Times New Roman" w:hAnsi="Times New Roman" w:cs="Times New Roman"/>
        </w:rPr>
      </w:pPr>
      <w:r>
        <w:rPr>
          <w:rFonts w:cs="Times New Roman" w:ascii="Times New Roman" w:hAnsi="Times New Roman"/>
          <w:i/>
          <w:iCs/>
        </w:rPr>
        <w:t>Parámetros:</w:t>
      </w:r>
      <w:r>
        <w:rPr>
          <w:rFonts w:cs="Times New Roman" w:ascii="Times New Roman" w:hAnsi="Times New Roman"/>
        </w:rPr>
        <w:t> Estimación a partir de BRENDA, literatura especializada y algoritmos de optimización.</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b/>
          <w:bCs/>
        </w:rPr>
        <w:t>Fase 3: Análisis de importancia de características</w:t>
      </w:r>
    </w:p>
    <w:p>
      <w:pPr>
        <w:pStyle w:val="Normal"/>
        <w:numPr>
          <w:ilvl w:val="0"/>
          <w:numId w:val="3"/>
        </w:numPr>
        <w:rPr>
          <w:rFonts w:ascii="Times New Roman" w:hAnsi="Times New Roman" w:cs="Times New Roman"/>
        </w:rPr>
      </w:pPr>
      <w:r>
        <w:rPr>
          <w:rFonts w:cs="Times New Roman" w:ascii="Times New Roman" w:hAnsi="Times New Roman"/>
          <w:i/>
          <w:iCs/>
        </w:rPr>
        <w:t>Enfoque:</w:t>
      </w:r>
      <w:r>
        <w:rPr>
          <w:rFonts w:cs="Times New Roman" w:ascii="Times New Roman" w:hAnsi="Times New Roman"/>
        </w:rPr>
        <w:t> Algoritmo de bosques aleatorios.</w:t>
      </w:r>
    </w:p>
    <w:p>
      <w:pPr>
        <w:pStyle w:val="Normal"/>
        <w:numPr>
          <w:ilvl w:val="0"/>
          <w:numId w:val="3"/>
        </w:numPr>
        <w:rPr>
          <w:rFonts w:ascii="Times New Roman" w:hAnsi="Times New Roman" w:cs="Times New Roman"/>
        </w:rPr>
      </w:pPr>
      <w:r>
        <w:rPr>
          <w:rFonts w:cs="Times New Roman" w:ascii="Times New Roman" w:hAnsi="Times New Roman"/>
          <w:i/>
          <w:iCs/>
        </w:rPr>
        <w:t>Implementación:</w:t>
      </w:r>
    </w:p>
    <w:p>
      <w:pPr>
        <w:pStyle w:val="Normal"/>
        <w:numPr>
          <w:ilvl w:val="1"/>
          <w:numId w:val="3"/>
        </w:numPr>
        <w:rPr>
          <w:rFonts w:ascii="Times New Roman" w:hAnsi="Times New Roman" w:cs="Times New Roman"/>
        </w:rPr>
      </w:pPr>
      <w:r>
        <w:rPr>
          <w:rFonts w:cs="Times New Roman" w:ascii="Times New Roman" w:hAnsi="Times New Roman"/>
        </w:rPr>
        <w:t>Random Forest Feature Importance: Identificación de Patrones.</w:t>
      </w:r>
    </w:p>
    <w:p>
      <w:pPr>
        <w:pStyle w:val="Normal"/>
        <w:numPr>
          <w:ilvl w:val="1"/>
          <w:numId w:val="3"/>
        </w:numPr>
        <w:rPr>
          <w:rFonts w:ascii="Times New Roman" w:hAnsi="Times New Roman" w:cs="Times New Roman"/>
        </w:rPr>
      </w:pPr>
      <w:r>
        <w:rPr>
          <w:rFonts w:cs="Times New Roman" w:ascii="Times New Roman" w:hAnsi="Times New Roman"/>
        </w:rPr>
        <w:t>Métodos SHAP: para mejorar la Interpretabilidad</w:t>
      </w:r>
    </w:p>
    <w:p>
      <w:pPr>
        <w:pStyle w:val="Normal"/>
        <w:rPr>
          <w:rFonts w:ascii="Times New Roman" w:hAnsi="Times New Roman" w:cs="Times New Roman"/>
        </w:rPr>
      </w:pPr>
      <w:r>
        <w:rPr>
          <w:rFonts w:cs="Times New Roman" w:ascii="Times New Roman" w:hAnsi="Times New Roman"/>
          <w:b/>
          <w:bCs/>
        </w:rPr>
        <w:t>Fase 4: Análisis de Sensibilidad</w:t>
      </w:r>
    </w:p>
    <w:p>
      <w:pPr>
        <w:pStyle w:val="Normal"/>
        <w:numPr>
          <w:ilvl w:val="0"/>
          <w:numId w:val="5"/>
        </w:numPr>
        <w:rPr>
          <w:rFonts w:ascii="Times New Roman" w:hAnsi="Times New Roman" w:cs="Times New Roman"/>
        </w:rPr>
      </w:pPr>
      <w:r>
        <w:rPr>
          <w:rFonts w:cs="Times New Roman" w:ascii="Times New Roman" w:hAnsi="Times New Roman"/>
          <w:i/>
          <w:iCs/>
        </w:rPr>
        <w:t>Enfoques Combinados:</w:t>
      </w:r>
    </w:p>
    <w:p>
      <w:pPr>
        <w:pStyle w:val="Normal"/>
        <w:numPr>
          <w:ilvl w:val="1"/>
          <w:numId w:val="5"/>
        </w:numPr>
        <w:rPr>
          <w:rFonts w:ascii="Times New Roman" w:hAnsi="Times New Roman" w:cs="Times New Roman"/>
        </w:rPr>
      </w:pPr>
      <w:r>
        <w:rPr>
          <w:rFonts w:cs="Times New Roman" w:ascii="Times New Roman" w:hAnsi="Times New Roman"/>
          <w:b/>
          <w:bCs/>
        </w:rPr>
        <w:t>Análisis de Sensibilidad Local (ASL):</w:t>
      </w:r>
      <w:r>
        <w:rPr>
          <w:rFonts w:cs="Times New Roman" w:ascii="Times New Roman" w:hAnsi="Times New Roman"/>
        </w:rPr>
        <w:t> Variación parámetro a parámetro.</w:t>
      </w:r>
    </w:p>
    <w:p>
      <w:pPr>
        <w:pStyle w:val="Normal"/>
        <w:numPr>
          <w:ilvl w:val="1"/>
          <w:numId w:val="5"/>
        </w:numPr>
        <w:rPr>
          <w:rFonts w:ascii="Times New Roman" w:hAnsi="Times New Roman" w:cs="Times New Roman"/>
        </w:rPr>
      </w:pPr>
      <w:r>
        <w:rPr>
          <w:rFonts w:cs="Times New Roman" w:ascii="Times New Roman" w:hAnsi="Times New Roman"/>
          <w:b/>
          <w:bCs/>
        </w:rPr>
        <w:t>Análisis de Sensibilidad Global (ASG):</w:t>
      </w:r>
      <w:r>
        <w:rPr>
          <w:rFonts w:cs="Times New Roman" w:ascii="Times New Roman" w:hAnsi="Times New Roman"/>
        </w:rPr>
        <w:t> Método de Sobol con muestreo saltelli.</w:t>
      </w:r>
    </w:p>
    <w:p>
      <w:pPr>
        <w:pStyle w:val="Normal"/>
        <w:numPr>
          <w:ilvl w:val="0"/>
          <w:numId w:val="5"/>
        </w:numPr>
        <w:rPr>
          <w:rFonts w:ascii="Times New Roman" w:hAnsi="Times New Roman" w:cs="Times New Roman"/>
        </w:rPr>
      </w:pPr>
      <w:r>
        <w:rPr>
          <w:rFonts w:cs="Times New Roman" w:ascii="Times New Roman" w:hAnsi="Times New Roman"/>
          <w:i/>
          <w:iCs/>
        </w:rPr>
        <w:t>Salida:</w:t>
      </w:r>
      <w:r>
        <w:rPr>
          <w:rFonts w:cs="Times New Roman" w:ascii="Times New Roman" w:hAnsi="Times New Roman"/>
        </w:rPr>
        <w:t> Ranking de parámetros por índice de influencia.</w:t>
      </w:r>
    </w:p>
    <w:p>
      <w:pPr>
        <w:pStyle w:val="Normal"/>
        <w:tabs>
          <w:tab w:val="clear" w:pos="708"/>
          <w:tab w:val="left" w:pos="720" w:leader="none"/>
        </w:tabs>
        <w:rPr>
          <w:rFonts w:ascii="Times New Roman" w:hAnsi="Times New Roman" w:cs="Times New Roman"/>
        </w:rPr>
      </w:pPr>
      <w:r>
        <w:rPr>
          <w:rFonts w:cs="Times New Roman" w:ascii="Times New Roman" w:hAnsi="Times New Roman"/>
          <w:b/>
          <w:bCs/>
        </w:rPr>
        <w:t>Fase 5: Construcción del Atlas de Turing</w:t>
      </w:r>
      <w:r>
        <w:rPr>
          <w:rFonts w:cs="Times New Roman" w:ascii="Times New Roman" w:hAnsi="Times New Roman"/>
        </w:rPr>
        <w:t> </w:t>
      </w:r>
    </w:p>
    <w:p>
      <w:pPr>
        <w:pStyle w:val="Normal"/>
        <w:tabs>
          <w:tab w:val="clear" w:pos="708"/>
          <w:tab w:val="left" w:pos="720" w:leader="none"/>
        </w:tabs>
        <w:rPr>
          <w:rFonts w:ascii="Times New Roman" w:hAnsi="Times New Roman" w:cs="Times New Roman"/>
        </w:rPr>
      </w:pPr>
      <w:r>
        <w:rPr>
          <w:rFonts w:cs="Times New Roman" w:ascii="Times New Roman" w:hAnsi="Times New Roman"/>
          <w:i/>
          <w:iCs/>
        </w:rPr>
        <w:t>Marco Teórico:</w:t>
      </w:r>
      <w:r>
        <w:rPr>
          <w:rFonts w:cs="Times New Roman" w:ascii="Times New Roman" w:hAnsi="Times New Roman"/>
        </w:rPr>
        <w:t> Adaptación del modelo de reacción-difusión de Turing:</w:t>
      </w:r>
    </w:p>
    <w:p>
      <w:pPr>
        <w:pStyle w:val="Normal"/>
        <w:rPr>
          <w:rFonts w:ascii="Times New Roman" w:hAnsi="Times New Roman" w:cs="Times New Roman"/>
        </w:rPr>
      </w:pPr>
      <w:r>
        <w:rPr>
          <w:rFonts w:cs="Times New Roman" w:ascii="Times New Roman" w:hAnsi="Times New Roman"/>
        </w:rPr>
        <w:t>text</w:t>
      </w:r>
    </w:p>
    <w:p>
      <w:pPr>
        <w:pStyle w:val="Normal"/>
        <w:jc w:val="center"/>
        <w:rPr>
          <w:rFonts w:ascii="Times New Roman" w:hAnsi="Times New Roman" w:eastAsia="" w:cs="Times New Roman" w:eastAsiaTheme="minorEastAsia"/>
        </w:rPr>
      </w:pPr>
      <w:r>
        <w:rPr/>
      </w:r>
      <m:oMathPara xmlns:m="http://schemas.openxmlformats.org/officeDocument/2006/math">
        <m:oMathParaPr>
          <m:jc m:val="center"/>
        </m:oMathParaPr>
        <m:oMath>
          <m:f>
            <m:num>
              <m:r>
                <m:t xml:space="preserve">∂</m:t>
              </m:r>
              <m:r>
                <m:t xml:space="preserve">u</m:t>
              </m:r>
            </m:num>
            <m:den>
              <m:r>
                <m:t xml:space="preserve">∂</m:t>
              </m:r>
              <m:r>
                <m:t xml:space="preserve">t</m:t>
              </m:r>
            </m:den>
          </m:f>
          <m:r>
            <m:rPr>
              <m:lit/>
              <m:nor/>
            </m:rPr>
            <m:t xml:space="preserve"> </m:t>
          </m:r>
          <m:r>
            <m:rPr>
              <m:lit/>
              <m:nor/>
            </m:rPr>
            <m:t xml:space="preserve">=</m:t>
          </m:r>
          <m:r>
            <m:rPr>
              <m:lit/>
              <m:nor/>
            </m:rPr>
            <m:t xml:space="preserve"> </m:t>
          </m:r>
          <m:r>
            <m:t xml:space="preserve">f</m:t>
          </m:r>
          <m:r>
            <m:t xml:space="preserve">(</m:t>
          </m:r>
          <m:r>
            <m:t xml:space="preserve">u</m:t>
          </m:r>
          <m:r>
            <m:t xml:space="preserve">,</m:t>
          </m:r>
          <m:r>
            <m:t xml:space="preserve">v</m:t>
          </m:r>
          <m:r>
            <m:t xml:space="preserve">)</m:t>
          </m:r>
          <m:r>
            <m:rPr>
              <m:lit/>
              <m:nor/>
            </m:rPr>
            <m:t xml:space="preserve"> </m:t>
          </m:r>
          <m:r>
            <m:rPr>
              <m:lit/>
              <m:nor/>
            </m:rPr>
            <m:t xml:space="preserve">+</m:t>
          </m:r>
          <m:r>
            <m:rPr>
              <m:lit/>
              <m:nor/>
            </m:rPr>
            <m:t xml:space="preserve"> </m:t>
          </m:r>
          <m:sSub>
            <m:e>
              <m:r>
                <m:t xml:space="preserve">D</m:t>
              </m:r>
            </m:e>
            <m:sub>
              <m:r>
                <m:t xml:space="preserve">u</m:t>
              </m:r>
            </m:sub>
          </m:sSub>
          <m:r>
            <m:t xml:space="preserve">∇</m:t>
          </m:r>
          <m:r>
            <m:t xml:space="preserve">²</m:t>
          </m:r>
          <m:r>
            <m:t xml:space="preserve">u</m:t>
          </m:r>
        </m:oMath>
      </m:oMathPara>
    </w:p>
    <w:p>
      <w:pPr>
        <w:pStyle w:val="Normal"/>
        <w:jc w:val="center"/>
        <w:rPr>
          <w:rFonts w:ascii="Times New Roman" w:hAnsi="Times New Roman" w:cs="Times New Roman"/>
        </w:rPr>
      </w:pPr>
      <w:r>
        <w:rPr/>
      </w:r>
      <m:oMathPara xmlns:m="http://schemas.openxmlformats.org/officeDocument/2006/math">
        <m:oMathParaPr>
          <m:jc m:val="center"/>
        </m:oMathParaPr>
        <m:oMath>
          <m:f>
            <m:num>
              <m:r>
                <m:t xml:space="preserve">∂</m:t>
              </m:r>
              <m:r>
                <m:t xml:space="preserve">v</m:t>
              </m:r>
            </m:num>
            <m:den>
              <m:r>
                <m:t xml:space="preserve">∂</m:t>
              </m:r>
              <m:r>
                <m:t xml:space="preserve">t</m:t>
              </m:r>
            </m:den>
          </m:f>
          <m:r>
            <m:rPr>
              <m:lit/>
              <m:nor/>
            </m:rPr>
            <m:t xml:space="preserve"> </m:t>
          </m:r>
          <m:r>
            <m:rPr>
              <m:lit/>
              <m:nor/>
            </m:rPr>
            <m:t xml:space="preserve">=</m:t>
          </m:r>
          <m:r>
            <m:rPr>
              <m:lit/>
              <m:nor/>
            </m:rPr>
            <m:t xml:space="preserve"> </m:t>
          </m:r>
          <m:r>
            <m:t xml:space="preserve">g</m:t>
          </m:r>
          <m:r>
            <m:t xml:space="preserve">(</m:t>
          </m:r>
          <m:r>
            <m:t xml:space="preserve">u</m:t>
          </m:r>
          <m:r>
            <m:t xml:space="preserve">,</m:t>
          </m:r>
          <m:r>
            <m:t xml:space="preserve">v</m:t>
          </m:r>
          <m:r>
            <m:t xml:space="preserve">)</m:t>
          </m:r>
          <m:r>
            <m:rPr>
              <m:lit/>
              <m:nor/>
            </m:rPr>
            <m:t xml:space="preserve"> </m:t>
          </m:r>
          <m:r>
            <m:rPr>
              <m:lit/>
              <m:nor/>
            </m:rPr>
            <m:t xml:space="preserve">+</m:t>
          </m:r>
          <m:r>
            <m:rPr>
              <m:lit/>
              <m:nor/>
            </m:rPr>
            <m:t xml:space="preserve"> </m:t>
          </m:r>
          <m:sSub>
            <m:e>
              <m:r>
                <m:t xml:space="preserve">D</m:t>
              </m:r>
            </m:e>
            <m:sub>
              <m:r>
                <m:t xml:space="preserve">v</m:t>
              </m:r>
            </m:sub>
          </m:sSub>
          <m:r>
            <m:t xml:space="preserve">∇</m:t>
          </m:r>
          <m:r>
            <m:t xml:space="preserve">²</m:t>
          </m:r>
          <m:r>
            <m:t xml:space="preserve">v</m:t>
          </m:r>
        </m:oMath>
      </m:oMathPara>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donde u,v representan pares de metabolitos críticos (ej., glucosa/lactato).</w:t>
      </w:r>
    </w:p>
    <w:p>
      <w:pPr>
        <w:pStyle w:val="Normal"/>
        <w:numPr>
          <w:ilvl w:val="0"/>
          <w:numId w:val="6"/>
        </w:numPr>
        <w:rPr>
          <w:rFonts w:ascii="Times New Roman" w:hAnsi="Times New Roman" w:cs="Times New Roman"/>
        </w:rPr>
      </w:pPr>
      <w:r>
        <w:rPr>
          <w:rFonts w:cs="Times New Roman" w:ascii="Times New Roman" w:hAnsi="Times New Roman"/>
          <w:i/>
          <w:iCs/>
        </w:rPr>
        <w:t>Metodología:</w:t>
      </w:r>
    </w:p>
    <w:p>
      <w:pPr>
        <w:pStyle w:val="Normal"/>
        <w:numPr>
          <w:ilvl w:val="1"/>
          <w:numId w:val="6"/>
        </w:numPr>
        <w:rPr>
          <w:rFonts w:ascii="Times New Roman" w:hAnsi="Times New Roman" w:cs="Times New Roman"/>
        </w:rPr>
      </w:pPr>
      <w:r>
        <w:rPr>
          <w:rFonts w:cs="Times New Roman" w:ascii="Times New Roman" w:hAnsi="Times New Roman"/>
          <w:b/>
          <w:bCs/>
        </w:rPr>
        <w:t>Identificación de Candidatos:</w:t>
      </w:r>
      <w:r>
        <w:rPr>
          <w:rFonts w:cs="Times New Roman" w:ascii="Times New Roman" w:hAnsi="Times New Roman"/>
        </w:rPr>
        <w:t> Seleccionar pares de metabolitos que actúen como activador/inhibidor basándose en la topología de red y análisis de sensibilidad.</w:t>
      </w:r>
    </w:p>
    <w:p>
      <w:pPr>
        <w:pStyle w:val="Normal"/>
        <w:numPr>
          <w:ilvl w:val="1"/>
          <w:numId w:val="6"/>
        </w:numPr>
        <w:rPr>
          <w:rFonts w:ascii="Times New Roman" w:hAnsi="Times New Roman" w:cs="Times New Roman"/>
        </w:rPr>
      </w:pPr>
      <w:r>
        <w:rPr>
          <w:rFonts w:cs="Times New Roman" w:ascii="Times New Roman" w:hAnsi="Times New Roman"/>
          <w:b/>
          <w:bCs/>
        </w:rPr>
        <w:t>Análisis de Linealización:</w:t>
      </w:r>
      <w:r>
        <w:rPr>
          <w:rFonts w:cs="Times New Roman" w:ascii="Times New Roman" w:hAnsi="Times New Roman"/>
        </w:rPr>
        <w:t> Estudiar la estabilidad del sistema homogéneo mediante el Jacobiano.</w:t>
      </w:r>
    </w:p>
    <w:p>
      <w:pPr>
        <w:pStyle w:val="Normal"/>
        <w:numPr>
          <w:ilvl w:val="1"/>
          <w:numId w:val="6"/>
        </w:numPr>
        <w:rPr>
          <w:rFonts w:ascii="Times New Roman" w:hAnsi="Times New Roman" w:cs="Times New Roman"/>
        </w:rPr>
      </w:pPr>
      <w:r>
        <w:rPr>
          <w:rFonts w:cs="Times New Roman" w:ascii="Times New Roman" w:hAnsi="Times New Roman"/>
          <w:b/>
          <w:bCs/>
        </w:rPr>
        <w:t>Condiciones de Turing:</w:t>
      </w:r>
      <w:r>
        <w:rPr>
          <w:rFonts w:cs="Times New Roman" w:ascii="Times New Roman" w:hAnsi="Times New Roman"/>
        </w:rPr>
        <w:t> Verificar:</w:t>
      </w:r>
    </w:p>
    <w:p>
      <w:pPr>
        <w:pStyle w:val="Normal"/>
        <w:numPr>
          <w:ilvl w:val="2"/>
          <w:numId w:val="6"/>
        </w:numPr>
        <w:rPr>
          <w:rFonts w:ascii="Times New Roman" w:hAnsi="Times New Roman" w:cs="Times New Roman"/>
        </w:rPr>
      </w:pPr>
      <w:r>
        <w:rPr>
          <w:rFonts w:cs="Times New Roman" w:ascii="Times New Roman" w:hAnsi="Times New Roman"/>
        </w:rPr>
        <w:t>Estabilidad en ausencia de difusión (D</w:t>
      </w:r>
      <w:r>
        <w:rPr>
          <w:rFonts w:cs="Times New Roman" w:ascii="Times New Roman" w:hAnsi="Times New Roman"/>
          <w:vertAlign w:val="subscript"/>
        </w:rPr>
        <w:t>u</w:t>
      </w:r>
      <w:r>
        <w:rPr>
          <w:rFonts w:cs="Times New Roman" w:ascii="Times New Roman" w:hAnsi="Times New Roman"/>
        </w:rPr>
        <w:t xml:space="preserve"> = D</w:t>
      </w:r>
      <w:r>
        <w:rPr>
          <w:rFonts w:cs="Times New Roman" w:ascii="Times New Roman" w:hAnsi="Times New Roman"/>
          <w:vertAlign w:val="subscript"/>
        </w:rPr>
        <w:t>v</w:t>
      </w:r>
      <w:r>
        <w:rPr>
          <w:rFonts w:cs="Times New Roman" w:ascii="Times New Roman" w:hAnsi="Times New Roman"/>
        </w:rPr>
        <w:t xml:space="preserve"> = 0)</w:t>
      </w:r>
    </w:p>
    <w:p>
      <w:pPr>
        <w:pStyle w:val="Normal"/>
        <w:numPr>
          <w:ilvl w:val="2"/>
          <w:numId w:val="6"/>
        </w:numPr>
        <w:rPr>
          <w:rFonts w:ascii="Times New Roman" w:hAnsi="Times New Roman" w:cs="Times New Roman"/>
        </w:rPr>
      </w:pPr>
      <w:r>
        <w:rPr>
          <w:rFonts w:cs="Times New Roman" w:ascii="Times New Roman" w:hAnsi="Times New Roman"/>
        </w:rPr>
        <w:t>Inestabilidad con difusión (D</w:t>
      </w:r>
      <w:r>
        <w:rPr>
          <w:rFonts w:cs="Times New Roman" w:ascii="Times New Roman" w:hAnsi="Times New Roman"/>
          <w:vertAlign w:val="subscript"/>
        </w:rPr>
        <w:t>v</w:t>
      </w:r>
      <w:r>
        <w:rPr>
          <w:rFonts w:cs="Times New Roman" w:ascii="Times New Roman" w:hAnsi="Times New Roman"/>
        </w:rPr>
        <w:t xml:space="preserve"> &gt;&gt; D</w:t>
      </w:r>
      <w:r>
        <w:rPr>
          <w:rFonts w:cs="Times New Roman" w:ascii="Times New Roman" w:hAnsi="Times New Roman"/>
          <w:vertAlign w:val="subscript"/>
        </w:rPr>
        <w:t>u</w:t>
      </w:r>
      <w:r>
        <w:rPr>
          <w:rFonts w:cs="Times New Roman" w:ascii="Times New Roman" w:hAnsi="Times New Roman"/>
        </w:rPr>
        <w:t xml:space="preserve"> típicamente)</w:t>
      </w:r>
    </w:p>
    <w:p>
      <w:pPr>
        <w:pStyle w:val="Normal"/>
        <w:numPr>
          <w:ilvl w:val="1"/>
          <w:numId w:val="6"/>
        </w:numPr>
        <w:rPr>
          <w:rFonts w:ascii="Times New Roman" w:hAnsi="Times New Roman" w:cs="Times New Roman"/>
        </w:rPr>
      </w:pPr>
      <w:r>
        <w:rPr>
          <w:rFonts w:cs="Times New Roman" w:ascii="Times New Roman" w:hAnsi="Times New Roman"/>
          <w:b/>
          <w:bCs/>
        </w:rPr>
        <w:t>Barrido Paramétrico:</w:t>
      </w:r>
      <w:r>
        <w:rPr>
          <w:rFonts w:cs="Times New Roman" w:ascii="Times New Roman" w:hAnsi="Times New Roman"/>
        </w:rPr>
        <w:t> Mapear sistemáticamente el espacio de parámetros (tasas de producción/degradación, coeficientes de difusión) para identificar regiones que satisfagan las condiciones de Turing.</w:t>
      </w:r>
    </w:p>
    <w:p>
      <w:pPr>
        <w:pStyle w:val="Normal"/>
        <w:numPr>
          <w:ilvl w:val="1"/>
          <w:numId w:val="6"/>
        </w:numPr>
        <w:rPr>
          <w:rFonts w:ascii="Times New Roman" w:hAnsi="Times New Roman" w:cs="Times New Roman"/>
        </w:rPr>
      </w:pPr>
      <w:r>
        <w:rPr>
          <w:rFonts w:cs="Times New Roman" w:ascii="Times New Roman" w:hAnsi="Times New Roman"/>
          <w:b/>
          <w:bCs/>
        </w:rPr>
        <w:t>Simulación de Patrones:</w:t>
      </w:r>
      <w:r>
        <w:rPr>
          <w:rFonts w:cs="Times New Roman" w:ascii="Times New Roman" w:hAnsi="Times New Roman"/>
        </w:rPr>
        <w:t> Resolver numéricamente las ecuaciones de reacción-difusión en dominios espaciales 1D y 2D (implementado en PYTHON 3).</w:t>
      </w:r>
    </w:p>
    <w:p>
      <w:pPr>
        <w:pStyle w:val="Normal"/>
        <w:numPr>
          <w:ilvl w:val="1"/>
          <w:numId w:val="6"/>
        </w:numPr>
        <w:rPr>
          <w:rFonts w:ascii="Times New Roman" w:hAnsi="Times New Roman" w:cs="Times New Roman"/>
        </w:rPr>
      </w:pPr>
      <w:r>
        <w:rPr>
          <w:rFonts w:cs="Times New Roman" w:ascii="Times New Roman" w:hAnsi="Times New Roman"/>
          <w:b/>
          <w:bCs/>
        </w:rPr>
        <w:t>Construcción del Atlas:</w:t>
      </w:r>
      <w:r>
        <w:rPr>
          <w:rFonts w:cs="Times New Roman" w:ascii="Times New Roman" w:hAnsi="Times New Roman"/>
        </w:rPr>
        <w:t> Crear un mapa multidimensional (Atlas de Turing) que catalogue los diferentes patrones emergentes (manchas, rayas, mezclas) en función de los parámetros del sistema.</w:t>
      </w:r>
    </w:p>
    <w:p>
      <w:pPr>
        <w:pStyle w:val="Normal"/>
        <w:rPr>
          <w:rFonts w:ascii="Times New Roman" w:hAnsi="Times New Roman" w:cs="Times New Roman"/>
        </w:rPr>
      </w:pPr>
      <w:r>
        <w:rPr>
          <w:rFonts w:cs="Times New Roman" w:ascii="Times New Roman" w:hAnsi="Times New Roman"/>
          <w:b/>
          <w:bCs/>
        </w:rPr>
        <w:t>5. Plan de Trabajo (24 meses)</w:t>
      </w:r>
    </w:p>
    <w:tbl>
      <w:tblPr>
        <w:tblW w:w="7749" w:type="dxa"/>
        <w:jc w:val="center"/>
        <w:tblInd w:w="0" w:type="dxa"/>
        <w:tblLayout w:type="fixed"/>
        <w:tblCellMar>
          <w:top w:w="150" w:type="dxa"/>
          <w:start w:w="0" w:type="dxa"/>
          <w:bottom w:w="150" w:type="dxa"/>
          <w:end w:w="240" w:type="dxa"/>
        </w:tblCellMar>
        <w:tblLook w:val="04a0" w:noHBand="0" w:noVBand="1" w:firstColumn="1" w:lastRow="0" w:lastColumn="0" w:firstRow="1"/>
      </w:tblPr>
      <w:tblGrid>
        <w:gridCol w:w="1253"/>
        <w:gridCol w:w="1473"/>
        <w:gridCol w:w="1594"/>
        <w:gridCol w:w="1714"/>
        <w:gridCol w:w="1715"/>
      </w:tblGrid>
      <w:tr>
        <w:trPr>
          <w:tblHeader w:val="true"/>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cs="Times New Roman"/>
              </w:rPr>
            </w:pPr>
            <w:r>
              <w:rPr>
                <w:rFonts w:cs="Times New Roman" w:ascii="Times New Roman" w:hAnsi="Times New Roman"/>
              </w:rPr>
              <w:t>Objetivos</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rPr>
                <w:rFonts w:ascii="Times New Roman" w:hAnsi="Times New Roman" w:cs="Times New Roman"/>
              </w:rPr>
            </w:pPr>
            <w:r>
              <w:rPr>
                <w:rFonts w:cs="Times New Roman" w:ascii="Times New Roman" w:hAnsi="Times New Roman"/>
              </w:rPr>
              <w:t>Meses 1-6</w:t>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rPr>
                <w:rFonts w:ascii="Times New Roman" w:hAnsi="Times New Roman" w:cs="Times New Roman"/>
              </w:rPr>
            </w:pPr>
            <w:r>
              <w:rPr>
                <w:rFonts w:cs="Times New Roman" w:ascii="Times New Roman" w:hAnsi="Times New Roman"/>
              </w:rPr>
              <w:t>Meses 7-12</w:t>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rPr>
                <w:rFonts w:ascii="Times New Roman" w:hAnsi="Times New Roman" w:cs="Times New Roman"/>
              </w:rPr>
            </w:pPr>
            <w:r>
              <w:rPr>
                <w:rFonts w:cs="Times New Roman" w:ascii="Times New Roman" w:hAnsi="Times New Roman"/>
              </w:rPr>
              <w:t>Meses 13-18</w:t>
            </w:r>
          </w:p>
        </w:tc>
        <w:tc>
          <w:tcPr>
            <w:tcW w:w="1715"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rPr>
                <w:rFonts w:ascii="Times New Roman" w:hAnsi="Times New Roman" w:cs="Times New Roman"/>
              </w:rPr>
            </w:pPr>
            <w:r>
              <w:rPr>
                <w:rFonts w:cs="Times New Roman" w:ascii="Times New Roman" w:hAnsi="Times New Roman"/>
              </w:rPr>
              <w:t>Meses 19-24</w:t>
            </w:r>
          </w:p>
        </w:tc>
      </w:tr>
      <w:tr>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cs="Times New Roman"/>
              </w:rPr>
            </w:pPr>
            <w:r>
              <w:rPr>
                <w:rFonts w:cs="Times New Roman" w:ascii="Times New Roman" w:hAnsi="Times New Roman"/>
              </w:rPr>
              <w:t>1</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r>
      <w:tr>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cs="Times New Roman"/>
              </w:rPr>
            </w:pPr>
            <w:r>
              <w:rPr>
                <w:rFonts w:cs="Times New Roman" w:ascii="Times New Roman" w:hAnsi="Times New Roman"/>
              </w:rPr>
              <w:t>2</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r>
      <w:tr>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cs="Times New Roman"/>
              </w:rPr>
            </w:pPr>
            <w:r>
              <w:rPr>
                <w:rFonts w:cs="Times New Roman" w:ascii="Times New Roman" w:hAnsi="Times New Roman"/>
              </w:rPr>
              <w:t>3</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c>
          <w:tcPr>
            <w:tcW w:w="171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r>
      <w:tr>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cs="Times New Roman"/>
              </w:rPr>
            </w:pPr>
            <w:r>
              <w:rPr>
                <w:rFonts w:cs="Times New Roman" w:ascii="Times New Roman" w:hAnsi="Times New Roman"/>
              </w:rPr>
              <w:t>4</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c>
          <w:tcPr>
            <w:tcW w:w="171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r>
      <w:tr>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Times New Roman" w:hAnsi="Times New Roman" w:cs="Times New Roman"/>
              </w:rPr>
            </w:pPr>
            <w:r>
              <w:rPr>
                <w:rFonts w:cs="Times New Roman" w:ascii="Times New Roman" w:hAnsi="Times New Roman"/>
                <w:b/>
                <w:bCs/>
              </w:rPr>
              <w:t>5</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c>
          <w:tcPr>
            <w:tcW w:w="171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r>
      <w:tr>
        <w:trPr/>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rFonts w:ascii="Times New Roman" w:hAnsi="Times New Roman" w:cs="Times New Roman"/>
              </w:rPr>
            </w:pPr>
            <w:r>
              <w:rPr>
                <w:rFonts w:cs="Times New Roman" w:ascii="Times New Roman" w:hAnsi="Times New Roman"/>
              </w:rPr>
              <w:t>Redacción</w:t>
            </w:r>
          </w:p>
        </w:tc>
        <w:tc>
          <w:tcPr>
            <w:tcW w:w="1473"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59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4"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r>
          </w:p>
        </w:tc>
        <w:tc>
          <w:tcPr>
            <w:tcW w:w="1715"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spacing w:before="0" w:after="160"/>
              <w:jc w:val="center"/>
              <w:rPr>
                <w:rFonts w:ascii="Times New Roman" w:hAnsi="Times New Roman" w:cs="Times New Roman"/>
              </w:rPr>
            </w:pPr>
            <w:r>
              <w:rPr>
                <w:rFonts w:cs="Times New Roman" w:ascii="Times New Roman" w:hAnsi="Times New Roman"/>
              </w:rPr>
              <w:t>x</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7. Resultados Esperados</w:t>
      </w:r>
    </w:p>
    <w:p>
      <w:pPr>
        <w:pStyle w:val="Normal"/>
        <w:numPr>
          <w:ilvl w:val="0"/>
          <w:numId w:val="7"/>
        </w:numPr>
        <w:rPr>
          <w:rFonts w:ascii="Times New Roman" w:hAnsi="Times New Roman" w:cs="Times New Roman"/>
        </w:rPr>
      </w:pPr>
      <w:r>
        <w:rPr>
          <w:rFonts w:cs="Times New Roman" w:ascii="Times New Roman" w:hAnsi="Times New Roman"/>
        </w:rPr>
        <w:t>Caracterización topológica completa de redes metabólicas.</w:t>
      </w:r>
    </w:p>
    <w:p>
      <w:pPr>
        <w:pStyle w:val="Normal"/>
        <w:numPr>
          <w:ilvl w:val="0"/>
          <w:numId w:val="7"/>
        </w:numPr>
        <w:rPr>
          <w:rFonts w:ascii="Times New Roman" w:hAnsi="Times New Roman" w:cs="Times New Roman"/>
        </w:rPr>
      </w:pPr>
      <w:r>
        <w:rPr>
          <w:rFonts w:cs="Times New Roman" w:ascii="Times New Roman" w:hAnsi="Times New Roman"/>
        </w:rPr>
        <w:t>Cuantificación de robustez mediante análisis Monte Carlo.</w:t>
      </w:r>
    </w:p>
    <w:p>
      <w:pPr>
        <w:pStyle w:val="Normal"/>
        <w:numPr>
          <w:ilvl w:val="0"/>
          <w:numId w:val="7"/>
        </w:numPr>
        <w:rPr>
          <w:rFonts w:ascii="Times New Roman" w:hAnsi="Times New Roman" w:cs="Times New Roman"/>
        </w:rPr>
      </w:pPr>
      <w:r>
        <w:rPr>
          <w:rFonts w:cs="Times New Roman" w:ascii="Times New Roman" w:hAnsi="Times New Roman"/>
        </w:rPr>
        <w:t>Modelo dinámico calibrado (SEDO).</w:t>
      </w:r>
    </w:p>
    <w:p>
      <w:pPr>
        <w:pStyle w:val="Normal"/>
        <w:numPr>
          <w:ilvl w:val="0"/>
          <w:numId w:val="7"/>
        </w:numPr>
        <w:rPr>
          <w:rFonts w:ascii="Times New Roman" w:hAnsi="Times New Roman" w:cs="Times New Roman"/>
        </w:rPr>
      </w:pPr>
      <w:r>
        <w:rPr>
          <w:rFonts w:cs="Times New Roman" w:ascii="Times New Roman" w:hAnsi="Times New Roman"/>
        </w:rPr>
        <w:t>Ranking de parámetros sensibles.</w:t>
      </w:r>
    </w:p>
    <w:p>
      <w:pPr>
        <w:pStyle w:val="Normal"/>
        <w:numPr>
          <w:ilvl w:val="0"/>
          <w:numId w:val="7"/>
        </w:numPr>
        <w:rPr>
          <w:rFonts w:ascii="Times New Roman" w:hAnsi="Times New Roman" w:cs="Times New Roman"/>
        </w:rPr>
      </w:pPr>
      <w:r>
        <w:rPr>
          <w:rFonts w:cs="Times New Roman" w:ascii="Times New Roman" w:hAnsi="Times New Roman"/>
        </w:rPr>
        <w:t xml:space="preserve">Atlas de Turing de la red metabólica: Un recurso computacional que predice condiciones para formación de patrones espaciales metabólicos. </w:t>
      </w:r>
    </w:p>
    <w:p>
      <w:pPr>
        <w:pStyle w:val="Normal"/>
        <w:rPr>
          <w:rFonts w:ascii="Times New Roman" w:hAnsi="Times New Roman" w:cs="Times New Roman"/>
        </w:rPr>
      </w:pPr>
      <w:r>
        <w:rPr>
          <w:rFonts w:cs="Times New Roman" w:ascii="Times New Roman" w:hAnsi="Times New Roman"/>
          <w:b/>
          <w:bCs/>
        </w:rPr>
        <w:t>8. Impacto Esperado</w:t>
      </w:r>
      <w:r>
        <w:rPr>
          <w:rFonts w:cs="Times New Roman" w:ascii="Times New Roman" w:hAnsi="Times New Roman"/>
        </w:rPr>
        <w:br/>
        <w:t>La construcción del Atlas de Turing representaría un avance conceptual al proporcionar:</w:t>
      </w:r>
    </w:p>
    <w:p>
      <w:pPr>
        <w:pStyle w:val="Normal"/>
        <w:numPr>
          <w:ilvl w:val="0"/>
          <w:numId w:val="8"/>
        </w:numPr>
        <w:rPr>
          <w:rFonts w:ascii="Times New Roman" w:hAnsi="Times New Roman" w:cs="Times New Roman"/>
        </w:rPr>
      </w:pPr>
      <w:r>
        <w:rPr>
          <w:rFonts w:cs="Times New Roman" w:ascii="Times New Roman" w:hAnsi="Times New Roman"/>
        </w:rPr>
        <w:t>Un marco predictivo para la heterogeneidad metabólica intratumoral.</w:t>
      </w:r>
    </w:p>
    <w:p>
      <w:pPr>
        <w:pStyle w:val="Normal"/>
        <w:numPr>
          <w:ilvl w:val="0"/>
          <w:numId w:val="8"/>
        </w:numPr>
        <w:rPr>
          <w:rFonts w:ascii="Times New Roman" w:hAnsi="Times New Roman" w:cs="Times New Roman"/>
        </w:rPr>
      </w:pPr>
      <w:r>
        <w:rPr>
          <w:rFonts w:cs="Times New Roman" w:ascii="Times New Roman" w:hAnsi="Times New Roman"/>
        </w:rPr>
        <w:t>Hipótesis novedosas sobre la organización espacial del metabolismo canceroso.</w:t>
      </w:r>
    </w:p>
    <w:p>
      <w:pPr>
        <w:pStyle w:val="Normal"/>
        <w:numPr>
          <w:ilvl w:val="0"/>
          <w:numId w:val="8"/>
        </w:numPr>
        <w:rPr>
          <w:rFonts w:ascii="Times New Roman" w:hAnsi="Times New Roman" w:cs="Times New Roman"/>
        </w:rPr>
      </w:pPr>
      <w:r>
        <w:rPr>
          <w:rFonts w:cs="Times New Roman" w:ascii="Times New Roman" w:hAnsi="Times New Roman"/>
        </w:rPr>
        <w:t>Posibles nuevas estrategias terapéuticas basadas en la interrupción de patrones metabólicos patológicos.</w:t>
      </w:r>
    </w:p>
    <w:p>
      <w:pPr>
        <w:pStyle w:val="Normal"/>
        <w:rPr>
          <w:rFonts w:ascii="Times New Roman" w:hAnsi="Times New Roman" w:cs="Times New Roman"/>
        </w:rPr>
      </w:pPr>
      <w:r>
        <w:rPr>
          <w:rFonts w:cs="Times New Roman" w:ascii="Times New Roman" w:hAnsi="Times New Roman"/>
          <w:b/>
          <w:bCs/>
        </w:rPr>
        <w:t>9. Consideraciones Éticas y Limitaciones</w:t>
      </w:r>
    </w:p>
    <w:p>
      <w:pPr>
        <w:pStyle w:val="Normal"/>
        <w:numPr>
          <w:ilvl w:val="0"/>
          <w:numId w:val="9"/>
        </w:numPr>
        <w:rPr>
          <w:rFonts w:ascii="Times New Roman" w:hAnsi="Times New Roman" w:cs="Times New Roman"/>
        </w:rPr>
      </w:pPr>
      <w:r>
        <w:rPr>
          <w:rFonts w:cs="Times New Roman" w:ascii="Times New Roman" w:hAnsi="Times New Roman"/>
          <w:i/>
          <w:iCs/>
        </w:rPr>
        <w:t>Ética:</w:t>
      </w:r>
      <w:r>
        <w:rPr>
          <w:rFonts w:cs="Times New Roman" w:ascii="Times New Roman" w:hAnsi="Times New Roman"/>
        </w:rPr>
        <w:t> Proyecto computacional usando datos públicos anonimizados.</w:t>
      </w:r>
    </w:p>
    <w:p>
      <w:pPr>
        <w:pStyle w:val="Normal"/>
        <w:numPr>
          <w:ilvl w:val="0"/>
          <w:numId w:val="9"/>
        </w:numPr>
        <w:rPr>
          <w:rFonts w:ascii="Times New Roman" w:hAnsi="Times New Roman" w:cs="Times New Roman"/>
        </w:rPr>
      </w:pPr>
      <w:r>
        <w:rPr>
          <w:rFonts w:cs="Times New Roman" w:ascii="Times New Roman" w:hAnsi="Times New Roman"/>
          <w:i/>
          <w:iCs/>
        </w:rPr>
        <w:t>Limitaciones:</w:t>
      </w:r>
    </w:p>
    <w:p>
      <w:pPr>
        <w:pStyle w:val="Normal"/>
        <w:numPr>
          <w:ilvl w:val="1"/>
          <w:numId w:val="9"/>
        </w:numPr>
        <w:rPr>
          <w:rFonts w:ascii="Times New Roman" w:hAnsi="Times New Roman" w:cs="Times New Roman"/>
        </w:rPr>
      </w:pPr>
      <w:r>
        <w:rPr>
          <w:rFonts w:cs="Times New Roman" w:ascii="Times New Roman" w:hAnsi="Times New Roman"/>
        </w:rPr>
        <w:t>Escasez de datos cinéticos </w:t>
      </w:r>
      <w:r>
        <w:rPr>
          <w:rFonts w:cs="Times New Roman" w:ascii="Times New Roman" w:hAnsi="Times New Roman"/>
          <w:i/>
          <w:iCs/>
        </w:rPr>
        <w:t>in vivo</w:t>
      </w:r>
      <w:r>
        <w:rPr>
          <w:rFonts w:cs="Times New Roman" w:ascii="Times New Roman" w:hAnsi="Times New Roman"/>
        </w:rPr>
        <w:t>.</w:t>
      </w:r>
    </w:p>
    <w:p>
      <w:pPr>
        <w:pStyle w:val="Normal"/>
        <w:numPr>
          <w:ilvl w:val="1"/>
          <w:numId w:val="9"/>
        </w:numPr>
        <w:rPr>
          <w:rFonts w:ascii="Times New Roman" w:hAnsi="Times New Roman" w:cs="Times New Roman"/>
        </w:rPr>
      </w:pPr>
      <w:r>
        <w:rPr>
          <w:rFonts w:cs="Times New Roman" w:ascii="Times New Roman" w:hAnsi="Times New Roman"/>
        </w:rPr>
        <w:t>Supuestos simplificados sobre coeficientes de difusión en microambientes tumorales.</w:t>
      </w:r>
    </w:p>
    <w:p>
      <w:pPr>
        <w:pStyle w:val="Normal"/>
        <w:numPr>
          <w:ilvl w:val="1"/>
          <w:numId w:val="9"/>
        </w:numPr>
        <w:rPr>
          <w:rFonts w:ascii="Times New Roman" w:hAnsi="Times New Roman" w:cs="Times New Roman"/>
        </w:rPr>
      </w:pPr>
      <w:r>
        <w:rPr>
          <w:rFonts w:cs="Times New Roman" w:ascii="Times New Roman" w:hAnsi="Times New Roman"/>
        </w:rPr>
        <w:t>Validación experimental requeriría técnicas de imagen metabólica avanzada.</w:t>
      </w:r>
    </w:p>
    <w:p>
      <w:pPr>
        <w:pStyle w:val="Normal"/>
        <w:rPr>
          <w:rFonts w:ascii="Times New Roman" w:hAnsi="Times New Roman" w:cs="Times New Roman"/>
          <w:b/>
          <w:bCs/>
        </w:rPr>
      </w:pPr>
      <w:r>
        <w:rPr>
          <w:rFonts w:cs="Times New Roman" w:ascii="Times New Roman" w:hAnsi="Times New Roman"/>
          <w:b/>
          <w:bCs/>
        </w:rPr>
        <w:t>10. Referencias Bibliográficas</w:t>
      </w:r>
    </w:p>
    <w:p>
      <w:pPr>
        <w:pStyle w:val="Normal"/>
        <w:ind w:hanging="480"/>
        <w:rPr>
          <w:rFonts w:ascii="Times New Roman" w:hAnsi="Times New Roman" w:eastAsia="Times New Roman" w:cs="Times New Roman"/>
          <w:color w:val="000000"/>
          <w:kern w:val="0"/>
          <w:lang w:val="es-ES"/>
          <w14:ligatures w14:val="none"/>
        </w:rPr>
      </w:pPr>
      <w:sdt>
        <w:sdtPr>
          <w:placeholder>
            <w:docPart w:val="DefaultPlaceholder_-1854013440"/>
          </w:placeholder>
          <w:tag w:val="MENDELEY_BIBLIOGRAPHY"/>
          <w:id w:val="-733629172"/>
          <w:text/>
        </w:sdtPr>
        <w:sdtContent>
          <w:r>
            <w:rPr>
              <w:rFonts w:eastAsia="Times New Roman" w:cs="Times New Roman" w:ascii="Times New Roman" w:hAnsi="Times New Roman"/>
              <w:color w:themeColor="text1" w:val="000000"/>
              <w:lang w:val="es-ES"/>
            </w:rPr>
          </w:r>
          <w:r>
            <w:rPr>
              <w:rFonts w:eastAsia="Times New Roman" w:cs="Times New Roman" w:ascii="Times New Roman" w:hAnsi="Times New Roman"/>
              <w:color w:themeColor="text1" w:val="000000"/>
              <w:lang w:val="es-ES"/>
            </w:rPr>
            <w:t xml:space="preserve">Aguilar Elguea, I. Zi. (2024). </w:t>
          </w:r>
          <w:r>
            <w:rPr>
              <w:rFonts w:eastAsia="Times New Roman" w:cs="Times New Roman" w:ascii="Times New Roman" w:hAnsi="Times New Roman"/>
              <w:i/>
              <w:iCs/>
              <w:color w:themeColor="text1" w:val="000000"/>
              <w:lang w:val="es-ES"/>
            </w:rPr>
            <w:t>CARACTERIZACION DINAMICA DEL PAISAJE EPIGENÉTICO DISCRETO YCONTINUO DE LA RED DE DIFERENCIACIÓN CELULAR DE LINFOCITOST CD4 +</w:t>
          </w:r>
          <w:r>
            <w:rPr>
              <w:rFonts w:eastAsia="Times New Roman" w:cs="Times New Roman" w:ascii="Times New Roman" w:hAnsi="Times New Roman"/>
              <w:color w:themeColor="text1" w:val="000000"/>
              <w:lang w:val="es-ES"/>
            </w:rPr>
            <w:t>. UNAM.</w:t>
          </w:r>
        </w:sdtContent>
      </w:sdt>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Barabási, A. L., &amp; Oltvai, Z. N. (2004). Network biology: Understanding the cell’s functional organization. In </w:t>
      </w:r>
      <w:r>
        <w:rPr>
          <w:rFonts w:eastAsia="Times New Roman" w:cs="Times New Roman" w:ascii="Times New Roman" w:hAnsi="Times New Roman"/>
          <w:i/>
          <w:iCs/>
          <w:color w:val="000000"/>
        </w:rPr>
        <w:t>Nature Reviews Genetics</w:t>
      </w:r>
      <w:r>
        <w:rPr>
          <w:rFonts w:eastAsia="Times New Roman" w:cs="Times New Roman" w:ascii="Times New Roman" w:hAnsi="Times New Roman"/>
          <w:color w:val="000000"/>
        </w:rPr>
        <w:t xml:space="preserve"> (Vol. 5, Issue 2, pp. 101–113). https://doi.org/10.1038/nrg1272</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Brennan, M., Krause, A. L., Villar-Sepúlveda, E., &amp; Prior, C. B. (2025). Pattern Formation as a Resilience Mechanism in Cancer Immunotherapy. </w:t>
      </w:r>
      <w:r>
        <w:rPr>
          <w:rFonts w:eastAsia="Times New Roman" w:cs="Times New Roman" w:ascii="Times New Roman" w:hAnsi="Times New Roman"/>
          <w:i/>
          <w:iCs/>
          <w:color w:val="000000"/>
        </w:rPr>
        <w:t>Bulletin of Mathematical Biology</w:t>
      </w:r>
      <w:r>
        <w:rPr>
          <w:rFonts w:eastAsia="Times New Roman" w:cs="Times New Roman" w:ascii="Times New Roman" w:hAnsi="Times New Roman"/>
          <w:color w:val="000000"/>
        </w:rPr>
        <w:t xml:space="preserve">, </w:t>
      </w:r>
      <w:r>
        <w:rPr>
          <w:rFonts w:eastAsia="Times New Roman" w:cs="Times New Roman" w:ascii="Times New Roman" w:hAnsi="Times New Roman"/>
          <w:i/>
          <w:iCs/>
          <w:color w:val="000000"/>
        </w:rPr>
        <w:t>87</w:t>
      </w:r>
      <w:r>
        <w:rPr>
          <w:rFonts w:eastAsia="Times New Roman" w:cs="Times New Roman" w:ascii="Times New Roman" w:hAnsi="Times New Roman"/>
          <w:color w:val="000000"/>
        </w:rPr>
        <w:t>(8). https://doi.org/10.1007/s11538-025-01485-3</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Gatenby, R. A., &amp; Gillies, R. J. (2004). Why do cancers have high aerobic glycolysis? In </w:t>
      </w:r>
      <w:r>
        <w:rPr>
          <w:rFonts w:eastAsia="Times New Roman" w:cs="Times New Roman" w:ascii="Times New Roman" w:hAnsi="Times New Roman"/>
          <w:i/>
          <w:iCs/>
          <w:color w:val="000000"/>
        </w:rPr>
        <w:t>Nature Reviews Cancer</w:t>
      </w:r>
      <w:r>
        <w:rPr>
          <w:rFonts w:eastAsia="Times New Roman" w:cs="Times New Roman" w:ascii="Times New Roman" w:hAnsi="Times New Roman"/>
          <w:color w:val="000000"/>
        </w:rPr>
        <w:t xml:space="preserve"> (Vol. 4, Issue 11, pp. 891–899). https://doi.org/10.1038/nrc1478</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Hanahan, D., &amp; Weinberg, R. A. (2011). Hallmarks of cancer: The next generation. In </w:t>
      </w:r>
      <w:r>
        <w:rPr>
          <w:rFonts w:eastAsia="Times New Roman" w:cs="Times New Roman" w:ascii="Times New Roman" w:hAnsi="Times New Roman"/>
          <w:i/>
          <w:iCs/>
          <w:color w:val="000000"/>
        </w:rPr>
        <w:t>Cell</w:t>
      </w:r>
      <w:r>
        <w:rPr>
          <w:rFonts w:eastAsia="Times New Roman" w:cs="Times New Roman" w:ascii="Times New Roman" w:hAnsi="Times New Roman"/>
          <w:color w:val="000000"/>
        </w:rPr>
        <w:t xml:space="preserve"> (Vol. 144, Issue 5, pp. 646–674). https://doi.org/10.1016/j.cell.2011.02.013</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Kondo, S., &amp; Miura, T. (2010). Reaction-diffusion model as a framework for understanding biological pattern formation. In </w:t>
      </w:r>
      <w:r>
        <w:rPr>
          <w:rFonts w:eastAsia="Times New Roman" w:cs="Times New Roman" w:ascii="Times New Roman" w:hAnsi="Times New Roman"/>
          <w:i/>
          <w:iCs/>
          <w:color w:val="000000"/>
        </w:rPr>
        <w:t>Science</w:t>
      </w:r>
      <w:r>
        <w:rPr>
          <w:rFonts w:eastAsia="Times New Roman" w:cs="Times New Roman" w:ascii="Times New Roman" w:hAnsi="Times New Roman"/>
          <w:color w:val="000000"/>
        </w:rPr>
        <w:t xml:space="preserve"> (Vol. 329, Issue 5999, pp. 1616–1620). American Association for the Advancement of Science. https://doi.org/10.1126/science.1179047</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Swartz, H. M., Harrison, D. K., &amp; Bruley Editors, D. F. (2013). </w:t>
      </w:r>
      <w:r>
        <w:rPr>
          <w:rFonts w:eastAsia="Times New Roman" w:cs="Times New Roman" w:ascii="Times New Roman" w:hAnsi="Times New Roman"/>
          <w:i/>
          <w:iCs/>
          <w:color w:val="000000"/>
        </w:rPr>
        <w:t>Oxygen Transport to Tissue XXXVI</w:t>
      </w:r>
      <w:r>
        <w:rPr>
          <w:rFonts w:eastAsia="Times New Roman" w:cs="Times New Roman" w:ascii="Times New Roman" w:hAnsi="Times New Roman"/>
          <w:color w:val="000000"/>
        </w:rPr>
        <w:t xml:space="preserve"> (Vol. 812). Srpinger. http://www.springer.com/series/5584</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Turing, A. M. (1990). THE CHEMICAL BASIS OF MORPHOGENESIS* 9 A. In </w:t>
      </w:r>
      <w:r>
        <w:rPr>
          <w:rFonts w:eastAsia="Times New Roman" w:cs="Times New Roman" w:ascii="Times New Roman" w:hAnsi="Times New Roman"/>
          <w:i/>
          <w:iCs/>
          <w:color w:val="000000"/>
        </w:rPr>
        <w:t>Bulletin of Mathematical Biology</w:t>
      </w:r>
      <w:r>
        <w:rPr>
          <w:rFonts w:eastAsia="Times New Roman" w:cs="Times New Roman" w:ascii="Times New Roman" w:hAnsi="Times New Roman"/>
          <w:color w:val="000000"/>
        </w:rPr>
        <w:t xml:space="preserve"> (Vol. 52, Issue 1).</w:t>
      </w:r>
    </w:p>
    <w:p>
      <w:pPr>
        <w:pStyle w:val="Normal"/>
        <w:ind w:hanging="480"/>
        <w:rPr>
          <w:rFonts w:ascii="Times New Roman" w:hAnsi="Times New Roman" w:eastAsia="Times New Roman" w:cs="Times New Roman"/>
          <w:color w:val="000000"/>
        </w:rPr>
      </w:pPr>
      <w:r>
        <w:rPr>
          <w:rFonts w:eastAsia="Times New Roman" w:cs="Times New Roman" w:ascii="Times New Roman" w:hAnsi="Times New Roman"/>
          <w:color w:val="000000"/>
        </w:rPr>
        <w:t xml:space="preserve">Zhang, J., Pavlova, N. N., &amp; Thompson, C. B. (2017). Cancer cell metabolism: the essential role of the nonessential amino acid, glutamine. </w:t>
      </w:r>
      <w:r>
        <w:rPr>
          <w:rFonts w:eastAsia="Times New Roman" w:cs="Times New Roman" w:ascii="Times New Roman" w:hAnsi="Times New Roman"/>
          <w:i/>
          <w:iCs/>
          <w:color w:val="000000"/>
        </w:rPr>
        <w:t>The EMBO Journal</w:t>
      </w:r>
      <w:r>
        <w:rPr>
          <w:rFonts w:eastAsia="Times New Roman" w:cs="Times New Roman" w:ascii="Times New Roman" w:hAnsi="Times New Roman"/>
          <w:color w:val="000000"/>
        </w:rPr>
        <w:t xml:space="preserve">, </w:t>
      </w:r>
      <w:r>
        <w:rPr>
          <w:rFonts w:eastAsia="Times New Roman" w:cs="Times New Roman" w:ascii="Times New Roman" w:hAnsi="Times New Roman"/>
          <w:i/>
          <w:iCs/>
          <w:color w:val="000000"/>
        </w:rPr>
        <w:t>36</w:t>
      </w:r>
      <w:r>
        <w:rPr>
          <w:rFonts w:eastAsia="Times New Roman" w:cs="Times New Roman" w:ascii="Times New Roman" w:hAnsi="Times New Roman"/>
          <w:color w:val="000000"/>
        </w:rPr>
        <w:t>(10), 1302–1315. https://doi.org/10.15252/embj.201696151</w:t>
      </w:r>
    </w:p>
    <w:p>
      <w:pPr>
        <w:pStyle w:val="Normal"/>
        <w:spacing w:before="0" w:after="160"/>
        <w:rPr>
          <w:rFonts w:ascii="Times New Roman" w:hAnsi="Times New Roman" w:cs="Times New Roman"/>
        </w:rPr>
      </w:pPr>
      <w:r>
        <w:rPr>
          <w:rFonts w:eastAsia="Times New Roman" w:cs="Times New Roman" w:ascii="Times New Roman" w:hAnsi="Times New Roman"/>
          <w:color w:val="000000"/>
        </w:rPr>
        <w:t>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b/>
        <w:bCs/>
      </w:rPr>
    </w:pPr>
    <w:r>
      <w:drawing>
        <wp:anchor behindDoc="1" distT="0" distB="0" distL="114300" distR="114300" simplePos="0" locked="0" layoutInCell="0" allowOverlap="1" relativeHeight="2">
          <wp:simplePos x="0" y="0"/>
          <wp:positionH relativeFrom="margin">
            <wp:posOffset>-1077595</wp:posOffset>
          </wp:positionH>
          <wp:positionV relativeFrom="paragraph">
            <wp:posOffset>-427355</wp:posOffset>
          </wp:positionV>
          <wp:extent cx="719455" cy="856615"/>
          <wp:effectExtent l="0" t="0" r="0" b="0"/>
          <wp:wrapSquare wrapText="bothSides"/>
          <wp:docPr id="1"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a persona&#10;&#10;El contenido generado por IA puede ser incorrecto."/>
                  <pic:cNvPicPr>
                    <a:picLocks noChangeAspect="1" noChangeArrowheads="1"/>
                  </pic:cNvPicPr>
                </pic:nvPicPr>
                <pic:blipFill>
                  <a:blip r:embed="rId1"/>
                  <a:stretch>
                    <a:fillRect/>
                  </a:stretch>
                </pic:blipFill>
                <pic:spPr bwMode="auto">
                  <a:xfrm>
                    <a:off x="0" y="0"/>
                    <a:ext cx="719455" cy="856615"/>
                  </a:xfrm>
                  <a:prstGeom prst="rect">
                    <a:avLst/>
                  </a:prstGeom>
                  <a:noFill/>
                </pic:spPr>
              </pic:pic>
            </a:graphicData>
          </a:graphic>
        </wp:anchor>
      </w:drawing>
      <w:drawing>
        <wp:anchor behindDoc="1" distT="0" distB="0" distL="114300" distR="114300" simplePos="0" locked="0" layoutInCell="0" allowOverlap="1" relativeHeight="3">
          <wp:simplePos x="0" y="0"/>
          <wp:positionH relativeFrom="column">
            <wp:posOffset>5652135</wp:posOffset>
          </wp:positionH>
          <wp:positionV relativeFrom="paragraph">
            <wp:posOffset>-421005</wp:posOffset>
          </wp:positionV>
          <wp:extent cx="719455" cy="864870"/>
          <wp:effectExtent l="0" t="0" r="0" b="0"/>
          <wp:wrapSquare wrapText="bothSides"/>
          <wp:docPr id="2" name="Imagen 2"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de una persona&#10;&#10;El contenido generado por IA puede ser incorrecto."/>
                  <pic:cNvPicPr>
                    <a:picLocks noChangeAspect="1" noChangeArrowheads="1"/>
                  </pic:cNvPicPr>
                </pic:nvPicPr>
                <pic:blipFill>
                  <a:blip r:embed="rId2"/>
                  <a:stretch>
                    <a:fillRect/>
                  </a:stretch>
                </pic:blipFill>
                <pic:spPr bwMode="auto">
                  <a:xfrm>
                    <a:off x="0" y="0"/>
                    <a:ext cx="719455" cy="864870"/>
                  </a:xfrm>
                  <a:prstGeom prst="rect">
                    <a:avLst/>
                  </a:prstGeom>
                  <a:noFill/>
                </pic:spPr>
              </pic:pic>
            </a:graphicData>
          </a:graphic>
        </wp:anchor>
      </w:drawing>
    </w:r>
    <w:r>
      <w:rPr>
        <w:rFonts w:cs="Times New Roman" w:ascii="Times New Roman" w:hAnsi="Times New Roman"/>
        <w:b/>
        <w:bCs/>
      </w:rPr>
      <w:t>Universidad Autónoma de San Luis Potosí</w:t>
    </w:r>
  </w:p>
  <w:p>
    <w:pPr>
      <w:pStyle w:val="Header"/>
      <w:jc w:val="center"/>
      <w:rPr>
        <w:rFonts w:ascii="Times New Roman" w:hAnsi="Times New Roman" w:cs="Times New Roman"/>
        <w:b/>
        <w:bCs/>
      </w:rPr>
    </w:pPr>
    <w:r>
      <w:rPr>
        <w:rFonts w:cs="Times New Roman" w:ascii="Times New Roman" w:hAnsi="Times New Roman"/>
        <w:b/>
        <w:bCs/>
      </w:rPr>
      <w:t>Facultad de Ciencias Química</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U" w:eastAsia="en-US" w:bidi="ar-SA"/>
        <w14:ligatures w14:val="standardContextual"/>
      </w:rPr>
    </w:rPrDefault>
    <w:pPrDefault>
      <w:pPr>
        <w:suppressAutoHyphens w:val="true"/>
        <w:spacing w:lineRule="auto" w:line="276"/>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6495"/>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CU" w:eastAsia="en-US" w:bidi="ar-SA"/>
      <w14:ligatures w14:val="standardContextual"/>
    </w:rPr>
  </w:style>
  <w:style w:type="paragraph" w:styleId="Heading1">
    <w:name w:val="heading 1"/>
    <w:basedOn w:val="Normal"/>
    <w:next w:val="Normal"/>
    <w:link w:val="Ttulo1Car"/>
    <w:uiPriority w:val="9"/>
    <w:qFormat/>
    <w:rsid w:val="00215a9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215a9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215a9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215a9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215a9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215a9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215a9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215a9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215a9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sid w:val="00966495"/>
    <w:rPr/>
  </w:style>
  <w:style w:type="character" w:styleId="Ttulo1Car" w:customStyle="1">
    <w:name w:val="Título 1 Car"/>
    <w:basedOn w:val="DefaultParagraphFont"/>
    <w:uiPriority w:val="9"/>
    <w:qFormat/>
    <w:rsid w:val="00215a92"/>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215a92"/>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215a92"/>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215a92"/>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215a92"/>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215a92"/>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215a92"/>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215a92"/>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215a92"/>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215a9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215a92"/>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215a92"/>
    <w:rPr>
      <w:i/>
      <w:iCs/>
      <w:color w:themeColor="text1" w:themeTint="bf" w:val="404040"/>
    </w:rPr>
  </w:style>
  <w:style w:type="character" w:styleId="IntenseEmphasis">
    <w:name w:val="Intense Emphasis"/>
    <w:basedOn w:val="DefaultParagraphFont"/>
    <w:uiPriority w:val="21"/>
    <w:qFormat/>
    <w:rsid w:val="00215a92"/>
    <w:rPr>
      <w:i/>
      <w:iCs/>
      <w:color w:themeColor="accent1" w:themeShade="bf" w:val="0F4761"/>
    </w:rPr>
  </w:style>
  <w:style w:type="character" w:styleId="CitadestacadaCar" w:customStyle="1">
    <w:name w:val="Cita destacada Car"/>
    <w:basedOn w:val="DefaultParagraphFont"/>
    <w:link w:val="IntenseQuote"/>
    <w:uiPriority w:val="30"/>
    <w:qFormat/>
    <w:rsid w:val="00215a92"/>
    <w:rPr>
      <w:i/>
      <w:iCs/>
      <w:color w:themeColor="accent1" w:themeShade="bf" w:val="0F4761"/>
    </w:rPr>
  </w:style>
  <w:style w:type="character" w:styleId="IntenseReference">
    <w:name w:val="Intense Reference"/>
    <w:basedOn w:val="DefaultParagraphFont"/>
    <w:uiPriority w:val="32"/>
    <w:qFormat/>
    <w:rsid w:val="00215a92"/>
    <w:rPr>
      <w:b/>
      <w:bCs/>
      <w:smallCaps/>
      <w:color w:themeColor="accent1" w:themeShade="bf" w:val="0F4761"/>
      <w:spacing w:val="5"/>
    </w:rPr>
  </w:style>
  <w:style w:type="character" w:styleId="EncabezadoCar" w:customStyle="1">
    <w:name w:val="Encabezado Car"/>
    <w:basedOn w:val="DefaultParagraphFont"/>
    <w:uiPriority w:val="99"/>
    <w:qFormat/>
    <w:rsid w:val="004c4247"/>
    <w:rPr/>
  </w:style>
  <w:style w:type="character" w:styleId="PiedepginaCar" w:customStyle="1">
    <w:name w:val="Pie de página Car"/>
    <w:basedOn w:val="DefaultParagraphFont"/>
    <w:uiPriority w:val="99"/>
    <w:qFormat/>
    <w:rsid w:val="004c4247"/>
    <w:rPr/>
  </w:style>
  <w:style w:type="character" w:styleId="Hyperlink">
    <w:name w:val="Hyperlink"/>
    <w:basedOn w:val="DefaultParagraphFont"/>
    <w:uiPriority w:val="99"/>
    <w:unhideWhenUsed/>
    <w:rsid w:val="00111824"/>
    <w:rPr>
      <w:color w:themeColor="hyperlink" w:val="467886"/>
      <w:u w:val="single"/>
    </w:rPr>
  </w:style>
  <w:style w:type="character" w:styleId="UnresolvedMention">
    <w:name w:val="Unresolved Mention"/>
    <w:basedOn w:val="DefaultParagraphFont"/>
    <w:uiPriority w:val="99"/>
    <w:semiHidden/>
    <w:unhideWhenUsed/>
    <w:qFormat/>
    <w:rsid w:val="00111824"/>
    <w:rPr>
      <w:color w:val="605E5C"/>
      <w:shd w:fill="E1DFDD" w:val="clear"/>
    </w:rPr>
  </w:style>
  <w:style w:type="character" w:styleId="PlaceholderText">
    <w:name w:val="Placeholder Text"/>
    <w:basedOn w:val="DefaultParagraphFont"/>
    <w:uiPriority w:val="99"/>
    <w:semiHidden/>
    <w:qFormat/>
    <w:rsid w:val="000e08ba"/>
    <w:rPr>
      <w:color w:val="66666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215a9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215a92"/>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215a92"/>
    <w:pPr>
      <w:spacing w:before="160" w:after="160"/>
      <w:jc w:val="center"/>
    </w:pPr>
    <w:rPr>
      <w:i/>
      <w:iCs/>
      <w:color w:themeColor="text1" w:themeTint="bf" w:val="404040"/>
    </w:rPr>
  </w:style>
  <w:style w:type="paragraph" w:styleId="ListParagraph">
    <w:name w:val="List Paragraph"/>
    <w:basedOn w:val="Normal"/>
    <w:uiPriority w:val="34"/>
    <w:qFormat/>
    <w:rsid w:val="00215a92"/>
    <w:pPr>
      <w:spacing w:before="0" w:after="160"/>
      <w:ind w:start="720"/>
      <w:contextualSpacing/>
    </w:pPr>
    <w:rPr/>
  </w:style>
  <w:style w:type="paragraph" w:styleId="IntenseQuote">
    <w:name w:val="Intense Quote"/>
    <w:basedOn w:val="Normal"/>
    <w:next w:val="Normal"/>
    <w:link w:val="CitadestacadaCar"/>
    <w:uiPriority w:val="30"/>
    <w:qFormat/>
    <w:rsid w:val="00215a9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EncabezadoCar"/>
    <w:uiPriority w:val="99"/>
    <w:unhideWhenUsed/>
    <w:rsid w:val="004c424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4c4247"/>
    <w:pPr>
      <w:tabs>
        <w:tab w:val="clear" w:pos="708"/>
        <w:tab w:val="center" w:pos="4252" w:leader="none"/>
        <w:tab w:val="right" w:pos="8504" w:leader="none"/>
      </w:tabs>
      <w:spacing w:lineRule="auto" w:line="240" w:before="0" w:after="0"/>
    </w:pPr>
    <w:rPr/>
  </w:style>
  <w:style w:type="numbering" w:styleId="Ningunalista" w:default="1">
    <w:name w:val="Ninguna lista"/>
    <w:uiPriority w:val="99"/>
    <w:semiHidden/>
    <w:unhideWhenUsed/>
    <w:qFormat/>
    <w:rsid w:val="00966495"/>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1527C1C3A40DAB47C3475EA5797F3"/>
        <w:category>
          <w:name w:val="General"/>
          <w:gallery w:val="placeholder"/>
        </w:category>
        <w:types>
          <w:type w:val="bbPlcHdr"/>
        </w:types>
        <w:behaviors>
          <w:behavior w:val="content"/>
        </w:behaviors>
        <w:guid w:val="{5FF1C784-22C6-4B45-9F68-C1F3DB0367F4}"/>
      </w:docPartPr>
      <w:docPartBody>
        <w:p xmlns:wp14="http://schemas.microsoft.com/office/word/2010/wordml" w:rsidR="00852CE5" w:rsidP="005E729B" w:rsidRDefault="005E729B" w14:paraId="024C5B7A" wp14:textId="77777777">
          <w:pPr>
            <w:pStyle w:val="FC81527C1C3A40DAB47C3475EA5797F3"/>
          </w:pPr>
          <w:r w:rsidRPr="006433BB">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7AB1406D-344C-44F6-891B-317E1AC5A1B8}"/>
      </w:docPartPr>
      <w:docPartBody>
        <w:p xmlns:wp14="http://schemas.microsoft.com/office/word/2010/wordml" w:rsidR="003A5721" w:rsidRDefault="00852CE5" w14:paraId="09E63982" wp14:textId="77777777">
          <w:r w:rsidRPr="00421B3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29B"/>
    <w:rsid w:val="003A5721"/>
    <w:rsid w:val="0053540F"/>
    <w:rsid w:val="00542281"/>
    <w:rsid w:val="005E729B"/>
    <w:rsid w:val="007A4BEC"/>
    <w:rsid w:val="00852CE5"/>
    <w:rsid w:val="008C44F3"/>
    <w:rsid w:val="00AD4FB1"/>
    <w:rsid w:val="00FF3EB8"/>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U" w:eastAsia="es-C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2CE5"/>
    <w:rPr>
      <w:color w:val="666666"/>
    </w:rPr>
  </w:style>
  <w:style w:type="paragraph" w:customStyle="1" w:styleId="FC81527C1C3A40DAB47C3475EA5797F3">
    <w:name w:val="FC81527C1C3A40DAB47C3475EA5797F3"/>
    <w:rsid w:val="005E7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2d59f55-a221-472f-80fb-2ebf330cd078" xsi:nil="true"/>
    <lcf76f155ced4ddcb4097134ff3c332f xmlns="144561b4-b2d5-45fa-b5eb-880aa4b2198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873F5CAF668EC448BDA684C352BBE40" ma:contentTypeVersion="17" ma:contentTypeDescription="Create a new document." ma:contentTypeScope="" ma:versionID="9334e57ae1f124b9f4f0c3aab2b4f926">
  <xsd:schema xmlns:xsd="http://www.w3.org/2001/XMLSchema" xmlns:xs="http://www.w3.org/2001/XMLSchema" xmlns:p="http://schemas.microsoft.com/office/2006/metadata/properties" xmlns:ns2="144561b4-b2d5-45fa-b5eb-880aa4b21982" xmlns:ns3="92d59f55-a221-472f-80fb-2ebf330cd078" targetNamespace="http://schemas.microsoft.com/office/2006/metadata/properties" ma:root="true" ma:fieldsID="a2e6603171fbe9630b96ce382b6d60c5" ns2:_="" ns3:_="">
    <xsd:import namespace="144561b4-b2d5-45fa-b5eb-880aa4b21982"/>
    <xsd:import namespace="92d59f55-a221-472f-80fb-2ebf330cd0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4561b4-b2d5-45fa-b5eb-880aa4b21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e4e272f-800e-4517-b3cd-6422739b00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59f55-a221-472f-80fb-2ebf330cd0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931aec2-d73e-4798-b819-37d92d09917b}" ma:internalName="TaxCatchAll" ma:showField="CatchAllData" ma:web="92d59f55-a221-472f-80fb-2ebf330cd07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A73B78-8687-421C-B830-1A1F10E62AEF}">
  <ds:schemaRefs>
    <ds:schemaRef ds:uri="http://schemas.microsoft.com/sharepoint/v3/contenttype/forms"/>
  </ds:schemaRefs>
</ds:datastoreItem>
</file>

<file path=customXml/itemProps2.xml><?xml version="1.0" encoding="utf-8"?>
<ds:datastoreItem xmlns:ds="http://schemas.openxmlformats.org/officeDocument/2006/customXml" ds:itemID="{C0E8941B-5FEF-471F-8BC8-19B8AD21EA34}">
  <ds:schemaRefs>
    <ds:schemaRef ds:uri="http://schemas.openxmlformats.org/officeDocument/2006/bibliography"/>
  </ds:schemaRefs>
</ds:datastoreItem>
</file>

<file path=customXml/itemProps3.xml><?xml version="1.0" encoding="utf-8"?>
<ds:datastoreItem xmlns:ds="http://schemas.openxmlformats.org/officeDocument/2006/customXml" ds:itemID="{38E07429-18A9-431D-AB4F-B3F6FBD054F1}">
  <ds:schemaRefs>
    <ds:schemaRef ds:uri="http://schemas.microsoft.com/office/2006/metadata/properties"/>
    <ds:schemaRef ds:uri="http://schemas.microsoft.com/office/infopath/2007/PartnerControls"/>
    <ds:schemaRef ds:uri="92d59f55-a221-472f-80fb-2ebf330cd078"/>
    <ds:schemaRef ds:uri="144561b4-b2d5-45fa-b5eb-880aa4b21982"/>
  </ds:schemaRefs>
</ds:datastoreItem>
</file>

<file path=customXml/itemProps4.xml><?xml version="1.0" encoding="utf-8"?>
<ds:datastoreItem xmlns:ds="http://schemas.openxmlformats.org/officeDocument/2006/customXml" ds:itemID="{0163E223-7D83-4A1C-A40F-B50F9208AD97}"/>
</file>

<file path=docProps/app.xml><?xml version="1.0" encoding="utf-8"?>
<Properties xmlns="http://schemas.openxmlformats.org/officeDocument/2006/extended-properties" xmlns:vt="http://schemas.openxmlformats.org/officeDocument/2006/docPropsVTypes">
  <Template>Normal</Template>
  <TotalTime>0</TotalTime>
  <Application>LibreOffice/25.8.4.2$Linux_X86_64 LibreOffice_project/0366609b1de41a39e1896ae41e33c673f2a73802</Application>
  <AppVersion>15.0000</AppVersion>
  <Pages>11</Pages>
  <Words>3251</Words>
  <Characters>19652</Characters>
  <CharactersWithSpaces>22724</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2025-11-20T01:33:00Z</dcterms:created>
  <dc:creator>ALEJANDRO GUERRA GONZALEZ</dc:creator>
  <dc:description/>
  <dc:language>es-ES</dc:language>
  <cp:lastModifiedBy/>
  <dcterms:modified xsi:type="dcterms:W3CDTF">2026-01-17T11:56:18Z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0x010100F873F5CAF668EC448BDA684C352BBE40</vt:lpwstr>
  </property>
  <property fmtid="{D5CDD505-2E9C-101B-9397-08002B2CF9AE}" pid="3" name="MediaServiceImageTags">
    <vt:lpwstr/>
  </property>
</Properties>
</file>