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7324D"/>
          <w:sz w:val="60"/>
        </w:rPr>
        <w:t>Fraud Alert Vulnerability</w:t>
      </w:r>
    </w:p>
    <w:p>
      <w:pPr>
        <w:jc w:val="center"/>
      </w:pPr>
      <w:r>
        <w:rPr>
          <w:rFonts w:ascii="Aptos Display" w:hAnsi="Aptos Display"/>
          <w:color w:val="315A7D"/>
          <w:sz w:val="36"/>
        </w:rPr>
        <w:t>Technical Data Lineage, Table Architecture &amp; Calculation Specification</w:t>
      </w:r>
    </w:p>
    <w:p>
      <w:pPr>
        <w:spacing w:before="360"/>
        <w:jc w:val="center"/>
      </w:pPr>
      <w:r>
        <w:rPr>
          <w:color w:val="627D98"/>
          <w:sz w:val="22"/>
        </w:rPr>
        <w:t>Detailed reconstruction of validated project development</w:t>
      </w:r>
    </w:p>
    <w:p>
      <w:pPr>
        <w:spacing w:before="1400"/>
        <w:jc w:val="center"/>
      </w:pPr>
      <w:r>
        <w:rPr>
          <w:i/>
          <w:sz w:val="19"/>
        </w:rPr>
        <w:t>Scope: source data → outcome → cohort → point-in-time trades → MOP transitions → party-month aggregation → feature windows → Current formula → Z-score challenger → final analytical feature table</w:t>
      </w:r>
    </w:p>
    <w:p>
      <w:r>
        <w:br w:type="page"/>
      </w:r>
    </w:p>
    <w:p>
      <w:pPr>
        <w:pStyle w:val="Heading1"/>
      </w:pPr>
      <w:r>
        <w:t>Contents</w:t>
      </w:r>
    </w:p>
    <w:p>
      <w:pPr>
        <w:pStyle w:val="ListBullet"/>
        <w:spacing w:after="30"/>
      </w:pPr>
      <w:r>
        <w:t>1. Purpose, scope and documentation principles</w:t>
      </w:r>
    </w:p>
    <w:p>
      <w:pPr>
        <w:pStyle w:val="ListBullet"/>
        <w:spacing w:after="30"/>
      </w:pPr>
      <w:r>
        <w:t>2. End-to-end architecture and data lineage</w:t>
      </w:r>
    </w:p>
    <w:p>
      <w:pPr>
        <w:pStyle w:val="ListBullet"/>
        <w:spacing w:after="30"/>
      </w:pPr>
      <w:r>
        <w:t>3. Source tables and source semantics</w:t>
      </w:r>
    </w:p>
    <w:p>
      <w:pPr>
        <w:pStyle w:val="ListBullet"/>
        <w:spacing w:after="30"/>
      </w:pPr>
      <w:r>
        <w:t>4. Outcome construction: qualifying fraud alert</w:t>
      </w:r>
    </w:p>
    <w:p>
      <w:pPr>
        <w:pStyle w:val="ListBullet"/>
        <w:spacing w:after="30"/>
      </w:pPr>
      <w:r>
        <w:t>5. Cohort and observation-date design</w:t>
      </w:r>
    </w:p>
    <w:p>
      <w:pPr>
        <w:pStyle w:val="ListBullet"/>
        <w:spacing w:after="30"/>
      </w:pPr>
      <w:r>
        <w:t>6. Temporal design: SEED, PRIOR 9M and RECENT 3M</w:t>
      </w:r>
    </w:p>
    <w:p>
      <w:pPr>
        <w:pStyle w:val="ListBullet"/>
        <w:spacing w:after="30"/>
      </w:pPr>
      <w:r>
        <w:t>7. Point-in-time trade extraction</w:t>
      </w:r>
    </w:p>
    <w:p>
      <w:pPr>
        <w:pStyle w:val="ListBullet"/>
        <w:spacing w:after="30"/>
      </w:pPr>
      <w:r>
        <w:t>8. MOP normalization and account-level transitions</w:t>
      </w:r>
    </w:p>
    <w:p>
      <w:pPr>
        <w:pStyle w:val="ListBullet"/>
        <w:spacing w:after="30"/>
      </w:pPr>
      <w:r>
        <w:t>9. Party-month behavioral aggregation</w:t>
      </w:r>
    </w:p>
    <w:p>
      <w:pPr>
        <w:pStyle w:val="ListBullet"/>
        <w:spacing w:after="30"/>
      </w:pPr>
      <w:r>
        <w:t>10. Monthly utilization layer</w:t>
      </w:r>
    </w:p>
    <w:p>
      <w:pPr>
        <w:pStyle w:val="ListBullet"/>
        <w:spacing w:after="30"/>
      </w:pPr>
      <w:r>
        <w:t>11. PRIOR/RECENT behavioral windows</w:t>
      </w:r>
    </w:p>
    <w:p>
      <w:pPr>
        <w:pStyle w:val="ListBullet"/>
        <w:spacing w:after="30"/>
      </w:pPr>
      <w:r>
        <w:t>12. Current Formula feature layer</w:t>
      </w:r>
    </w:p>
    <w:p>
      <w:pPr>
        <w:pStyle w:val="ListBullet"/>
        <w:spacing w:after="30"/>
      </w:pPr>
      <w:r>
        <w:t>13. Z-score challenger layer</w:t>
      </w:r>
    </w:p>
    <w:p>
      <w:pPr>
        <w:pStyle w:val="ListBullet"/>
        <w:spacing w:after="30"/>
      </w:pPr>
      <w:r>
        <w:t>14. Selected Z and transformed feature layers</w:t>
      </w:r>
    </w:p>
    <w:p>
      <w:pPr>
        <w:pStyle w:val="ListBullet"/>
        <w:spacing w:after="30"/>
      </w:pPr>
      <w:r>
        <w:t>15. Final analytical feature table</w:t>
      </w:r>
    </w:p>
    <w:p>
      <w:pPr>
        <w:pStyle w:val="ListBullet"/>
        <w:spacing w:after="30"/>
      </w:pPr>
      <w:r>
        <w:t>16. Model A / Model B feature architecture</w:t>
      </w:r>
    </w:p>
    <w:p>
      <w:pPr>
        <w:pStyle w:val="ListBullet"/>
        <w:spacing w:after="30"/>
      </w:pPr>
      <w:r>
        <w:t>17. Data quality and point-in-time QA</w:t>
      </w:r>
    </w:p>
    <w:p>
      <w:pPr>
        <w:pStyle w:val="ListBullet"/>
        <w:spacing w:after="30"/>
      </w:pPr>
      <w:r>
        <w:t>18. Validated dataset statistics</w:t>
      </w:r>
    </w:p>
    <w:p>
      <w:pPr>
        <w:pStyle w:val="ListBullet"/>
        <w:spacing w:after="30"/>
      </w:pPr>
      <w:r>
        <w:t>19. Calculation reference and formula catalogue</w:t>
      </w:r>
    </w:p>
    <w:p>
      <w:pPr>
        <w:pStyle w:val="ListBullet"/>
        <w:spacing w:after="30"/>
      </w:pPr>
      <w:r>
        <w:t>20. Table-by-table technical dictionary</w:t>
      </w:r>
    </w:p>
    <w:p>
      <w:pPr>
        <w:pStyle w:val="ListBullet"/>
        <w:spacing w:after="30"/>
      </w:pPr>
      <w:r>
        <w:t>21. Limitations, controls and reproducibility notes</w:t>
      </w:r>
    </w:p>
    <w:p>
      <w:pPr>
        <w:pStyle w:val="ListBullet"/>
        <w:spacing w:after="30"/>
      </w:pPr>
      <w:r>
        <w:t>Appendix A. Raw trades column inventory</w:t>
      </w:r>
    </w:p>
    <w:p>
      <w:pPr>
        <w:pStyle w:val="ListBullet"/>
        <w:spacing w:after="30"/>
      </w:pPr>
      <w:r>
        <w:t>Appendix B. MOP mapping</w:t>
      </w:r>
    </w:p>
    <w:p>
      <w:pPr>
        <w:pStyle w:val="ListBullet"/>
        <w:spacing w:after="30"/>
      </w:pPr>
      <w:r>
        <w:t>Appendix C. Final feature inventory</w:t>
      </w: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Documentation convention: </w:t>
            </w:r>
            <w:r>
              <w:rPr>
                <w:sz w:val="17"/>
              </w:rPr>
              <w:t>Where a calculation is fully supported by validated project results, it is documented as a verified formula. Where the exact low-level SQL predicate was not preserved in the current project record (for example, the complete source predicate defining an “active account”), the report gives the validated functional definition and explicitly avoids inventing implementation details.</w:t>
            </w:r>
          </w:p>
        </w:tc>
      </w:tr>
    </w:tbl>
    <w:p>
      <w:pPr>
        <w:spacing w:after="0"/>
      </w:pPr>
    </w:p>
    <w:p>
      <w:r>
        <w:br w:type="page"/>
      </w:r>
    </w:p>
    <w:p>
      <w:pPr>
        <w:pStyle w:val="Heading1"/>
      </w:pPr>
      <w:r>
        <w:t>1. Purpose, scope and documentation principles</w:t>
      </w:r>
    </w:p>
    <w:p>
      <w:r>
        <w:t>This report documents how the Fraud Alert Vulnerability analytical dataset was built, what each intermediate table represents, how information flows between tables, and how the engineered behavioral features were calculated. It is intended to let a Data Scientist or Data Science Manager audit the pipeline without needing the original conversational context.</w:t>
      </w:r>
    </w:p>
    <w:tbl>
      <w:tblPr>
        <w:tblStyle w:val="TableGrid"/>
        <w:tblW w:type="auto" w:w="0"/>
        <w:jc w:val="center"/>
        <w:tblLook w:firstColumn="1" w:firstRow="1" w:lastColumn="0" w:lastRow="0" w:noHBand="0" w:noVBand="1" w:val="04A0"/>
      </w:tblPr>
      <w:tblGrid>
        <w:gridCol w:w="5112"/>
        <w:gridCol w:w="5112"/>
      </w:tblGrid>
      <w:tr>
        <w:tc>
          <w:tcPr>
            <w:tcW w:type="dxa" w:w="2016"/>
            <w:vAlign w:val="center"/>
            <w:shd w:fill="315A7D"/>
          </w:tcPr>
          <w:p>
            <w:pPr>
              <w:spacing w:after="0" w:before="0"/>
            </w:pPr>
            <w:r/>
            <w:r>
              <w:rPr>
                <w:rFonts w:ascii="Aptos" w:hAnsi="Aptos"/>
                <w:b/>
                <w:color w:val="FFFFFF"/>
                <w:sz w:val="16"/>
              </w:rPr>
              <w:t>Dimension</w:t>
            </w:r>
          </w:p>
        </w:tc>
        <w:tc>
          <w:tcPr>
            <w:tcW w:type="dxa" w:w="8352"/>
            <w:vAlign w:val="center"/>
            <w:shd w:fill="315A7D"/>
          </w:tcPr>
          <w:p>
            <w:pPr>
              <w:spacing w:after="0" w:before="0"/>
            </w:pPr>
            <w:r/>
            <w:r>
              <w:rPr>
                <w:rFonts w:ascii="Aptos" w:hAnsi="Aptos"/>
                <w:b/>
                <w:color w:val="FFFFFF"/>
                <w:sz w:val="16"/>
              </w:rPr>
              <w:t>Documented treatment</w:t>
            </w:r>
          </w:p>
        </w:tc>
      </w:tr>
      <w:tr>
        <w:tc>
          <w:tcPr>
            <w:tcW w:type="dxa" w:w="2016"/>
            <w:vAlign w:val="center"/>
          </w:tcPr>
          <w:p>
            <w:pPr>
              <w:spacing w:after="0" w:before="0"/>
            </w:pPr>
            <w:r/>
            <w:r>
              <w:rPr>
                <w:rFonts w:ascii="Aptos" w:hAnsi="Aptos"/>
                <w:b w:val="0"/>
                <w:sz w:val="16"/>
              </w:rPr>
              <w:t>Target</w:t>
            </w:r>
          </w:p>
        </w:tc>
        <w:tc>
          <w:tcPr>
            <w:tcW w:type="dxa" w:w="8352"/>
            <w:vAlign w:val="center"/>
          </w:tcPr>
          <w:p>
            <w:pPr>
              <w:spacing w:after="0" w:before="0"/>
            </w:pPr>
            <w:r/>
            <w:r>
              <w:rPr>
                <w:rFonts w:ascii="Aptos" w:hAnsi="Aptos"/>
                <w:b w:val="0"/>
                <w:sz w:val="16"/>
              </w:rPr>
              <w:t>First observed qualifying fraud alert within the forward 3-month horizon; not confirmed fraud victimization or credit default.</w:t>
            </w:r>
          </w:p>
        </w:tc>
      </w:tr>
      <w:tr>
        <w:tc>
          <w:tcPr>
            <w:tcW w:type="dxa" w:w="2016"/>
            <w:vAlign w:val="center"/>
            <w:shd w:fill="F6F9FC"/>
          </w:tcPr>
          <w:p>
            <w:pPr>
              <w:spacing w:after="0" w:before="0"/>
            </w:pPr>
            <w:r/>
            <w:r>
              <w:rPr>
                <w:rFonts w:ascii="Aptos" w:hAnsi="Aptos"/>
                <w:b w:val="0"/>
                <w:sz w:val="16"/>
              </w:rPr>
              <w:t>Unit of analysis</w:t>
            </w:r>
          </w:p>
        </w:tc>
        <w:tc>
          <w:tcPr>
            <w:tcW w:type="dxa" w:w="8352"/>
            <w:vAlign w:val="center"/>
            <w:shd w:fill="F6F9FC"/>
          </w:tcPr>
          <w:p>
            <w:pPr>
              <w:spacing w:after="0" w:before="0"/>
            </w:pPr>
            <w:r/>
            <w:r>
              <w:rPr>
                <w:rFonts w:ascii="Aptos" w:hAnsi="Aptos"/>
                <w:b w:val="0"/>
                <w:sz w:val="16"/>
              </w:rPr>
              <w:t>One party at one observation date in the final analytical table.</w:t>
            </w:r>
          </w:p>
        </w:tc>
      </w:tr>
      <w:tr>
        <w:tc>
          <w:tcPr>
            <w:tcW w:type="dxa" w:w="2016"/>
            <w:vAlign w:val="center"/>
          </w:tcPr>
          <w:p>
            <w:pPr>
              <w:spacing w:after="0" w:before="0"/>
            </w:pPr>
            <w:r/>
            <w:r>
              <w:rPr>
                <w:rFonts w:ascii="Aptos" w:hAnsi="Aptos"/>
                <w:b w:val="0"/>
                <w:sz w:val="16"/>
              </w:rPr>
              <w:t>Behavioral history</w:t>
            </w:r>
          </w:p>
        </w:tc>
        <w:tc>
          <w:tcPr>
            <w:tcW w:type="dxa" w:w="8352"/>
            <w:vAlign w:val="center"/>
          </w:tcPr>
          <w:p>
            <w:pPr>
              <w:spacing w:after="0" w:before="0"/>
            </w:pPr>
            <w:r/>
            <w:r>
              <w:rPr>
                <w:rFonts w:ascii="Aptos" w:hAnsi="Aptos"/>
                <w:b w:val="0"/>
                <w:sz w:val="16"/>
              </w:rPr>
              <w:t>13 technical months: one SEED month plus 9 PRIOR months plus 3 RECENT months; only 12 months feed behavioral features.</w:t>
            </w:r>
          </w:p>
        </w:tc>
      </w:tr>
      <w:tr>
        <w:tc>
          <w:tcPr>
            <w:tcW w:type="dxa" w:w="2016"/>
            <w:vAlign w:val="center"/>
            <w:shd w:fill="F6F9FC"/>
          </w:tcPr>
          <w:p>
            <w:pPr>
              <w:spacing w:after="0" w:before="0"/>
            </w:pPr>
            <w:r/>
            <w:r>
              <w:rPr>
                <w:rFonts w:ascii="Aptos" w:hAnsi="Aptos"/>
                <w:b w:val="0"/>
                <w:sz w:val="16"/>
              </w:rPr>
              <w:t>Granularity discipline</w:t>
            </w:r>
          </w:p>
        </w:tc>
        <w:tc>
          <w:tcPr>
            <w:tcW w:type="dxa" w:w="8352"/>
            <w:vAlign w:val="center"/>
            <w:shd w:fill="F6F9FC"/>
          </w:tcPr>
          <w:p>
            <w:pPr>
              <w:spacing w:after="0" w:before="0"/>
            </w:pPr>
            <w:r/>
            <w:r>
              <w:rPr>
                <w:rFonts w:ascii="Aptos" w:hAnsi="Aptos"/>
                <w:b w:val="0"/>
                <w:sz w:val="16"/>
              </w:rPr>
              <w:t>Source/trade → account-month transitions → party-month → party-window → party-observation features.</w:t>
            </w:r>
          </w:p>
        </w:tc>
      </w:tr>
      <w:tr>
        <w:tc>
          <w:tcPr>
            <w:tcW w:type="dxa" w:w="2016"/>
            <w:vAlign w:val="center"/>
          </w:tcPr>
          <w:p>
            <w:pPr>
              <w:spacing w:after="0" w:before="0"/>
            </w:pPr>
            <w:r/>
            <w:r>
              <w:rPr>
                <w:rFonts w:ascii="Aptos" w:hAnsi="Aptos"/>
                <w:b w:val="0"/>
                <w:sz w:val="16"/>
              </w:rPr>
              <w:t>Point-in-time principle</w:t>
            </w:r>
          </w:p>
        </w:tc>
        <w:tc>
          <w:tcPr>
            <w:tcW w:type="dxa" w:w="8352"/>
            <w:vAlign w:val="center"/>
          </w:tcPr>
          <w:p>
            <w:pPr>
              <w:spacing w:after="0" w:before="0"/>
            </w:pPr>
            <w:r/>
            <w:r>
              <w:rPr>
                <w:rFonts w:ascii="Aptos" w:hAnsi="Aptos"/>
                <w:b w:val="0"/>
                <w:sz w:val="16"/>
              </w:rPr>
              <w:t>Only information observable on or before the party observation date may contribute to features.</w:t>
            </w:r>
          </w:p>
        </w:tc>
      </w:tr>
      <w:tr>
        <w:tc>
          <w:tcPr>
            <w:tcW w:type="dxa" w:w="2016"/>
            <w:vAlign w:val="center"/>
            <w:shd w:fill="F6F9FC"/>
          </w:tcPr>
          <w:p>
            <w:pPr>
              <w:spacing w:after="0" w:before="0"/>
            </w:pPr>
            <w:r/>
            <w:r>
              <w:rPr>
                <w:rFonts w:ascii="Aptos" w:hAnsi="Aptos"/>
                <w:b w:val="0"/>
                <w:sz w:val="16"/>
              </w:rPr>
              <w:t>Sampling</w:t>
            </w:r>
          </w:p>
        </w:tc>
        <w:tc>
          <w:tcPr>
            <w:tcW w:type="dxa" w:w="8352"/>
            <w:vAlign w:val="center"/>
            <w:shd w:fill="F6F9FC"/>
          </w:tcPr>
          <w:p>
            <w:pPr>
              <w:spacing w:after="0" w:before="0"/>
            </w:pPr>
            <w:r/>
            <w:r>
              <w:rPr>
                <w:rFonts w:ascii="Aptos" w:hAnsi="Aptos"/>
                <w:b w:val="0"/>
                <w:sz w:val="16"/>
              </w:rPr>
              <w:t>Case/control analytical sample constructed at approximately 1 positive : 10 negatives. The resulting 9.09% event rate is not population prevalence.</w:t>
            </w:r>
          </w:p>
        </w:tc>
      </w:tr>
      <w:tr>
        <w:tc>
          <w:tcPr>
            <w:tcW w:type="dxa" w:w="2016"/>
            <w:vAlign w:val="center"/>
          </w:tcPr>
          <w:p>
            <w:pPr>
              <w:spacing w:after="0" w:before="0"/>
            </w:pPr>
            <w:r/>
            <w:r>
              <w:rPr>
                <w:rFonts w:ascii="Aptos" w:hAnsi="Aptos"/>
                <w:b w:val="0"/>
                <w:sz w:val="16"/>
              </w:rPr>
              <w:t>Model handoff</w:t>
            </w:r>
          </w:p>
        </w:tc>
        <w:tc>
          <w:tcPr>
            <w:tcW w:type="dxa" w:w="8352"/>
            <w:vAlign w:val="center"/>
          </w:tcPr>
          <w:p>
            <w:pPr>
              <w:spacing w:after="0" w:before="0"/>
            </w:pPr>
            <w:r/>
            <w:r>
              <w:rPr>
                <w:rFonts w:ascii="Aptos" w:hAnsi="Aptos"/>
                <w:b w:val="0"/>
                <w:sz w:val="16"/>
              </w:rPr>
              <w:t>Current Formula defines the base feature set; selected Z-score features are challengers. Final TEST evaluation remains separate from feature construction.</w:t>
            </w:r>
          </w:p>
        </w:tc>
      </w:tr>
    </w:tbl>
    <w:p>
      <w:pPr>
        <w:spacing w:after="20"/>
      </w:pPr>
    </w:p>
    <w:p>
      <w:pPr>
        <w:pStyle w:val="Heading2"/>
      </w:pPr>
      <w:r>
        <w:t>1.1 Key terminology</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315A7D"/>
          </w:tcPr>
          <w:p>
            <w:pPr>
              <w:spacing w:after="0" w:before="0"/>
            </w:pPr>
            <w:r/>
            <w:r>
              <w:rPr>
                <w:rFonts w:ascii="Aptos" w:hAnsi="Aptos"/>
                <w:b/>
                <w:color w:val="FFFFFF"/>
                <w:sz w:val="16"/>
              </w:rPr>
              <w:t>Term</w:t>
            </w:r>
          </w:p>
        </w:tc>
        <w:tc>
          <w:tcPr>
            <w:tcW w:type="dxa" w:w="8064"/>
            <w:vAlign w:val="center"/>
            <w:shd w:fill="315A7D"/>
          </w:tcPr>
          <w:p>
            <w:pPr>
              <w:spacing w:after="0" w:before="0"/>
            </w:pPr>
            <w:r/>
            <w:r>
              <w:rPr>
                <w:rFonts w:ascii="Aptos" w:hAnsi="Aptos"/>
                <w:b/>
                <w:color w:val="FFFFFF"/>
                <w:sz w:val="16"/>
              </w:rPr>
              <w:t>Meaning in this project</w:t>
            </w:r>
          </w:p>
        </w:tc>
      </w:tr>
      <w:tr>
        <w:tc>
          <w:tcPr>
            <w:tcW w:type="dxa" w:w="2304"/>
            <w:vAlign w:val="center"/>
          </w:tcPr>
          <w:p>
            <w:pPr>
              <w:spacing w:after="0" w:before="0"/>
            </w:pPr>
            <w:r/>
            <w:r>
              <w:rPr>
                <w:rFonts w:ascii="Aptos" w:hAnsi="Aptos"/>
                <w:b w:val="0"/>
                <w:sz w:val="16"/>
              </w:rPr>
              <w:t>Positive / label_3m = 1</w:t>
            </w:r>
          </w:p>
        </w:tc>
        <w:tc>
          <w:tcPr>
            <w:tcW w:type="dxa" w:w="8064"/>
            <w:vAlign w:val="center"/>
          </w:tcPr>
          <w:p>
            <w:pPr>
              <w:spacing w:after="0" w:before="0"/>
            </w:pPr>
            <w:r/>
            <w:r>
              <w:rPr>
                <w:rFonts w:ascii="Aptos" w:hAnsi="Aptos"/>
                <w:b w:val="0"/>
                <w:sz w:val="16"/>
              </w:rPr>
              <w:t>Party with a qualifying future fraud alert in the defined 3-month horizon.</w:t>
            </w:r>
          </w:p>
        </w:tc>
      </w:tr>
      <w:tr>
        <w:tc>
          <w:tcPr>
            <w:tcW w:type="dxa" w:w="2304"/>
            <w:vAlign w:val="center"/>
            <w:shd w:fill="F6F9FC"/>
          </w:tcPr>
          <w:p>
            <w:pPr>
              <w:spacing w:after="0" w:before="0"/>
            </w:pPr>
            <w:r/>
            <w:r>
              <w:rPr>
                <w:rFonts w:ascii="Aptos" w:hAnsi="Aptos"/>
                <w:b w:val="0"/>
                <w:sz w:val="16"/>
              </w:rPr>
              <w:t>Negative / label_3m = 0</w:t>
            </w:r>
          </w:p>
        </w:tc>
        <w:tc>
          <w:tcPr>
            <w:tcW w:type="dxa" w:w="8064"/>
            <w:vAlign w:val="center"/>
            <w:shd w:fill="F6F9FC"/>
          </w:tcPr>
          <w:p>
            <w:pPr>
              <w:spacing w:after="0" w:before="0"/>
            </w:pPr>
            <w:r/>
            <w:r>
              <w:rPr>
                <w:rFonts w:ascii="Aptos" w:hAnsi="Aptos"/>
                <w:b w:val="0"/>
                <w:sz w:val="16"/>
              </w:rPr>
              <w:t>Sampled control with no qualifying alert in the same forward horizon.</w:t>
            </w:r>
          </w:p>
        </w:tc>
      </w:tr>
      <w:tr>
        <w:tc>
          <w:tcPr>
            <w:tcW w:type="dxa" w:w="2304"/>
            <w:vAlign w:val="center"/>
          </w:tcPr>
          <w:p>
            <w:pPr>
              <w:spacing w:after="0" w:before="0"/>
            </w:pPr>
            <w:r/>
            <w:r>
              <w:rPr>
                <w:rFonts w:ascii="Aptos" w:hAnsi="Aptos"/>
                <w:b w:val="0"/>
                <w:sz w:val="16"/>
              </w:rPr>
              <w:t>Observation date</w:t>
            </w:r>
          </w:p>
        </w:tc>
        <w:tc>
          <w:tcPr>
            <w:tcW w:type="dxa" w:w="8064"/>
            <w:vAlign w:val="center"/>
          </w:tcPr>
          <w:p>
            <w:pPr>
              <w:spacing w:after="0" w:before="0"/>
            </w:pPr>
            <w:r/>
            <w:r>
              <w:rPr>
                <w:rFonts w:ascii="Aptos" w:hAnsi="Aptos"/>
                <w:b w:val="0"/>
                <w:sz w:val="16"/>
              </w:rPr>
              <w:t>Point in time at which predictors are frozen and the future outcome horizon begins.</w:t>
            </w:r>
          </w:p>
        </w:tc>
      </w:tr>
      <w:tr>
        <w:tc>
          <w:tcPr>
            <w:tcW w:type="dxa" w:w="2304"/>
            <w:vAlign w:val="center"/>
            <w:shd w:fill="F6F9FC"/>
          </w:tcPr>
          <w:p>
            <w:pPr>
              <w:spacing w:after="0" w:before="0"/>
            </w:pPr>
            <w:r/>
            <w:r>
              <w:rPr>
                <w:rFonts w:ascii="Aptos" w:hAnsi="Aptos"/>
                <w:b w:val="0"/>
                <w:sz w:val="16"/>
              </w:rPr>
              <w:t>SEED</w:t>
            </w:r>
          </w:p>
        </w:tc>
        <w:tc>
          <w:tcPr>
            <w:tcW w:type="dxa" w:w="8064"/>
            <w:vAlign w:val="center"/>
            <w:shd w:fill="F6F9FC"/>
          </w:tcPr>
          <w:p>
            <w:pPr>
              <w:spacing w:after="0" w:before="0"/>
            </w:pPr>
            <w:r/>
            <w:r>
              <w:rPr>
                <w:rFonts w:ascii="Aptos" w:hAnsi="Aptos"/>
                <w:b w:val="0"/>
                <w:sz w:val="16"/>
              </w:rPr>
              <w:t>Month immediately before the 12-month feature history. Used only to support the first MOP transition.</w:t>
            </w:r>
          </w:p>
        </w:tc>
      </w:tr>
      <w:tr>
        <w:tc>
          <w:tcPr>
            <w:tcW w:type="dxa" w:w="2304"/>
            <w:vAlign w:val="center"/>
          </w:tcPr>
          <w:p>
            <w:pPr>
              <w:spacing w:after="0" w:before="0"/>
            </w:pPr>
            <w:r/>
            <w:r>
              <w:rPr>
                <w:rFonts w:ascii="Aptos" w:hAnsi="Aptos"/>
                <w:b w:val="0"/>
                <w:sz w:val="16"/>
              </w:rPr>
              <w:t>PRIOR 9M</w:t>
            </w:r>
          </w:p>
        </w:tc>
        <w:tc>
          <w:tcPr>
            <w:tcW w:type="dxa" w:w="8064"/>
            <w:vAlign w:val="center"/>
          </w:tcPr>
          <w:p>
            <w:pPr>
              <w:spacing w:after="0" w:before="0"/>
            </w:pPr>
            <w:r/>
            <w:r>
              <w:rPr>
                <w:rFonts w:ascii="Aptos" w:hAnsi="Aptos"/>
                <w:b w:val="0"/>
                <w:sz w:val="16"/>
              </w:rPr>
              <w:t>Nine-month historical baseline window.</w:t>
            </w:r>
          </w:p>
        </w:tc>
      </w:tr>
      <w:tr>
        <w:tc>
          <w:tcPr>
            <w:tcW w:type="dxa" w:w="2304"/>
            <w:vAlign w:val="center"/>
            <w:shd w:fill="F6F9FC"/>
          </w:tcPr>
          <w:p>
            <w:pPr>
              <w:spacing w:after="0" w:before="0"/>
            </w:pPr>
            <w:r/>
            <w:r>
              <w:rPr>
                <w:rFonts w:ascii="Aptos" w:hAnsi="Aptos"/>
                <w:b w:val="0"/>
                <w:sz w:val="16"/>
              </w:rPr>
              <w:t>RECENT 3M</w:t>
            </w:r>
          </w:p>
        </w:tc>
        <w:tc>
          <w:tcPr>
            <w:tcW w:type="dxa" w:w="8064"/>
            <w:vAlign w:val="center"/>
            <w:shd w:fill="F6F9FC"/>
          </w:tcPr>
          <w:p>
            <w:pPr>
              <w:spacing w:after="0" w:before="0"/>
            </w:pPr>
            <w:r/>
            <w:r>
              <w:rPr>
                <w:rFonts w:ascii="Aptos" w:hAnsi="Aptos"/>
                <w:b w:val="0"/>
                <w:sz w:val="16"/>
              </w:rPr>
              <w:t>Three most recent months ending at the observation month.</w:t>
            </w:r>
          </w:p>
        </w:tc>
      </w:tr>
      <w:tr>
        <w:tc>
          <w:tcPr>
            <w:tcW w:type="dxa" w:w="2304"/>
            <w:vAlign w:val="center"/>
          </w:tcPr>
          <w:p>
            <w:pPr>
              <w:spacing w:after="0" w:before="0"/>
            </w:pPr>
            <w:r/>
            <w:r>
              <w:rPr>
                <w:rFonts w:ascii="Aptos" w:hAnsi="Aptos"/>
                <w:b w:val="0"/>
                <w:sz w:val="16"/>
              </w:rPr>
              <w:t>Availability flag</w:t>
            </w:r>
          </w:p>
        </w:tc>
        <w:tc>
          <w:tcPr>
            <w:tcW w:type="dxa" w:w="8064"/>
            <w:vAlign w:val="center"/>
          </w:tcPr>
          <w:p>
            <w:pPr>
              <w:spacing w:after="0" w:before="0"/>
            </w:pPr>
            <w:r/>
            <w:r>
              <w:rPr>
                <w:rFonts w:ascii="Aptos" w:hAnsi="Aptos"/>
                <w:b w:val="0"/>
                <w:sz w:val="16"/>
              </w:rPr>
              <w:t>Indicator that a feature/window is genuinely calculable; prevents unavailable values from being confused with true zero values.</w:t>
            </w:r>
          </w:p>
        </w:tc>
      </w:tr>
    </w:tbl>
    <w:p>
      <w:pPr>
        <w:spacing w:after="20"/>
      </w:pPr>
    </w:p>
    <w:p>
      <w:pPr>
        <w:pStyle w:val="Heading1"/>
      </w:pPr>
      <w:r>
        <w:t>2. End-to-end architecture and data lineage</w:t>
      </w:r>
    </w:p>
    <w:p>
      <w:pPr>
        <w:jc w:val="center"/>
      </w:pPr>
      <w:r>
        <w:drawing>
          <wp:inline xmlns:a="http://schemas.openxmlformats.org/drawingml/2006/main" xmlns:pic="http://schemas.openxmlformats.org/drawingml/2006/picture">
            <wp:extent cx="6400800" cy="3729089"/>
            <wp:docPr id="1" name="Picture 1"/>
            <wp:cNvGraphicFramePr>
              <a:graphicFrameLocks noChangeAspect="1"/>
            </wp:cNvGraphicFramePr>
            <a:graphic>
              <a:graphicData uri="http://schemas.openxmlformats.org/drawingml/2006/picture">
                <pic:pic>
                  <pic:nvPicPr>
                    <pic:cNvPr id="0" name="fraud_pipeline_lineage.png"/>
                    <pic:cNvPicPr/>
                  </pic:nvPicPr>
                  <pic:blipFill>
                    <a:blip r:embed="rId11"/>
                    <a:stretch>
                      <a:fillRect/>
                    </a:stretch>
                  </pic:blipFill>
                  <pic:spPr>
                    <a:xfrm>
                      <a:off x="0" y="0"/>
                      <a:ext cx="6400800" cy="3729089"/>
                    </a:xfrm>
                    <a:prstGeom prst="rect"/>
                  </pic:spPr>
                </pic:pic>
              </a:graphicData>
            </a:graphic>
          </wp:inline>
        </w:drawing>
      </w:r>
    </w:p>
    <w:p>
      <w:r>
        <w:t>The pipeline is deliberately layered. Raw source records are not fed directly to the model. Each stage changes the analytical grain, introduces a controlled transformation, and is validated before the next stage.</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315A7D"/>
          </w:tcPr>
          <w:p>
            <w:pPr>
              <w:spacing w:after="0" w:before="0"/>
            </w:pPr>
            <w:r/>
            <w:r>
              <w:rPr>
                <w:rFonts w:ascii="Aptos" w:hAnsi="Aptos"/>
                <w:b/>
                <w:color w:val="FFFFFF"/>
                <w:sz w:val="16"/>
              </w:rPr>
              <w:t>Layer</w:t>
            </w:r>
          </w:p>
        </w:tc>
        <w:tc>
          <w:tcPr>
            <w:tcW w:type="dxa" w:w="3312"/>
            <w:vAlign w:val="center"/>
            <w:shd w:fill="315A7D"/>
          </w:tcPr>
          <w:p>
            <w:pPr>
              <w:spacing w:after="0" w:before="0"/>
            </w:pPr>
            <w:r/>
            <w:r>
              <w:rPr>
                <w:rFonts w:ascii="Aptos" w:hAnsi="Aptos"/>
                <w:b/>
                <w:color w:val="FFFFFF"/>
                <w:sz w:val="16"/>
              </w:rPr>
              <w:t>Typical grain</w:t>
            </w:r>
          </w:p>
        </w:tc>
        <w:tc>
          <w:tcPr>
            <w:tcW w:type="dxa" w:w="4752"/>
            <w:vAlign w:val="center"/>
            <w:shd w:fill="315A7D"/>
          </w:tcPr>
          <w:p>
            <w:pPr>
              <w:spacing w:after="0" w:before="0"/>
            </w:pPr>
            <w:r/>
            <w:r>
              <w:rPr>
                <w:rFonts w:ascii="Aptos" w:hAnsi="Aptos"/>
                <w:b/>
                <w:color w:val="FFFFFF"/>
                <w:sz w:val="16"/>
              </w:rPr>
              <w:t>Primary output</w:t>
            </w:r>
          </w:p>
        </w:tc>
      </w:tr>
      <w:tr>
        <w:tc>
          <w:tcPr>
            <w:tcW w:type="dxa" w:w="2016"/>
            <w:vAlign w:val="center"/>
          </w:tcPr>
          <w:p>
            <w:pPr>
              <w:spacing w:after="0" w:before="0"/>
            </w:pPr>
            <w:r/>
            <w:r>
              <w:rPr>
                <w:rFonts w:ascii="Aptos" w:hAnsi="Aptos"/>
                <w:b w:val="0"/>
                <w:sz w:val="16"/>
              </w:rPr>
              <w:t>Source</w:t>
            </w:r>
          </w:p>
        </w:tc>
        <w:tc>
          <w:tcPr>
            <w:tcW w:type="dxa" w:w="3312"/>
            <w:vAlign w:val="center"/>
          </w:tcPr>
          <w:p>
            <w:pPr>
              <w:spacing w:after="0" w:before="0"/>
            </w:pPr>
            <w:r/>
            <w:r>
              <w:rPr>
                <w:rFonts w:ascii="Aptos" w:hAnsi="Aptos"/>
                <w:b w:val="0"/>
                <w:sz w:val="16"/>
              </w:rPr>
              <w:t>party / account / snapshot</w:t>
            </w:r>
          </w:p>
        </w:tc>
        <w:tc>
          <w:tcPr>
            <w:tcW w:type="dxa" w:w="4752"/>
            <w:vAlign w:val="center"/>
          </w:tcPr>
          <w:p>
            <w:pPr>
              <w:spacing w:after="0" w:before="0"/>
            </w:pPr>
            <w:r/>
            <w:r>
              <w:rPr>
                <w:rFonts w:ascii="Aptos" w:hAnsi="Aptos"/>
                <w:b w:val="0"/>
                <w:sz w:val="16"/>
              </w:rPr>
              <w:t>security alerts, party source history, trades</w:t>
            </w:r>
          </w:p>
        </w:tc>
      </w:tr>
      <w:tr>
        <w:tc>
          <w:tcPr>
            <w:tcW w:type="dxa" w:w="2016"/>
            <w:vAlign w:val="center"/>
            <w:shd w:fill="F6F9FC"/>
          </w:tcPr>
          <w:p>
            <w:pPr>
              <w:spacing w:after="0" w:before="0"/>
            </w:pPr>
            <w:r/>
            <w:r>
              <w:rPr>
                <w:rFonts w:ascii="Aptos" w:hAnsi="Aptos"/>
                <w:b w:val="0"/>
                <w:sz w:val="16"/>
              </w:rPr>
              <w:t>Outcome</w:t>
            </w:r>
          </w:p>
        </w:tc>
        <w:tc>
          <w:tcPr>
            <w:tcW w:type="dxa" w:w="3312"/>
            <w:vAlign w:val="center"/>
            <w:shd w:fill="F6F9FC"/>
          </w:tcPr>
          <w:p>
            <w:pPr>
              <w:spacing w:after="0" w:before="0"/>
            </w:pPr>
            <w:r/>
            <w:r>
              <w:rPr>
                <w:rFonts w:ascii="Aptos" w:hAnsi="Aptos"/>
                <w:b w:val="0"/>
                <w:sz w:val="16"/>
              </w:rPr>
              <w:t>party</w:t>
            </w:r>
          </w:p>
        </w:tc>
        <w:tc>
          <w:tcPr>
            <w:tcW w:type="dxa" w:w="4752"/>
            <w:vAlign w:val="center"/>
            <w:shd w:fill="F6F9FC"/>
          </w:tcPr>
          <w:p>
            <w:pPr>
              <w:spacing w:after="0" w:before="0"/>
            </w:pPr>
            <w:r/>
            <w:r>
              <w:rPr>
                <w:rFonts w:ascii="Aptos" w:hAnsi="Aptos"/>
                <w:b w:val="0"/>
                <w:sz w:val="16"/>
              </w:rPr>
              <w:t>first qualifying alert</w:t>
            </w:r>
          </w:p>
        </w:tc>
      </w:tr>
      <w:tr>
        <w:tc>
          <w:tcPr>
            <w:tcW w:type="dxa" w:w="2016"/>
            <w:vAlign w:val="center"/>
          </w:tcPr>
          <w:p>
            <w:pPr>
              <w:spacing w:after="0" w:before="0"/>
            </w:pPr>
            <w:r/>
            <w:r>
              <w:rPr>
                <w:rFonts w:ascii="Aptos" w:hAnsi="Aptos"/>
                <w:b w:val="0"/>
                <w:sz w:val="16"/>
              </w:rPr>
              <w:t>Cohort</w:t>
            </w:r>
          </w:p>
        </w:tc>
        <w:tc>
          <w:tcPr>
            <w:tcW w:type="dxa" w:w="3312"/>
            <w:vAlign w:val="center"/>
          </w:tcPr>
          <w:p>
            <w:pPr>
              <w:spacing w:after="0" w:before="0"/>
            </w:pPr>
            <w:r/>
            <w:r>
              <w:rPr>
                <w:rFonts w:ascii="Aptos" w:hAnsi="Aptos"/>
                <w:b w:val="0"/>
                <w:sz w:val="16"/>
              </w:rPr>
              <w:t>party + observation_date</w:t>
            </w:r>
          </w:p>
        </w:tc>
        <w:tc>
          <w:tcPr>
            <w:tcW w:type="dxa" w:w="4752"/>
            <w:vAlign w:val="center"/>
          </w:tcPr>
          <w:p>
            <w:pPr>
              <w:spacing w:after="0" w:before="0"/>
            </w:pPr>
            <w:r/>
            <w:r>
              <w:rPr>
                <w:rFonts w:ascii="Aptos" w:hAnsi="Aptos"/>
                <w:b w:val="0"/>
                <w:sz w:val="16"/>
              </w:rPr>
              <w:t>positive/control analytical observations</w:t>
            </w:r>
          </w:p>
        </w:tc>
      </w:tr>
      <w:tr>
        <w:tc>
          <w:tcPr>
            <w:tcW w:type="dxa" w:w="2016"/>
            <w:vAlign w:val="center"/>
            <w:shd w:fill="F6F9FC"/>
          </w:tcPr>
          <w:p>
            <w:pPr>
              <w:spacing w:after="0" w:before="0"/>
            </w:pPr>
            <w:r/>
            <w:r>
              <w:rPr>
                <w:rFonts w:ascii="Aptos" w:hAnsi="Aptos"/>
                <w:b w:val="0"/>
                <w:sz w:val="16"/>
              </w:rPr>
              <w:t>Month-key layer</w:t>
            </w:r>
          </w:p>
        </w:tc>
        <w:tc>
          <w:tcPr>
            <w:tcW w:type="dxa" w:w="3312"/>
            <w:vAlign w:val="center"/>
            <w:shd w:fill="F6F9FC"/>
          </w:tcPr>
          <w:p>
            <w:pPr>
              <w:spacing w:after="0" w:before="0"/>
            </w:pPr>
            <w:r/>
            <w:r>
              <w:rPr>
                <w:rFonts w:ascii="Aptos" w:hAnsi="Aptos"/>
                <w:b w:val="0"/>
                <w:sz w:val="16"/>
              </w:rPr>
              <w:t>party + observation_date + relative month</w:t>
            </w:r>
          </w:p>
        </w:tc>
        <w:tc>
          <w:tcPr>
            <w:tcW w:type="dxa" w:w="4752"/>
            <w:vAlign w:val="center"/>
            <w:shd w:fill="F6F9FC"/>
          </w:tcPr>
          <w:p>
            <w:pPr>
              <w:spacing w:after="0" w:before="0"/>
            </w:pPr>
            <w:r/>
            <w:r>
              <w:rPr>
                <w:rFonts w:ascii="Aptos" w:hAnsi="Aptos"/>
                <w:b w:val="0"/>
                <w:sz w:val="16"/>
              </w:rPr>
              <w:t>SEED / PRIOR / RECENT calendar keys</w:t>
            </w:r>
          </w:p>
        </w:tc>
      </w:tr>
      <w:tr>
        <w:tc>
          <w:tcPr>
            <w:tcW w:type="dxa" w:w="2016"/>
            <w:vAlign w:val="center"/>
          </w:tcPr>
          <w:p>
            <w:pPr>
              <w:spacing w:after="0" w:before="0"/>
            </w:pPr>
            <w:r/>
            <w:r>
              <w:rPr>
                <w:rFonts w:ascii="Aptos" w:hAnsi="Aptos"/>
                <w:b w:val="0"/>
                <w:sz w:val="16"/>
              </w:rPr>
              <w:t>Point-in-time trades</w:t>
            </w:r>
          </w:p>
        </w:tc>
        <w:tc>
          <w:tcPr>
            <w:tcW w:type="dxa" w:w="3312"/>
            <w:vAlign w:val="center"/>
          </w:tcPr>
          <w:p>
            <w:pPr>
              <w:spacing w:after="0" w:before="0"/>
            </w:pPr>
            <w:r/>
            <w:r>
              <w:rPr>
                <w:rFonts w:ascii="Aptos" w:hAnsi="Aptos"/>
                <w:b w:val="0"/>
                <w:sz w:val="16"/>
              </w:rPr>
              <w:t>party + account + feature month</w:t>
            </w:r>
          </w:p>
        </w:tc>
        <w:tc>
          <w:tcPr>
            <w:tcW w:type="dxa" w:w="4752"/>
            <w:vAlign w:val="center"/>
          </w:tcPr>
          <w:p>
            <w:pPr>
              <w:spacing w:after="0" w:before="0"/>
            </w:pPr>
            <w:r/>
            <w:r>
              <w:rPr>
                <w:rFonts w:ascii="Aptos" w:hAnsi="Aptos"/>
                <w:b w:val="0"/>
                <w:sz w:val="16"/>
              </w:rPr>
              <w:t>eligible account snapshots in 13-month window</w:t>
            </w:r>
          </w:p>
        </w:tc>
      </w:tr>
      <w:tr>
        <w:tc>
          <w:tcPr>
            <w:tcW w:type="dxa" w:w="2016"/>
            <w:vAlign w:val="center"/>
            <w:shd w:fill="F6F9FC"/>
          </w:tcPr>
          <w:p>
            <w:pPr>
              <w:spacing w:after="0" w:before="0"/>
            </w:pPr>
            <w:r/>
            <w:r>
              <w:rPr>
                <w:rFonts w:ascii="Aptos" w:hAnsi="Aptos"/>
                <w:b w:val="0"/>
                <w:sz w:val="16"/>
              </w:rPr>
              <w:t>Transitions</w:t>
            </w:r>
          </w:p>
        </w:tc>
        <w:tc>
          <w:tcPr>
            <w:tcW w:type="dxa" w:w="3312"/>
            <w:vAlign w:val="center"/>
            <w:shd w:fill="F6F9FC"/>
          </w:tcPr>
          <w:p>
            <w:pPr>
              <w:spacing w:after="0" w:before="0"/>
            </w:pPr>
            <w:r/>
            <w:r>
              <w:rPr>
                <w:rFonts w:ascii="Aptos" w:hAnsi="Aptos"/>
                <w:b w:val="0"/>
                <w:sz w:val="16"/>
              </w:rPr>
              <w:t>party + account + feature month</w:t>
            </w:r>
          </w:p>
        </w:tc>
        <w:tc>
          <w:tcPr>
            <w:tcW w:type="dxa" w:w="4752"/>
            <w:vAlign w:val="center"/>
            <w:shd w:fill="F6F9FC"/>
          </w:tcPr>
          <w:p>
            <w:pPr>
              <w:spacing w:after="0" w:before="0"/>
            </w:pPr>
            <w:r/>
            <w:r>
              <w:rPr>
                <w:rFonts w:ascii="Aptos" w:hAnsi="Aptos"/>
                <w:b w:val="0"/>
                <w:sz w:val="16"/>
              </w:rPr>
              <w:t>normalized MOP and transition flags</w:t>
            </w:r>
          </w:p>
        </w:tc>
      </w:tr>
      <w:tr>
        <w:tc>
          <w:tcPr>
            <w:tcW w:type="dxa" w:w="2016"/>
            <w:vAlign w:val="center"/>
          </w:tcPr>
          <w:p>
            <w:pPr>
              <w:spacing w:after="0" w:before="0"/>
            </w:pPr>
            <w:r/>
            <w:r>
              <w:rPr>
                <w:rFonts w:ascii="Aptos" w:hAnsi="Aptos"/>
                <w:b w:val="0"/>
                <w:sz w:val="16"/>
              </w:rPr>
              <w:t>Party-month</w:t>
            </w:r>
          </w:p>
        </w:tc>
        <w:tc>
          <w:tcPr>
            <w:tcW w:type="dxa" w:w="3312"/>
            <w:vAlign w:val="center"/>
          </w:tcPr>
          <w:p>
            <w:pPr>
              <w:spacing w:after="0" w:before="0"/>
            </w:pPr>
            <w:r/>
            <w:r>
              <w:rPr>
                <w:rFonts w:ascii="Aptos" w:hAnsi="Aptos"/>
                <w:b w:val="0"/>
                <w:sz w:val="16"/>
              </w:rPr>
              <w:t>party + feature month</w:t>
            </w:r>
          </w:p>
        </w:tc>
        <w:tc>
          <w:tcPr>
            <w:tcW w:type="dxa" w:w="4752"/>
            <w:vAlign w:val="center"/>
          </w:tcPr>
          <w:p>
            <w:pPr>
              <w:spacing w:after="0" w:before="0"/>
            </w:pPr>
            <w:r/>
            <w:r>
              <w:rPr>
                <w:rFonts w:ascii="Aptos" w:hAnsi="Aptos"/>
                <w:b w:val="0"/>
                <w:sz w:val="16"/>
              </w:rPr>
              <w:t>monthly exposure, balances, utilization, delinquency and transition counts</w:t>
            </w:r>
          </w:p>
        </w:tc>
      </w:tr>
      <w:tr>
        <w:tc>
          <w:tcPr>
            <w:tcW w:type="dxa" w:w="2016"/>
            <w:vAlign w:val="center"/>
            <w:shd w:fill="F6F9FC"/>
          </w:tcPr>
          <w:p>
            <w:pPr>
              <w:spacing w:after="0" w:before="0"/>
            </w:pPr>
            <w:r/>
            <w:r>
              <w:rPr>
                <w:rFonts w:ascii="Aptos" w:hAnsi="Aptos"/>
                <w:b w:val="0"/>
                <w:sz w:val="16"/>
              </w:rPr>
              <w:t>Window aggregation</w:t>
            </w:r>
          </w:p>
        </w:tc>
        <w:tc>
          <w:tcPr>
            <w:tcW w:type="dxa" w:w="3312"/>
            <w:vAlign w:val="center"/>
            <w:shd w:fill="F6F9FC"/>
          </w:tcPr>
          <w:p>
            <w:pPr>
              <w:spacing w:after="0" w:before="0"/>
            </w:pPr>
            <w:r/>
            <w:r>
              <w:rPr>
                <w:rFonts w:ascii="Aptos" w:hAnsi="Aptos"/>
                <w:b w:val="0"/>
                <w:sz w:val="16"/>
              </w:rPr>
              <w:t>party + observation_date</w:t>
            </w:r>
          </w:p>
        </w:tc>
        <w:tc>
          <w:tcPr>
            <w:tcW w:type="dxa" w:w="4752"/>
            <w:vAlign w:val="center"/>
            <w:shd w:fill="F6F9FC"/>
          </w:tcPr>
          <w:p>
            <w:pPr>
              <w:spacing w:after="0" w:before="0"/>
            </w:pPr>
            <w:r/>
            <w:r>
              <w:rPr>
                <w:rFonts w:ascii="Aptos" w:hAnsi="Aptos"/>
                <w:b w:val="0"/>
                <w:sz w:val="16"/>
              </w:rPr>
              <w:t>PRIOR and RECENT means/counts/coverage/SD</w:t>
            </w:r>
          </w:p>
        </w:tc>
      </w:tr>
      <w:tr>
        <w:tc>
          <w:tcPr>
            <w:tcW w:type="dxa" w:w="2016"/>
            <w:vAlign w:val="center"/>
          </w:tcPr>
          <w:p>
            <w:pPr>
              <w:spacing w:after="0" w:before="0"/>
            </w:pPr>
            <w:r/>
            <w:r>
              <w:rPr>
                <w:rFonts w:ascii="Aptos" w:hAnsi="Aptos"/>
                <w:b w:val="0"/>
                <w:sz w:val="16"/>
              </w:rPr>
              <w:t>Feature layers</w:t>
            </w:r>
          </w:p>
        </w:tc>
        <w:tc>
          <w:tcPr>
            <w:tcW w:type="dxa" w:w="3312"/>
            <w:vAlign w:val="center"/>
          </w:tcPr>
          <w:p>
            <w:pPr>
              <w:spacing w:after="0" w:before="0"/>
            </w:pPr>
            <w:r/>
            <w:r>
              <w:rPr>
                <w:rFonts w:ascii="Aptos" w:hAnsi="Aptos"/>
                <w:b w:val="0"/>
                <w:sz w:val="16"/>
              </w:rPr>
              <w:t>party + observation_date</w:t>
            </w:r>
          </w:p>
        </w:tc>
        <w:tc>
          <w:tcPr>
            <w:tcW w:type="dxa" w:w="4752"/>
            <w:vAlign w:val="center"/>
          </w:tcPr>
          <w:p>
            <w:pPr>
              <w:spacing w:after="0" w:before="0"/>
            </w:pPr>
            <w:r/>
            <w:r>
              <w:rPr>
                <w:rFonts w:ascii="Aptos" w:hAnsi="Aptos"/>
                <w:b w:val="0"/>
                <w:sz w:val="16"/>
              </w:rPr>
              <w:t>Current, Z, transformed, availability-aware features</w:t>
            </w:r>
          </w:p>
        </w:tc>
      </w:tr>
      <w:tr>
        <w:tc>
          <w:tcPr>
            <w:tcW w:type="dxa" w:w="2016"/>
            <w:vAlign w:val="center"/>
            <w:shd w:fill="F6F9FC"/>
          </w:tcPr>
          <w:p>
            <w:pPr>
              <w:spacing w:after="0" w:before="0"/>
            </w:pPr>
            <w:r/>
            <w:r>
              <w:rPr>
                <w:rFonts w:ascii="Aptos" w:hAnsi="Aptos"/>
                <w:b w:val="0"/>
                <w:sz w:val="16"/>
              </w:rPr>
              <w:t>Final table</w:t>
            </w:r>
          </w:p>
        </w:tc>
        <w:tc>
          <w:tcPr>
            <w:tcW w:type="dxa" w:w="3312"/>
            <w:vAlign w:val="center"/>
            <w:shd w:fill="F6F9FC"/>
          </w:tcPr>
          <w:p>
            <w:pPr>
              <w:spacing w:after="0" w:before="0"/>
            </w:pPr>
            <w:r/>
            <w:r>
              <w:rPr>
                <w:rFonts w:ascii="Aptos" w:hAnsi="Aptos"/>
                <w:b w:val="0"/>
                <w:sz w:val="16"/>
              </w:rPr>
              <w:t>party + observation_date</w:t>
            </w:r>
          </w:p>
        </w:tc>
        <w:tc>
          <w:tcPr>
            <w:tcW w:type="dxa" w:w="4752"/>
            <w:vAlign w:val="center"/>
            <w:shd w:fill="F6F9FC"/>
          </w:tcPr>
          <w:p>
            <w:pPr>
              <w:spacing w:after="0" w:before="0"/>
            </w:pPr>
            <w:r/>
            <w:r>
              <w:rPr>
                <w:rFonts w:ascii="Aptos" w:hAnsi="Aptos"/>
                <w:b w:val="0"/>
                <w:sz w:val="16"/>
              </w:rPr>
              <w:t>model-ready A/B feature set</w:t>
            </w:r>
          </w:p>
        </w:tc>
      </w:tr>
    </w:tbl>
    <w:p>
      <w:pPr>
        <w:spacing w:after="20"/>
      </w:pPr>
    </w:p>
    <w:p>
      <w:pPr>
        <w:pStyle w:val="Heading1"/>
      </w:pPr>
      <w:r>
        <w:t>3. Source tables and source semantics</w:t>
      </w:r>
    </w:p>
    <w:p>
      <w:pPr>
        <w:pStyle w:val="Heading2"/>
      </w:pPr>
      <w:r>
        <w:t>3.1 bc3.security_alert</w:t>
      </w:r>
    </w:p>
    <w:p>
      <w:r>
        <w:t>Primary source for fraud-alert events. Source profiling during the project found approximately 324.3 million rows and roughly 31.9 million parties, with alert creation history extending from 2007 into 2026. The project used qualifying alert types 2 and 3.</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315A7D"/>
          </w:tcPr>
          <w:p>
            <w:pPr>
              <w:spacing w:after="0" w:before="0"/>
            </w:pPr>
            <w:r/>
            <w:r>
              <w:rPr>
                <w:rFonts w:ascii="Aptos" w:hAnsi="Aptos"/>
                <w:b/>
                <w:color w:val="FFFFFF"/>
                <w:sz w:val="16"/>
              </w:rPr>
              <w:t>Field / concept</w:t>
            </w:r>
          </w:p>
        </w:tc>
        <w:tc>
          <w:tcPr>
            <w:tcW w:type="dxa" w:w="7200"/>
            <w:vAlign w:val="center"/>
            <w:shd w:fill="315A7D"/>
          </w:tcPr>
          <w:p>
            <w:pPr>
              <w:spacing w:after="0" w:before="0"/>
            </w:pPr>
            <w:r/>
            <w:r>
              <w:rPr>
                <w:rFonts w:ascii="Aptos" w:hAnsi="Aptos"/>
                <w:b/>
                <w:color w:val="FFFFFF"/>
                <w:sz w:val="16"/>
              </w:rPr>
              <w:t>Role</w:t>
            </w:r>
          </w:p>
        </w:tc>
      </w:tr>
      <w:tr>
        <w:tc>
          <w:tcPr>
            <w:tcW w:type="dxa" w:w="2880"/>
            <w:vAlign w:val="center"/>
          </w:tcPr>
          <w:p>
            <w:pPr>
              <w:spacing w:after="0" w:before="0"/>
            </w:pPr>
            <w:r/>
            <w:r>
              <w:rPr>
                <w:rFonts w:ascii="Aptos" w:hAnsi="Aptos"/>
                <w:b w:val="0"/>
                <w:sz w:val="16"/>
              </w:rPr>
              <w:t>party_id</w:t>
            </w:r>
          </w:p>
        </w:tc>
        <w:tc>
          <w:tcPr>
            <w:tcW w:type="dxa" w:w="7200"/>
            <w:vAlign w:val="center"/>
          </w:tcPr>
          <w:p>
            <w:pPr>
              <w:spacing w:after="0" w:before="0"/>
            </w:pPr>
            <w:r/>
            <w:r>
              <w:rPr>
                <w:rFonts w:ascii="Aptos" w:hAnsi="Aptos"/>
                <w:b w:val="0"/>
                <w:sz w:val="16"/>
              </w:rPr>
              <w:t>Entity identifier used to connect alert history to the analytical party.</w:t>
            </w:r>
          </w:p>
        </w:tc>
      </w:tr>
      <w:tr>
        <w:tc>
          <w:tcPr>
            <w:tcW w:type="dxa" w:w="2880"/>
            <w:vAlign w:val="center"/>
            <w:shd w:fill="F6F9FC"/>
          </w:tcPr>
          <w:p>
            <w:pPr>
              <w:spacing w:after="0" w:before="0"/>
            </w:pPr>
            <w:r/>
            <w:r>
              <w:rPr>
                <w:rFonts w:ascii="Aptos" w:hAnsi="Aptos"/>
                <w:b w:val="0"/>
                <w:sz w:val="16"/>
              </w:rPr>
              <w:t>crat_dte</w:t>
            </w:r>
          </w:p>
        </w:tc>
        <w:tc>
          <w:tcPr>
            <w:tcW w:type="dxa" w:w="7200"/>
            <w:vAlign w:val="center"/>
            <w:shd w:fill="F6F9FC"/>
          </w:tcPr>
          <w:p>
            <w:pPr>
              <w:spacing w:after="0" w:before="0"/>
            </w:pPr>
            <w:r/>
            <w:r>
              <w:rPr>
                <w:rFonts w:ascii="Aptos" w:hAnsi="Aptos"/>
                <w:b w:val="0"/>
                <w:sz w:val="16"/>
              </w:rPr>
              <w:t>Alert creation date used to place the event in time.</w:t>
            </w:r>
          </w:p>
        </w:tc>
      </w:tr>
      <w:tr>
        <w:tc>
          <w:tcPr>
            <w:tcW w:type="dxa" w:w="2880"/>
            <w:vAlign w:val="center"/>
          </w:tcPr>
          <w:p>
            <w:pPr>
              <w:spacing w:after="0" w:before="0"/>
            </w:pPr>
            <w:r/>
            <w:r>
              <w:rPr>
                <w:rFonts w:ascii="Aptos" w:hAnsi="Aptos"/>
                <w:b w:val="0"/>
                <w:sz w:val="16"/>
              </w:rPr>
              <w:t>alert type 2/3</w:t>
            </w:r>
          </w:p>
        </w:tc>
        <w:tc>
          <w:tcPr>
            <w:tcW w:type="dxa" w:w="7200"/>
            <w:vAlign w:val="center"/>
          </w:tcPr>
          <w:p>
            <w:pPr>
              <w:spacing w:after="0" w:before="0"/>
            </w:pPr>
            <w:r/>
            <w:r>
              <w:rPr>
                <w:rFonts w:ascii="Aptos" w:hAnsi="Aptos"/>
                <w:b w:val="0"/>
                <w:sz w:val="16"/>
              </w:rPr>
              <w:t>Qualifying alert categories for the target definition.</w:t>
            </w:r>
          </w:p>
        </w:tc>
      </w:tr>
      <w:tr>
        <w:tc>
          <w:tcPr>
            <w:tcW w:type="dxa" w:w="2880"/>
            <w:vAlign w:val="center"/>
            <w:shd w:fill="F6F9FC"/>
          </w:tcPr>
          <w:p>
            <w:pPr>
              <w:spacing w:after="0" w:before="0"/>
            </w:pPr>
            <w:r/>
            <w:r>
              <w:rPr>
                <w:rFonts w:ascii="Aptos" w:hAnsi="Aptos"/>
                <w:b w:val="0"/>
                <w:sz w:val="16"/>
              </w:rPr>
              <w:t>snapshot / source dates</w:t>
            </w:r>
          </w:p>
        </w:tc>
        <w:tc>
          <w:tcPr>
            <w:tcW w:type="dxa" w:w="7200"/>
            <w:vAlign w:val="center"/>
            <w:shd w:fill="F6F9FC"/>
          </w:tcPr>
          <w:p>
            <w:pPr>
              <w:spacing w:after="0" w:before="0"/>
            </w:pPr>
            <w:r/>
            <w:r>
              <w:rPr>
                <w:rFonts w:ascii="Aptos" w:hAnsi="Aptos"/>
                <w:b w:val="0"/>
                <w:sz w:val="16"/>
              </w:rPr>
              <w:t>Used during source profiling; raw source can contain repeated observations and is not itself a one-row-per-party outcome table.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Why a derived outcome table is necessary: </w:t>
            </w:r>
            <w:r>
              <w:rPr>
                <w:sz w:val="17"/>
              </w:rPr>
              <w:t>Raw security_alert volume includes repeated alert activity. The model target therefore uses a first-observed qualifying event abstraction rather than raw record counts.</w:t>
            </w:r>
          </w:p>
        </w:tc>
      </w:tr>
    </w:tbl>
    <w:p>
      <w:pPr>
        <w:spacing w:after="0"/>
      </w:pPr>
    </w:p>
    <w:p>
      <w:pPr>
        <w:pStyle w:val="Heading2"/>
      </w:pPr>
      <w:r>
        <w:t>3.2 bc3.person_restricted</w:t>
      </w:r>
    </w:p>
    <w:p>
      <w:r>
        <w:t>Used for source-history diagnostics, not as a true customer-tenure source. The table contains a very large longitudinal population record. In the project, data_date was found to represent source availability/load history rather than relationship start date.</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315A7D"/>
          </w:tcPr>
          <w:p>
            <w:pPr>
              <w:spacing w:after="0" w:before="0"/>
            </w:pPr>
            <w:r/>
            <w:r>
              <w:rPr>
                <w:rFonts w:ascii="Aptos" w:hAnsi="Aptos"/>
                <w:b/>
                <w:color w:val="FFFFFF"/>
                <w:sz w:val="16"/>
              </w:rPr>
              <w:t>Validated fact</w:t>
            </w:r>
          </w:p>
        </w:tc>
        <w:tc>
          <w:tcPr>
            <w:tcW w:type="dxa" w:w="6336"/>
            <w:vAlign w:val="center"/>
            <w:shd w:fill="315A7D"/>
          </w:tcPr>
          <w:p>
            <w:pPr>
              <w:spacing w:after="0" w:before="0"/>
            </w:pPr>
            <w:r/>
            <w:r>
              <w:rPr>
                <w:rFonts w:ascii="Aptos" w:hAnsi="Aptos"/>
                <w:b/>
                <w:color w:val="FFFFFF"/>
                <w:sz w:val="16"/>
              </w:rPr>
              <w:t>Implication</w:t>
            </w:r>
          </w:p>
        </w:tc>
      </w:tr>
      <w:tr>
        <w:tc>
          <w:tcPr>
            <w:tcW w:type="dxa" w:w="3744"/>
            <w:vAlign w:val="center"/>
          </w:tcPr>
          <w:p>
            <w:pPr>
              <w:spacing w:after="0" w:before="0"/>
            </w:pPr>
            <w:r/>
            <w:r>
              <w:rPr>
                <w:rFonts w:ascii="Aptos" w:hAnsi="Aptos"/>
                <w:b w:val="0"/>
                <w:sz w:val="16"/>
              </w:rPr>
              <w:t>Source starts 2000-09-30</w:t>
            </w:r>
          </w:p>
        </w:tc>
        <w:tc>
          <w:tcPr>
            <w:tcW w:type="dxa" w:w="6336"/>
            <w:vAlign w:val="center"/>
          </w:tcPr>
          <w:p>
            <w:pPr>
              <w:spacing w:after="0" w:before="0"/>
            </w:pPr>
            <w:r/>
            <w:r>
              <w:rPr>
                <w:rFonts w:ascii="Aptos" w:hAnsi="Aptos"/>
                <w:b w:val="0"/>
                <w:sz w:val="16"/>
              </w:rPr>
              <w:t>Parties already present on that date are left-censored; their true history may predate the source.</w:t>
            </w:r>
          </w:p>
        </w:tc>
      </w:tr>
      <w:tr>
        <w:tc>
          <w:tcPr>
            <w:tcW w:type="dxa" w:w="3744"/>
            <w:vAlign w:val="center"/>
            <w:shd w:fill="F6F9FC"/>
          </w:tcPr>
          <w:p>
            <w:pPr>
              <w:spacing w:after="0" w:before="0"/>
            </w:pPr>
            <w:r/>
            <w:r>
              <w:rPr>
                <w:rFonts w:ascii="Aptos" w:hAnsi="Aptos"/>
                <w:b w:val="0"/>
                <w:sz w:val="16"/>
              </w:rPr>
              <w:t>37.43% of cohort parties first appear exactly at the source boundary</w:t>
            </w:r>
          </w:p>
        </w:tc>
        <w:tc>
          <w:tcPr>
            <w:tcW w:type="dxa" w:w="6336"/>
            <w:vAlign w:val="center"/>
            <w:shd w:fill="F6F9FC"/>
          </w:tcPr>
          <w:p>
            <w:pPr>
              <w:spacing w:after="0" w:before="0"/>
            </w:pPr>
            <w:r/>
            <w:r>
              <w:rPr>
                <w:rFonts w:ascii="Aptos" w:hAnsi="Aptos"/>
                <w:b w:val="0"/>
                <w:sz w:val="16"/>
              </w:rPr>
              <w:t>True tenure cannot be reconstructed reliably from this field.</w:t>
            </w:r>
          </w:p>
        </w:tc>
      </w:tr>
      <w:tr>
        <w:tc>
          <w:tcPr>
            <w:tcW w:type="dxa" w:w="3744"/>
            <w:vAlign w:val="center"/>
          </w:tcPr>
          <w:p>
            <w:pPr>
              <w:spacing w:after="0" w:before="0"/>
            </w:pPr>
            <w:r/>
            <w:r>
              <w:rPr>
                <w:rFonts w:ascii="Aptos" w:hAnsi="Aptos"/>
                <w:b w:val="0"/>
                <w:sz w:val="16"/>
              </w:rPr>
              <w:t>Source-start group has a different event concentration than later-history group</w:t>
            </w:r>
          </w:p>
        </w:tc>
        <w:tc>
          <w:tcPr>
            <w:tcW w:type="dxa" w:w="6336"/>
            <w:vAlign w:val="center"/>
          </w:tcPr>
          <w:p>
            <w:pPr>
              <w:spacing w:after="0" w:before="0"/>
            </w:pPr>
            <w:r/>
            <w:r>
              <w:rPr>
                <w:rFonts w:ascii="Aptos" w:hAnsi="Aptos"/>
                <w:b w:val="0"/>
                <w:sz w:val="16"/>
              </w:rPr>
              <w:t>Source-history availability is associated with the outcome and must not be misinterpreted as a causal tenure effect.</w:t>
            </w:r>
          </w:p>
        </w:tc>
      </w:tr>
    </w:tbl>
    <w:p>
      <w:pPr>
        <w:spacing w:after="20"/>
      </w:pPr>
    </w:p>
    <w:p>
      <w:pPr>
        <w:pStyle w:val="Heading2"/>
      </w:pPr>
      <w:r>
        <w:t>3.3 trades</w:t>
      </w:r>
    </w:p>
    <w:p>
      <w:r>
        <w:t>The trade source is the account-level behavioral foundation of the project. It contains party/account identifiers, product codes, MOP status, balances, limits, past-due information, payment fields, account dates and source/effective dates. Source profiling indicated a very large raw table (approximately 504.8 billion rows), so all model preparation depends on aggressive party/time filtering and point-in-time controls.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315A7D"/>
          </w:tcPr>
          <w:p>
            <w:pPr>
              <w:spacing w:after="0" w:before="0"/>
            </w:pPr>
            <w:r/>
            <w:r>
              <w:rPr>
                <w:rFonts w:ascii="Aptos" w:hAnsi="Aptos"/>
                <w:b/>
                <w:color w:val="FFFFFF"/>
                <w:sz w:val="16"/>
              </w:rPr>
              <w:t>Verified project-use field</w:t>
            </w:r>
          </w:p>
        </w:tc>
        <w:tc>
          <w:tcPr>
            <w:tcW w:type="dxa" w:w="7200"/>
            <w:vAlign w:val="center"/>
            <w:shd w:fill="315A7D"/>
          </w:tcPr>
          <w:p>
            <w:pPr>
              <w:spacing w:after="0" w:before="0"/>
            </w:pPr>
            <w:r/>
            <w:r>
              <w:rPr>
                <w:rFonts w:ascii="Aptos" w:hAnsi="Aptos"/>
                <w:b/>
                <w:color w:val="FFFFFF"/>
                <w:sz w:val="16"/>
              </w:rPr>
              <w:t>Use in the pipeline</w:t>
            </w:r>
          </w:p>
        </w:tc>
      </w:tr>
      <w:tr>
        <w:tc>
          <w:tcPr>
            <w:tcW w:type="dxa" w:w="2880"/>
            <w:vAlign w:val="center"/>
          </w:tcPr>
          <w:p>
            <w:pPr>
              <w:spacing w:after="0" w:before="0"/>
            </w:pPr>
            <w:r/>
            <w:r>
              <w:rPr>
                <w:rFonts w:ascii="Aptos" w:hAnsi="Aptos"/>
                <w:b w:val="0"/>
                <w:sz w:val="16"/>
              </w:rPr>
              <w:t>party_id</w:t>
            </w:r>
          </w:p>
        </w:tc>
        <w:tc>
          <w:tcPr>
            <w:tcW w:type="dxa" w:w="7200"/>
            <w:vAlign w:val="center"/>
          </w:tcPr>
          <w:p>
            <w:pPr>
              <w:spacing w:after="0" w:before="0"/>
            </w:pPr>
            <w:r/>
            <w:r>
              <w:rPr>
                <w:rFonts w:ascii="Aptos" w:hAnsi="Aptos"/>
                <w:b w:val="0"/>
                <w:sz w:val="16"/>
              </w:rPr>
              <w:t>Join key to analytical cohort.</w:t>
            </w:r>
          </w:p>
        </w:tc>
      </w:tr>
      <w:tr>
        <w:tc>
          <w:tcPr>
            <w:tcW w:type="dxa" w:w="2880"/>
            <w:vAlign w:val="center"/>
            <w:shd w:fill="F6F9FC"/>
          </w:tcPr>
          <w:p>
            <w:pPr>
              <w:spacing w:after="0" w:before="0"/>
            </w:pPr>
            <w:r/>
            <w:r>
              <w:rPr>
                <w:rFonts w:ascii="Aptos" w:hAnsi="Aptos"/>
                <w:b w:val="0"/>
                <w:sz w:val="16"/>
              </w:rPr>
              <w:t>acct_id</w:t>
            </w:r>
          </w:p>
        </w:tc>
        <w:tc>
          <w:tcPr>
            <w:tcW w:type="dxa" w:w="7200"/>
            <w:vAlign w:val="center"/>
            <w:shd w:fill="F6F9FC"/>
          </w:tcPr>
          <w:p>
            <w:pPr>
              <w:spacing w:after="0" w:before="0"/>
            </w:pPr>
            <w:r/>
            <w:r>
              <w:rPr>
                <w:rFonts w:ascii="Aptos" w:hAnsi="Aptos"/>
                <w:b w:val="0"/>
                <w:sz w:val="16"/>
              </w:rPr>
              <w:t>Account-level transition tracking and distinct account counts.</w:t>
            </w:r>
          </w:p>
        </w:tc>
      </w:tr>
      <w:tr>
        <w:tc>
          <w:tcPr>
            <w:tcW w:type="dxa" w:w="2880"/>
            <w:vAlign w:val="center"/>
          </w:tcPr>
          <w:p>
            <w:pPr>
              <w:spacing w:after="0" w:before="0"/>
            </w:pPr>
            <w:r/>
            <w:r>
              <w:rPr>
                <w:rFonts w:ascii="Aptos" w:hAnsi="Aptos"/>
                <w:b w:val="0"/>
                <w:sz w:val="16"/>
              </w:rPr>
              <w:t>acct_typ_cde</w:t>
            </w:r>
          </w:p>
        </w:tc>
        <w:tc>
          <w:tcPr>
            <w:tcW w:type="dxa" w:w="7200"/>
            <w:vAlign w:val="center"/>
          </w:tcPr>
          <w:p>
            <w:pPr>
              <w:spacing w:after="0" w:before="0"/>
            </w:pPr>
            <w:r/>
            <w:r>
              <w:rPr>
                <w:rFonts w:ascii="Aptos" w:hAnsi="Aptos"/>
                <w:b w:val="0"/>
                <w:sz w:val="16"/>
              </w:rPr>
              <w:t>Product/account-type exposure analysis.</w:t>
            </w:r>
          </w:p>
        </w:tc>
      </w:tr>
      <w:tr>
        <w:tc>
          <w:tcPr>
            <w:tcW w:type="dxa" w:w="2880"/>
            <w:vAlign w:val="center"/>
            <w:shd w:fill="F6F9FC"/>
          </w:tcPr>
          <w:p>
            <w:pPr>
              <w:spacing w:after="0" w:before="0"/>
            </w:pPr>
            <w:r/>
            <w:r>
              <w:rPr>
                <w:rFonts w:ascii="Aptos" w:hAnsi="Aptos"/>
                <w:b w:val="0"/>
                <w:sz w:val="16"/>
              </w:rPr>
              <w:t>acct_mop_cde</w:t>
            </w:r>
          </w:p>
        </w:tc>
        <w:tc>
          <w:tcPr>
            <w:tcW w:type="dxa" w:w="7200"/>
            <w:vAlign w:val="center"/>
            <w:shd w:fill="F6F9FC"/>
          </w:tcPr>
          <w:p>
            <w:pPr>
              <w:spacing w:after="0" w:before="0"/>
            </w:pPr>
            <w:r/>
            <w:r>
              <w:rPr>
                <w:rFonts w:ascii="Aptos" w:hAnsi="Aptos"/>
                <w:b w:val="0"/>
                <w:sz w:val="16"/>
              </w:rPr>
              <w:t>Monthly payment-status normalization and transition engineering.</w:t>
            </w:r>
          </w:p>
        </w:tc>
      </w:tr>
      <w:tr>
        <w:tc>
          <w:tcPr>
            <w:tcW w:type="dxa" w:w="2880"/>
            <w:vAlign w:val="center"/>
          </w:tcPr>
          <w:p>
            <w:pPr>
              <w:spacing w:after="0" w:before="0"/>
            </w:pPr>
            <w:r/>
            <w:r>
              <w:rPr>
                <w:rFonts w:ascii="Aptos" w:hAnsi="Aptos"/>
                <w:b w:val="0"/>
                <w:sz w:val="16"/>
              </w:rPr>
              <w:t>curr_bal_amt</w:t>
            </w:r>
          </w:p>
        </w:tc>
        <w:tc>
          <w:tcPr>
            <w:tcW w:type="dxa" w:w="7200"/>
            <w:vAlign w:val="center"/>
          </w:tcPr>
          <w:p>
            <w:pPr>
              <w:spacing w:after="0" w:before="0"/>
            </w:pPr>
            <w:r/>
            <w:r>
              <w:rPr>
                <w:rFonts w:ascii="Aptos" w:hAnsi="Aptos"/>
                <w:b w:val="0"/>
                <w:sz w:val="16"/>
              </w:rPr>
              <w:t>Balance aggregation and utilization numerator.</w:t>
            </w:r>
          </w:p>
        </w:tc>
      </w:tr>
      <w:tr>
        <w:tc>
          <w:tcPr>
            <w:tcW w:type="dxa" w:w="2880"/>
            <w:vAlign w:val="center"/>
            <w:shd w:fill="F6F9FC"/>
          </w:tcPr>
          <w:p>
            <w:pPr>
              <w:spacing w:after="0" w:before="0"/>
            </w:pPr>
            <w:r/>
            <w:r>
              <w:rPr>
                <w:rFonts w:ascii="Aptos" w:hAnsi="Aptos"/>
                <w:b w:val="0"/>
                <w:sz w:val="16"/>
              </w:rPr>
              <w:t>cr_lmt_amt</w:t>
            </w:r>
          </w:p>
        </w:tc>
        <w:tc>
          <w:tcPr>
            <w:tcW w:type="dxa" w:w="7200"/>
            <w:vAlign w:val="center"/>
            <w:shd w:fill="F6F9FC"/>
          </w:tcPr>
          <w:p>
            <w:pPr>
              <w:spacing w:after="0" w:before="0"/>
            </w:pPr>
            <w:r/>
            <w:r>
              <w:rPr>
                <w:rFonts w:ascii="Aptos" w:hAnsi="Aptos"/>
                <w:b w:val="0"/>
                <w:sz w:val="16"/>
              </w:rPr>
              <w:t>Utilization denominator for eligible revolving/credit accounts; must be &gt; 0 for utilization.</w:t>
            </w:r>
          </w:p>
        </w:tc>
      </w:tr>
      <w:tr>
        <w:tc>
          <w:tcPr>
            <w:tcW w:type="dxa" w:w="2880"/>
            <w:vAlign w:val="center"/>
          </w:tcPr>
          <w:p>
            <w:pPr>
              <w:spacing w:after="0" w:before="0"/>
            </w:pPr>
            <w:r/>
            <w:r>
              <w:rPr>
                <w:rFonts w:ascii="Aptos" w:hAnsi="Aptos"/>
                <w:b w:val="0"/>
                <w:sz w:val="16"/>
              </w:rPr>
              <w:t>past_due_amt</w:t>
            </w:r>
          </w:p>
        </w:tc>
        <w:tc>
          <w:tcPr>
            <w:tcW w:type="dxa" w:w="7200"/>
            <w:vAlign w:val="center"/>
          </w:tcPr>
          <w:p>
            <w:pPr>
              <w:spacing w:after="0" w:before="0"/>
            </w:pPr>
            <w:r/>
            <w:r>
              <w:rPr>
                <w:rFonts w:ascii="Aptos" w:hAnsi="Aptos"/>
                <w:b w:val="0"/>
                <w:sz w:val="16"/>
              </w:rPr>
              <w:t>Past-due aggregation.</w:t>
            </w:r>
          </w:p>
        </w:tc>
      </w:tr>
      <w:tr>
        <w:tc>
          <w:tcPr>
            <w:tcW w:type="dxa" w:w="2880"/>
            <w:vAlign w:val="center"/>
            <w:shd w:fill="F6F9FC"/>
          </w:tcPr>
          <w:p>
            <w:pPr>
              <w:spacing w:after="0" w:before="0"/>
            </w:pPr>
            <w:r/>
            <w:r>
              <w:rPr>
                <w:rFonts w:ascii="Aptos" w:hAnsi="Aptos"/>
                <w:b w:val="0"/>
                <w:sz w:val="16"/>
              </w:rPr>
              <w:t>eff_dte</w:t>
            </w:r>
          </w:p>
        </w:tc>
        <w:tc>
          <w:tcPr>
            <w:tcW w:type="dxa" w:w="7200"/>
            <w:vAlign w:val="center"/>
            <w:shd w:fill="F6F9FC"/>
          </w:tcPr>
          <w:p>
            <w:pPr>
              <w:spacing w:after="0" w:before="0"/>
            </w:pPr>
            <w:r/>
            <w:r>
              <w:rPr>
                <w:rFonts w:ascii="Aptos" w:hAnsi="Aptos"/>
                <w:b w:val="0"/>
                <w:sz w:val="16"/>
              </w:rPr>
              <w:t>Effective/verification date used in point-in-time QA.</w:t>
            </w:r>
          </w:p>
        </w:tc>
      </w:tr>
      <w:tr>
        <w:tc>
          <w:tcPr>
            <w:tcW w:type="dxa" w:w="2880"/>
            <w:vAlign w:val="center"/>
          </w:tcPr>
          <w:p>
            <w:pPr>
              <w:spacing w:after="0" w:before="0"/>
            </w:pPr>
            <w:r/>
            <w:r>
              <w:rPr>
                <w:rFonts w:ascii="Aptos" w:hAnsi="Aptos"/>
                <w:b w:val="0"/>
                <w:sz w:val="16"/>
              </w:rPr>
              <w:t>data_date</w:t>
            </w:r>
          </w:p>
        </w:tc>
        <w:tc>
          <w:tcPr>
            <w:tcW w:type="dxa" w:w="7200"/>
            <w:vAlign w:val="center"/>
          </w:tcPr>
          <w:p>
            <w:pPr>
              <w:spacing w:after="0" w:before="0"/>
            </w:pPr>
            <w:r/>
            <w:r>
              <w:rPr>
                <w:rFonts w:ascii="Aptos" w:hAnsi="Aptos"/>
                <w:b w:val="0"/>
                <w:sz w:val="16"/>
              </w:rPr>
              <w:t>Source availability/snapshot date used to align the trade to feature month and observation date.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Exact low-level account predicates: </w:t>
            </w:r>
            <w:r>
              <w:rPr>
                <w:sz w:val="17"/>
              </w:rPr>
              <w:t>The current project record preserves the functional definitions of reported, active, rated and utilization-eligible accounts, but not every raw SQL predicate used to define “active.” This report therefore documents formulas using account-status indicators and does not fabricate unverified source conditions.</w:t>
            </w:r>
          </w:p>
        </w:tc>
      </w:tr>
    </w:tbl>
    <w:p>
      <w:pPr>
        <w:spacing w:after="0"/>
      </w:pPr>
    </w:p>
    <w:p>
      <w:pPr>
        <w:pStyle w:val="Heading1"/>
      </w:pPr>
      <w:r>
        <w:t>4. Outcome construction: qualifying fraud alert</w:t>
      </w:r>
    </w:p>
    <w:p>
      <w:pPr>
        <w:pStyle w:val="Heading2"/>
      </w:pPr>
      <w:r>
        <w:t>4.1 Derived table: bu_frd.party_first_valid_alert_all</w:t>
      </w:r>
    </w:p>
    <w:p>
      <w:r>
        <w:t>This table converts the raw alert history into a party-level first-observed qualifying event. It is the authoritative outcome source used when labeling analytical observations.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315A7D"/>
          </w:tcPr>
          <w:p>
            <w:pPr>
              <w:spacing w:after="0" w:before="0"/>
            </w:pPr>
            <w:r/>
            <w:r>
              <w:rPr>
                <w:rFonts w:ascii="Aptos" w:hAnsi="Aptos"/>
                <w:b/>
                <w:color w:val="FFFFFF"/>
                <w:sz w:val="16"/>
              </w:rPr>
              <w:t>Property</w:t>
            </w:r>
          </w:p>
        </w:tc>
        <w:tc>
          <w:tcPr>
            <w:tcW w:type="dxa" w:w="7200"/>
            <w:vAlign w:val="center"/>
            <w:shd w:fill="315A7D"/>
          </w:tcPr>
          <w:p>
            <w:pPr>
              <w:spacing w:after="0" w:before="0"/>
            </w:pPr>
            <w:r/>
            <w:r>
              <w:rPr>
                <w:rFonts w:ascii="Aptos" w:hAnsi="Aptos"/>
                <w:b/>
                <w:color w:val="FFFFFF"/>
                <w:sz w:val="16"/>
              </w:rPr>
              <w:t>Specification</w:t>
            </w:r>
          </w:p>
        </w:tc>
      </w:tr>
      <w:tr>
        <w:tc>
          <w:tcPr>
            <w:tcW w:type="dxa" w:w="2880"/>
            <w:vAlign w:val="center"/>
          </w:tcPr>
          <w:p>
            <w:pPr>
              <w:spacing w:after="0" w:before="0"/>
            </w:pPr>
            <w:r/>
            <w:r>
              <w:rPr>
                <w:rFonts w:ascii="Aptos" w:hAnsi="Aptos"/>
                <w:b w:val="0"/>
                <w:sz w:val="16"/>
              </w:rPr>
              <w:t>Source</w:t>
            </w:r>
          </w:p>
        </w:tc>
        <w:tc>
          <w:tcPr>
            <w:tcW w:type="dxa" w:w="7200"/>
            <w:vAlign w:val="center"/>
          </w:tcPr>
          <w:p>
            <w:pPr>
              <w:spacing w:after="0" w:before="0"/>
            </w:pPr>
            <w:r/>
            <w:r>
              <w:rPr>
                <w:rFonts w:ascii="Aptos" w:hAnsi="Aptos"/>
                <w:b w:val="0"/>
                <w:sz w:val="16"/>
              </w:rPr>
              <w:t>bc3.security_alert</w:t>
            </w:r>
          </w:p>
        </w:tc>
      </w:tr>
      <w:tr>
        <w:tc>
          <w:tcPr>
            <w:tcW w:type="dxa" w:w="2880"/>
            <w:vAlign w:val="center"/>
            <w:shd w:fill="F6F9FC"/>
          </w:tcPr>
          <w:p>
            <w:pPr>
              <w:spacing w:after="0" w:before="0"/>
            </w:pPr>
            <w:r/>
            <w:r>
              <w:rPr>
                <w:rFonts w:ascii="Aptos" w:hAnsi="Aptos"/>
                <w:b w:val="0"/>
                <w:sz w:val="16"/>
              </w:rPr>
              <w:t>Qualifying alert categories</w:t>
            </w:r>
          </w:p>
        </w:tc>
        <w:tc>
          <w:tcPr>
            <w:tcW w:type="dxa" w:w="7200"/>
            <w:vAlign w:val="center"/>
            <w:shd w:fill="F6F9FC"/>
          </w:tcPr>
          <w:p>
            <w:pPr>
              <w:spacing w:after="0" w:before="0"/>
            </w:pPr>
            <w:r/>
            <w:r>
              <w:rPr>
                <w:rFonts w:ascii="Aptos" w:hAnsi="Aptos"/>
                <w:b w:val="0"/>
                <w:sz w:val="16"/>
              </w:rPr>
              <w:t>Alert types 2 and 3</w:t>
            </w:r>
          </w:p>
        </w:tc>
      </w:tr>
      <w:tr>
        <w:tc>
          <w:tcPr>
            <w:tcW w:type="dxa" w:w="2880"/>
            <w:vAlign w:val="center"/>
          </w:tcPr>
          <w:p>
            <w:pPr>
              <w:spacing w:after="0" w:before="0"/>
            </w:pPr>
            <w:r/>
            <w:r>
              <w:rPr>
                <w:rFonts w:ascii="Aptos" w:hAnsi="Aptos"/>
                <w:b w:val="0"/>
                <w:sz w:val="16"/>
              </w:rPr>
              <w:t>Event selection</w:t>
            </w:r>
          </w:p>
        </w:tc>
        <w:tc>
          <w:tcPr>
            <w:tcW w:type="dxa" w:w="7200"/>
            <w:vAlign w:val="center"/>
          </w:tcPr>
          <w:p>
            <w:pPr>
              <w:spacing w:after="0" w:before="0"/>
            </w:pPr>
            <w:r/>
            <w:r>
              <w:rPr>
                <w:rFonts w:ascii="Aptos" w:hAnsi="Aptos"/>
                <w:b w:val="0"/>
                <w:sz w:val="16"/>
              </w:rPr>
              <w:t>First observed qualifying alert per party</w:t>
            </w:r>
          </w:p>
        </w:tc>
      </w:tr>
      <w:tr>
        <w:tc>
          <w:tcPr>
            <w:tcW w:type="dxa" w:w="2880"/>
            <w:vAlign w:val="center"/>
            <w:shd w:fill="F6F9FC"/>
          </w:tcPr>
          <w:p>
            <w:pPr>
              <w:spacing w:after="0" w:before="0"/>
            </w:pPr>
            <w:r/>
            <w:r>
              <w:rPr>
                <w:rFonts w:ascii="Aptos" w:hAnsi="Aptos"/>
                <w:b w:val="0"/>
                <w:sz w:val="16"/>
              </w:rPr>
              <w:t>Rationale</w:t>
            </w:r>
          </w:p>
        </w:tc>
        <w:tc>
          <w:tcPr>
            <w:tcW w:type="dxa" w:w="7200"/>
            <w:vAlign w:val="center"/>
            <w:shd w:fill="F6F9FC"/>
          </w:tcPr>
          <w:p>
            <w:pPr>
              <w:spacing w:after="0" w:before="0"/>
            </w:pPr>
            <w:r/>
            <w:r>
              <w:rPr>
                <w:rFonts w:ascii="Aptos" w:hAnsi="Aptos"/>
                <w:b w:val="0"/>
                <w:sz w:val="16"/>
              </w:rPr>
              <w:t>Fraud-alert recurrence/suppression behavior extends for years; repeated alerts are therefore not treated as independent first events.</w:t>
            </w:r>
          </w:p>
        </w:tc>
      </w:tr>
      <w:tr>
        <w:tc>
          <w:tcPr>
            <w:tcW w:type="dxa" w:w="2880"/>
            <w:vAlign w:val="center"/>
          </w:tcPr>
          <w:p>
            <w:pPr>
              <w:spacing w:after="0" w:before="0"/>
            </w:pPr>
            <w:r/>
            <w:r>
              <w:rPr>
                <w:rFonts w:ascii="Aptos" w:hAnsi="Aptos"/>
                <w:b w:val="0"/>
                <w:sz w:val="16"/>
              </w:rPr>
              <w:t>Core output</w:t>
            </w:r>
          </w:p>
        </w:tc>
        <w:tc>
          <w:tcPr>
            <w:tcW w:type="dxa" w:w="7200"/>
            <w:vAlign w:val="center"/>
          </w:tcPr>
          <w:p>
            <w:pPr>
              <w:spacing w:after="0" w:before="0"/>
            </w:pPr>
            <w:r/>
            <w:r>
              <w:rPr>
                <w:rFonts w:ascii="Aptos" w:hAnsi="Aptos"/>
                <w:b w:val="0"/>
                <w:sz w:val="16"/>
              </w:rPr>
              <w:t>party_id + first qualifying alert date (exact source column name is implementation-specific).</w:t>
            </w:r>
          </w:p>
        </w:tc>
      </w:tr>
    </w:tbl>
    <w:p>
      <w:pPr>
        <w:spacing w:after="20"/>
      </w:pPr>
    </w:p>
    <w:p>
      <w:pPr>
        <w:pStyle w:val="Heading2"/>
      </w:pPr>
      <w:r>
        <w:t>4.2 Label definition</w:t>
      </w:r>
    </w:p>
    <w:p>
      <w:pPr>
        <w:pStyle w:val="Formula"/>
        <w:jc w:val="center"/>
        <w:shd w:fill="EEF4F8"/>
      </w:pPr>
      <w:r>
        <w:rPr>
          <w:rFonts w:ascii="Cambria Math" w:hAnsi="Cambria Math"/>
          <w:sz w:val="21"/>
        </w:rPr>
        <w:t>label_3m = 1  if  observation_date &lt; first_qualifying_alert_date ≤ observation_date + 3 calendar months; otherwise 0</w:t>
      </w:r>
    </w:p>
    <w:p>
      <w:r>
        <w:t>The label describes future qualifying alert placement, not confirmed fraud victimization. This distinction is essential when interpreting behavioral results: conventional credit deterioration is not expected to behave exactly as it would in a default model.</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315A7D"/>
          </w:tcPr>
          <w:p>
            <w:pPr>
              <w:spacing w:after="0" w:before="0"/>
            </w:pPr>
            <w:r/>
            <w:r>
              <w:rPr>
                <w:rFonts w:ascii="Aptos" w:hAnsi="Aptos"/>
                <w:b/>
                <w:color w:val="FFFFFF"/>
                <w:sz w:val="17"/>
              </w:rPr>
              <w:t>Outcome QA check</w:t>
            </w:r>
          </w:p>
        </w:tc>
        <w:tc>
          <w:tcPr>
            <w:tcW w:type="dxa" w:w="4752"/>
            <w:vAlign w:val="center"/>
            <w:shd w:fill="315A7D"/>
          </w:tcPr>
          <w:p>
            <w:pPr>
              <w:spacing w:after="0" w:before="0"/>
            </w:pPr>
            <w:r/>
            <w:r>
              <w:rPr>
                <w:rFonts w:ascii="Aptos" w:hAnsi="Aptos"/>
                <w:b/>
                <w:color w:val="FFFFFF"/>
                <w:sz w:val="17"/>
              </w:rPr>
              <w:t>Validated result</w:t>
            </w:r>
          </w:p>
        </w:tc>
      </w:tr>
      <w:tr>
        <w:tc>
          <w:tcPr>
            <w:tcW w:type="dxa" w:w="5328"/>
            <w:vAlign w:val="center"/>
          </w:tcPr>
          <w:p>
            <w:pPr>
              <w:spacing w:after="0" w:before="0"/>
            </w:pPr>
            <w:r/>
            <w:r>
              <w:rPr>
                <w:rFonts w:ascii="Aptos" w:hAnsi="Aptos"/>
                <w:b w:val="0"/>
                <w:sz w:val="17"/>
              </w:rPr>
              <w:t>Positive without supporting alert</w:t>
            </w:r>
          </w:p>
        </w:tc>
        <w:tc>
          <w:tcPr>
            <w:tcW w:type="dxa" w:w="4752"/>
            <w:vAlign w:val="center"/>
          </w:tcPr>
          <w:p>
            <w:pPr>
              <w:spacing w:after="0" w:before="0"/>
            </w:pPr>
            <w:r/>
            <w:r>
              <w:rPr>
                <w:rFonts w:ascii="Aptos" w:hAnsi="Aptos"/>
                <w:b w:val="0"/>
                <w:sz w:val="17"/>
              </w:rPr>
              <w:t>0</w:t>
            </w:r>
          </w:p>
        </w:tc>
      </w:tr>
      <w:tr>
        <w:tc>
          <w:tcPr>
            <w:tcW w:type="dxa" w:w="5328"/>
            <w:vAlign w:val="center"/>
            <w:shd w:fill="F6F9FC"/>
          </w:tcPr>
          <w:p>
            <w:pPr>
              <w:spacing w:after="0" w:before="0"/>
            </w:pPr>
            <w:r/>
            <w:r>
              <w:rPr>
                <w:rFonts w:ascii="Aptos" w:hAnsi="Aptos"/>
                <w:b w:val="0"/>
                <w:sz w:val="17"/>
              </w:rPr>
              <w:t>Positive alert on/before observation date</w:t>
            </w:r>
          </w:p>
        </w:tc>
        <w:tc>
          <w:tcPr>
            <w:tcW w:type="dxa" w:w="4752"/>
            <w:vAlign w:val="center"/>
            <w:shd w:fill="F6F9FC"/>
          </w:tcPr>
          <w:p>
            <w:pPr>
              <w:spacing w:after="0" w:before="0"/>
            </w:pPr>
            <w:r/>
            <w:r>
              <w:rPr>
                <w:rFonts w:ascii="Aptos" w:hAnsi="Aptos"/>
                <w:b w:val="0"/>
                <w:sz w:val="17"/>
              </w:rPr>
              <w:t>0</w:t>
            </w:r>
          </w:p>
        </w:tc>
      </w:tr>
      <w:tr>
        <w:tc>
          <w:tcPr>
            <w:tcW w:type="dxa" w:w="5328"/>
            <w:vAlign w:val="center"/>
          </w:tcPr>
          <w:p>
            <w:pPr>
              <w:spacing w:after="0" w:before="0"/>
            </w:pPr>
            <w:r/>
            <w:r>
              <w:rPr>
                <w:rFonts w:ascii="Aptos" w:hAnsi="Aptos"/>
                <w:b w:val="0"/>
                <w:sz w:val="17"/>
              </w:rPr>
              <w:t>Positive alert outside 3-month horizon</w:t>
            </w:r>
          </w:p>
        </w:tc>
        <w:tc>
          <w:tcPr>
            <w:tcW w:type="dxa" w:w="4752"/>
            <w:vAlign w:val="center"/>
          </w:tcPr>
          <w:p>
            <w:pPr>
              <w:spacing w:after="0" w:before="0"/>
            </w:pPr>
            <w:r/>
            <w:r>
              <w:rPr>
                <w:rFonts w:ascii="Aptos" w:hAnsi="Aptos"/>
                <w:b w:val="0"/>
                <w:sz w:val="17"/>
              </w:rPr>
              <w:t>0</w:t>
            </w:r>
          </w:p>
        </w:tc>
      </w:tr>
      <w:tr>
        <w:tc>
          <w:tcPr>
            <w:tcW w:type="dxa" w:w="5328"/>
            <w:vAlign w:val="center"/>
            <w:shd w:fill="F6F9FC"/>
          </w:tcPr>
          <w:p>
            <w:pPr>
              <w:spacing w:after="0" w:before="0"/>
            </w:pPr>
            <w:r/>
            <w:r>
              <w:rPr>
                <w:rFonts w:ascii="Aptos" w:hAnsi="Aptos"/>
                <w:b w:val="0"/>
                <w:sz w:val="17"/>
              </w:rPr>
              <w:t>Negative with qualifying alert inside horizon</w:t>
            </w:r>
          </w:p>
        </w:tc>
        <w:tc>
          <w:tcPr>
            <w:tcW w:type="dxa" w:w="4752"/>
            <w:vAlign w:val="center"/>
            <w:shd w:fill="F6F9FC"/>
          </w:tcPr>
          <w:p>
            <w:pPr>
              <w:spacing w:after="0" w:before="0"/>
            </w:pPr>
            <w:r/>
            <w:r>
              <w:rPr>
                <w:rFonts w:ascii="Aptos" w:hAnsi="Aptos"/>
                <w:b w:val="0"/>
                <w:sz w:val="17"/>
              </w:rPr>
              <w:t>0</w:t>
            </w:r>
          </w:p>
        </w:tc>
      </w:tr>
    </w:tbl>
    <w:p>
      <w:pPr>
        <w:spacing w:after="20"/>
      </w:pPr>
    </w:p>
    <w:p>
      <w:pPr>
        <w:pStyle w:val="Heading1"/>
      </w:pPr>
      <w:r>
        <w:t>5. Cohort and observation-date design</w:t>
      </w:r>
    </w:p>
    <w:p>
      <w:pPr>
        <w:pStyle w:val="Heading2"/>
      </w:pPr>
      <w:r>
        <w:t>5.1 bu_frd.model_cohort_behavioral_final_3m_2022_2025</w:t>
      </w:r>
    </w:p>
    <w:p>
      <w:r>
        <w:t>Final analytical cohort before monthly behavioral extraction. Each row represents a party with a fixed observation date and a 3-month forward outcome. The cohort contains positives and sampled controls.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315A7D"/>
          </w:tcPr>
          <w:p>
            <w:pPr>
              <w:spacing w:after="0" w:before="0"/>
            </w:pPr>
            <w:r/>
            <w:r>
              <w:rPr>
                <w:rFonts w:ascii="Aptos" w:hAnsi="Aptos"/>
                <w:b/>
                <w:color w:val="FFFFFF"/>
                <w:sz w:val="16"/>
              </w:rPr>
              <w:t>Attribute</w:t>
            </w:r>
          </w:p>
        </w:tc>
        <w:tc>
          <w:tcPr>
            <w:tcW w:type="dxa" w:w="6768"/>
            <w:vAlign w:val="center"/>
            <w:shd w:fill="315A7D"/>
          </w:tcPr>
          <w:p>
            <w:pPr>
              <w:spacing w:after="0" w:before="0"/>
            </w:pPr>
            <w:r/>
            <w:r>
              <w:rPr>
                <w:rFonts w:ascii="Aptos" w:hAnsi="Aptos"/>
                <w:b/>
                <w:color w:val="FFFFFF"/>
                <w:sz w:val="16"/>
              </w:rPr>
              <w:t>Validated specification</w:t>
            </w:r>
          </w:p>
        </w:tc>
      </w:tr>
      <w:tr>
        <w:tc>
          <w:tcPr>
            <w:tcW w:type="dxa" w:w="3312"/>
            <w:vAlign w:val="center"/>
          </w:tcPr>
          <w:p>
            <w:pPr>
              <w:spacing w:after="0" w:before="0"/>
            </w:pPr>
            <w:r/>
            <w:r>
              <w:rPr>
                <w:rFonts w:ascii="Aptos" w:hAnsi="Aptos"/>
                <w:b w:val="0"/>
                <w:sz w:val="16"/>
              </w:rPr>
              <w:t>Final parties</w:t>
            </w:r>
          </w:p>
        </w:tc>
        <w:tc>
          <w:tcPr>
            <w:tcW w:type="dxa" w:w="6768"/>
            <w:vAlign w:val="center"/>
          </w:tcPr>
          <w:p>
            <w:pPr>
              <w:spacing w:after="0" w:before="0"/>
            </w:pPr>
            <w:r/>
            <w:r>
              <w:rPr>
                <w:rFonts w:ascii="Aptos" w:hAnsi="Aptos"/>
                <w:b w:val="0"/>
                <w:sz w:val="16"/>
              </w:rPr>
              <w:t>688,589 unique parties</w:t>
            </w:r>
          </w:p>
        </w:tc>
      </w:tr>
      <w:tr>
        <w:tc>
          <w:tcPr>
            <w:tcW w:type="dxa" w:w="3312"/>
            <w:vAlign w:val="center"/>
            <w:shd w:fill="F6F9FC"/>
          </w:tcPr>
          <w:p>
            <w:pPr>
              <w:spacing w:after="0" w:before="0"/>
            </w:pPr>
            <w:r/>
            <w:r>
              <w:rPr>
                <w:rFonts w:ascii="Aptos" w:hAnsi="Aptos"/>
                <w:b w:val="0"/>
                <w:sz w:val="16"/>
              </w:rPr>
              <w:t>Positive cases</w:t>
            </w:r>
          </w:p>
        </w:tc>
        <w:tc>
          <w:tcPr>
            <w:tcW w:type="dxa" w:w="6768"/>
            <w:vAlign w:val="center"/>
            <w:shd w:fill="F6F9FC"/>
          </w:tcPr>
          <w:p>
            <w:pPr>
              <w:spacing w:after="0" w:before="0"/>
            </w:pPr>
            <w:r/>
            <w:r>
              <w:rPr>
                <w:rFonts w:ascii="Aptos" w:hAnsi="Aptos"/>
                <w:b w:val="0"/>
                <w:sz w:val="16"/>
              </w:rPr>
              <w:t>62,599</w:t>
            </w:r>
          </w:p>
        </w:tc>
      </w:tr>
      <w:tr>
        <w:tc>
          <w:tcPr>
            <w:tcW w:type="dxa" w:w="3312"/>
            <w:vAlign w:val="center"/>
          </w:tcPr>
          <w:p>
            <w:pPr>
              <w:spacing w:after="0" w:before="0"/>
            </w:pPr>
            <w:r/>
            <w:r>
              <w:rPr>
                <w:rFonts w:ascii="Aptos" w:hAnsi="Aptos"/>
                <w:b w:val="0"/>
                <w:sz w:val="16"/>
              </w:rPr>
              <w:t>Negative controls</w:t>
            </w:r>
          </w:p>
        </w:tc>
        <w:tc>
          <w:tcPr>
            <w:tcW w:type="dxa" w:w="6768"/>
            <w:vAlign w:val="center"/>
          </w:tcPr>
          <w:p>
            <w:pPr>
              <w:spacing w:after="0" w:before="0"/>
            </w:pPr>
            <w:r/>
            <w:r>
              <w:rPr>
                <w:rFonts w:ascii="Aptos" w:hAnsi="Aptos"/>
                <w:b w:val="0"/>
                <w:sz w:val="16"/>
              </w:rPr>
              <w:t>625,990</w:t>
            </w:r>
          </w:p>
        </w:tc>
      </w:tr>
      <w:tr>
        <w:tc>
          <w:tcPr>
            <w:tcW w:type="dxa" w:w="3312"/>
            <w:vAlign w:val="center"/>
            <w:shd w:fill="F6F9FC"/>
          </w:tcPr>
          <w:p>
            <w:pPr>
              <w:spacing w:after="0" w:before="0"/>
            </w:pPr>
            <w:r/>
            <w:r>
              <w:rPr>
                <w:rFonts w:ascii="Aptos" w:hAnsi="Aptos"/>
                <w:b w:val="0"/>
                <w:sz w:val="16"/>
              </w:rPr>
              <w:t>Analytical positive rate</w:t>
            </w:r>
          </w:p>
        </w:tc>
        <w:tc>
          <w:tcPr>
            <w:tcW w:type="dxa" w:w="6768"/>
            <w:vAlign w:val="center"/>
            <w:shd w:fill="F6F9FC"/>
          </w:tcPr>
          <w:p>
            <w:pPr>
              <w:spacing w:after="0" w:before="0"/>
            </w:pPr>
            <w:r/>
            <w:r>
              <w:rPr>
                <w:rFonts w:ascii="Aptos" w:hAnsi="Aptos"/>
                <w:b w:val="0"/>
                <w:sz w:val="16"/>
              </w:rPr>
              <w:t>9.0909%</w:t>
            </w:r>
          </w:p>
        </w:tc>
      </w:tr>
      <w:tr>
        <w:tc>
          <w:tcPr>
            <w:tcW w:type="dxa" w:w="3312"/>
            <w:vAlign w:val="center"/>
          </w:tcPr>
          <w:p>
            <w:pPr>
              <w:spacing w:after="0" w:before="0"/>
            </w:pPr>
            <w:r/>
            <w:r>
              <w:rPr>
                <w:rFonts w:ascii="Aptos" w:hAnsi="Aptos"/>
                <w:b w:val="0"/>
                <w:sz w:val="16"/>
              </w:rPr>
              <w:t>Sampling ratio</w:t>
            </w:r>
          </w:p>
        </w:tc>
        <w:tc>
          <w:tcPr>
            <w:tcW w:type="dxa" w:w="6768"/>
            <w:vAlign w:val="center"/>
          </w:tcPr>
          <w:p>
            <w:pPr>
              <w:spacing w:after="0" w:before="0"/>
            </w:pPr>
            <w:r/>
            <w:r>
              <w:rPr>
                <w:rFonts w:ascii="Aptos" w:hAnsi="Aptos"/>
                <w:b w:val="0"/>
                <w:sz w:val="16"/>
              </w:rPr>
              <w:t>Approximately 1 positive : 10 negatives</w:t>
            </w:r>
          </w:p>
        </w:tc>
      </w:tr>
      <w:tr>
        <w:tc>
          <w:tcPr>
            <w:tcW w:type="dxa" w:w="3312"/>
            <w:vAlign w:val="center"/>
            <w:shd w:fill="F6F9FC"/>
          </w:tcPr>
          <w:p>
            <w:pPr>
              <w:spacing w:after="0" w:before="0"/>
            </w:pPr>
            <w:r/>
            <w:r>
              <w:rPr>
                <w:rFonts w:ascii="Aptos" w:hAnsi="Aptos"/>
                <w:b w:val="0"/>
                <w:sz w:val="16"/>
              </w:rPr>
              <w:t>Observation-date coverage</w:t>
            </w:r>
          </w:p>
        </w:tc>
        <w:tc>
          <w:tcPr>
            <w:tcW w:type="dxa" w:w="6768"/>
            <w:vAlign w:val="center"/>
            <w:shd w:fill="F6F9FC"/>
          </w:tcPr>
          <w:p>
            <w:pPr>
              <w:spacing w:after="0" w:before="0"/>
            </w:pPr>
            <w:r/>
            <w:r>
              <w:rPr>
                <w:rFonts w:ascii="Aptos" w:hAnsi="Aptos"/>
                <w:b w:val="0"/>
                <w:sz w:val="16"/>
              </w:rPr>
              <w:t>2022-01-31 through 2025-12-31</w:t>
            </w:r>
          </w:p>
        </w:tc>
      </w:tr>
      <w:tr>
        <w:tc>
          <w:tcPr>
            <w:tcW w:type="dxa" w:w="3312"/>
            <w:vAlign w:val="center"/>
          </w:tcPr>
          <w:p>
            <w:pPr>
              <w:spacing w:after="0" w:before="0"/>
            </w:pPr>
            <w:r/>
            <w:r>
              <w:rPr>
                <w:rFonts w:ascii="Aptos" w:hAnsi="Aptos"/>
                <w:b w:val="0"/>
                <w:sz w:val="16"/>
              </w:rPr>
              <w:t>Uniqueness</w:t>
            </w:r>
          </w:p>
        </w:tc>
        <w:tc>
          <w:tcPr>
            <w:tcW w:type="dxa" w:w="6768"/>
            <w:vAlign w:val="center"/>
          </w:tcPr>
          <w:p>
            <w:pPr>
              <w:spacing w:after="0" w:before="0"/>
            </w:pPr>
            <w:r/>
            <w:r>
              <w:rPr>
                <w:rFonts w:ascii="Aptos" w:hAnsi="Aptos"/>
                <w:b w:val="0"/>
                <w:sz w:val="16"/>
              </w:rPr>
              <w:t>One final row per party</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Sampling implication: </w:t>
            </w:r>
            <w:r>
              <w:rPr>
                <w:sz w:val="17"/>
              </w:rPr>
              <w:t>The 9.09% analytical rate is a design artifact. Raw logistic-regression probabilities require calibration before they can be interpreted as population probabilities.</w:t>
            </w:r>
          </w:p>
        </w:tc>
      </w:tr>
    </w:tbl>
    <w:p>
      <w:pPr>
        <w:spacing w:after="0"/>
      </w:pPr>
    </w:p>
    <w:p>
      <w:pPr>
        <w:pStyle w:val="Heading2"/>
      </w:pPr>
      <w:r>
        <w:t>5.2 Calendar behavior of the cohort</w:t>
      </w:r>
    </w:p>
    <w:p>
      <w:r>
        <w:t>The cohort covers 48 consecutive observation months. Monthly volume is uneven, with a pronounced increase around May–June 2024. Follow-up validation showed that the same increase is already visible upstream in both party_first_valid_alert_all and bc3.security_alert, so the concentration is not a downstream cohort-construction artifact.</w:t>
      </w:r>
    </w:p>
    <w:p>
      <w:pPr>
        <w:pStyle w:val="Heading1"/>
      </w:pPr>
      <w:r>
        <w:t>6. Temporal design: SEED, PRIOR 9M and RECENT 3M</w:t>
      </w:r>
    </w:p>
    <w:p>
      <w:pPr>
        <w:pStyle w:val="Heading2"/>
      </w:pPr>
      <w:r>
        <w:t>6.1 bu_frd.model_cohort_month_keys_3m_2022_2025_v2</w:t>
      </w:r>
    </w:p>
    <w:p>
      <w:r>
        <w:t>This layer expands each analytical party into the relative months required to retrieve point-in-time trade history. It formalizes the model clock and prevents ambiguous month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315A7D"/>
          </w:tcPr>
          <w:p>
            <w:pPr>
              <w:spacing w:after="0" w:before="0"/>
            </w:pPr>
            <w:r/>
            <w:r>
              <w:rPr>
                <w:rFonts w:ascii="Aptos" w:hAnsi="Aptos"/>
                <w:b/>
                <w:color w:val="FFFFFF"/>
                <w:sz w:val="16"/>
              </w:rPr>
              <w:t>Relative offset</w:t>
            </w:r>
          </w:p>
        </w:tc>
        <w:tc>
          <w:tcPr>
            <w:tcW w:type="dxa" w:w="2880"/>
            <w:vAlign w:val="center"/>
            <w:shd w:fill="315A7D"/>
          </w:tcPr>
          <w:p>
            <w:pPr>
              <w:spacing w:after="0" w:before="0"/>
            </w:pPr>
            <w:r/>
            <w:r>
              <w:rPr>
                <w:rFonts w:ascii="Aptos" w:hAnsi="Aptos"/>
                <w:b/>
                <w:color w:val="FFFFFF"/>
                <w:sz w:val="16"/>
              </w:rPr>
              <w:t>Window</w:t>
            </w:r>
          </w:p>
        </w:tc>
        <w:tc>
          <w:tcPr>
            <w:tcW w:type="dxa" w:w="4896"/>
            <w:vAlign w:val="center"/>
            <w:shd w:fill="315A7D"/>
          </w:tcPr>
          <w:p>
            <w:pPr>
              <w:spacing w:after="0" w:before="0"/>
            </w:pPr>
            <w:r/>
            <w:r>
              <w:rPr>
                <w:rFonts w:ascii="Aptos" w:hAnsi="Aptos"/>
                <w:b/>
                <w:color w:val="FFFFFF"/>
                <w:sz w:val="16"/>
              </w:rPr>
              <w:t>Purpose</w:t>
            </w:r>
          </w:p>
        </w:tc>
      </w:tr>
      <w:tr>
        <w:tc>
          <w:tcPr>
            <w:tcW w:type="dxa" w:w="2448"/>
            <w:vAlign w:val="center"/>
          </w:tcPr>
          <w:p>
            <w:pPr>
              <w:spacing w:after="0" w:before="0"/>
            </w:pPr>
            <w:r/>
            <w:r>
              <w:rPr>
                <w:rFonts w:ascii="Aptos" w:hAnsi="Aptos"/>
                <w:b w:val="0"/>
                <w:sz w:val="16"/>
              </w:rPr>
              <w:t>M-12 / offset 12</w:t>
            </w:r>
          </w:p>
        </w:tc>
        <w:tc>
          <w:tcPr>
            <w:tcW w:type="dxa" w:w="2880"/>
            <w:vAlign w:val="center"/>
          </w:tcPr>
          <w:p>
            <w:pPr>
              <w:spacing w:after="0" w:before="0"/>
            </w:pPr>
            <w:r/>
            <w:r>
              <w:rPr>
                <w:rFonts w:ascii="Aptos" w:hAnsi="Aptos"/>
                <w:b w:val="0"/>
                <w:sz w:val="16"/>
              </w:rPr>
              <w:t>SEED</w:t>
            </w:r>
          </w:p>
        </w:tc>
        <w:tc>
          <w:tcPr>
            <w:tcW w:type="dxa" w:w="4896"/>
            <w:vAlign w:val="center"/>
          </w:tcPr>
          <w:p>
            <w:pPr>
              <w:spacing w:after="0" w:before="0"/>
            </w:pPr>
            <w:r/>
            <w:r>
              <w:rPr>
                <w:rFonts w:ascii="Aptos" w:hAnsi="Aptos"/>
                <w:b w:val="0"/>
                <w:sz w:val="16"/>
              </w:rPr>
              <w:t>Technical predecessor month used only to calculate the first transition into M-11.</w:t>
            </w:r>
          </w:p>
        </w:tc>
      </w:tr>
      <w:tr>
        <w:tc>
          <w:tcPr>
            <w:tcW w:type="dxa" w:w="2448"/>
            <w:vAlign w:val="center"/>
            <w:shd w:fill="F6F9FC"/>
          </w:tcPr>
          <w:p>
            <w:pPr>
              <w:spacing w:after="0" w:before="0"/>
            </w:pPr>
            <w:r/>
            <w:r>
              <w:rPr>
                <w:rFonts w:ascii="Aptos" w:hAnsi="Aptos"/>
                <w:b w:val="0"/>
                <w:sz w:val="16"/>
              </w:rPr>
              <w:t>M-11 … M-3 / offsets 11…3</w:t>
            </w:r>
          </w:p>
        </w:tc>
        <w:tc>
          <w:tcPr>
            <w:tcW w:type="dxa" w:w="2880"/>
            <w:vAlign w:val="center"/>
            <w:shd w:fill="F6F9FC"/>
          </w:tcPr>
          <w:p>
            <w:pPr>
              <w:spacing w:after="0" w:before="0"/>
            </w:pPr>
            <w:r/>
            <w:r>
              <w:rPr>
                <w:rFonts w:ascii="Aptos" w:hAnsi="Aptos"/>
                <w:b w:val="0"/>
                <w:sz w:val="16"/>
              </w:rPr>
              <w:t>PRIOR 9M</w:t>
            </w:r>
          </w:p>
        </w:tc>
        <w:tc>
          <w:tcPr>
            <w:tcW w:type="dxa" w:w="4896"/>
            <w:vAlign w:val="center"/>
            <w:shd w:fill="F6F9FC"/>
          </w:tcPr>
          <w:p>
            <w:pPr>
              <w:spacing w:after="0" w:before="0"/>
            </w:pPr>
            <w:r/>
            <w:r>
              <w:rPr>
                <w:rFonts w:ascii="Aptos" w:hAnsi="Aptos"/>
                <w:b w:val="0"/>
                <w:sz w:val="16"/>
              </w:rPr>
              <w:t>Historical baseline used for means, rates, coverage and baseline standard deviations.</w:t>
            </w:r>
          </w:p>
        </w:tc>
      </w:tr>
      <w:tr>
        <w:tc>
          <w:tcPr>
            <w:tcW w:type="dxa" w:w="2448"/>
            <w:vAlign w:val="center"/>
          </w:tcPr>
          <w:p>
            <w:pPr>
              <w:spacing w:after="0" w:before="0"/>
            </w:pPr>
            <w:r/>
            <w:r>
              <w:rPr>
                <w:rFonts w:ascii="Aptos" w:hAnsi="Aptos"/>
                <w:b w:val="0"/>
                <w:sz w:val="16"/>
              </w:rPr>
              <w:t>M-2 … M0 / offsets 2…0</w:t>
            </w:r>
          </w:p>
        </w:tc>
        <w:tc>
          <w:tcPr>
            <w:tcW w:type="dxa" w:w="2880"/>
            <w:vAlign w:val="center"/>
          </w:tcPr>
          <w:p>
            <w:pPr>
              <w:spacing w:after="0" w:before="0"/>
            </w:pPr>
            <w:r/>
            <w:r>
              <w:rPr>
                <w:rFonts w:ascii="Aptos" w:hAnsi="Aptos"/>
                <w:b w:val="0"/>
                <w:sz w:val="16"/>
              </w:rPr>
              <w:t>RECENT 3M</w:t>
            </w:r>
          </w:p>
        </w:tc>
        <w:tc>
          <w:tcPr>
            <w:tcW w:type="dxa" w:w="4896"/>
            <w:vAlign w:val="center"/>
          </w:tcPr>
          <w:p>
            <w:pPr>
              <w:spacing w:after="0" w:before="0"/>
            </w:pPr>
            <w:r/>
            <w:r>
              <w:rPr>
                <w:rFonts w:ascii="Aptos" w:hAnsi="Aptos"/>
                <w:b w:val="0"/>
                <w:sz w:val="16"/>
              </w:rPr>
              <w:t>Most recent behavior immediately preceding/finalized at observation date.</w:t>
            </w:r>
          </w:p>
        </w:tc>
      </w:tr>
    </w:tbl>
    <w:p>
      <w:pPr>
        <w:spacing w:after="20"/>
      </w:pPr>
    </w:p>
    <w:p>
      <w:pPr>
        <w:pStyle w:val="Formula"/>
        <w:jc w:val="center"/>
        <w:shd w:fill="EEF4F8"/>
      </w:pPr>
      <w:r>
        <w:rPr>
          <w:rFonts w:ascii="Cambria Math" w:hAnsi="Cambria Math"/>
          <w:sz w:val="21"/>
        </w:rPr>
        <w:t>13 technical months = 1 SEED + 9 PRIOR + 3 RECENT</w:t>
      </w:r>
    </w:p>
    <w:p>
      <w:pPr>
        <w:pStyle w:val="Formula"/>
        <w:jc w:val="center"/>
        <w:shd w:fill="EEF4F8"/>
      </w:pPr>
      <w:r>
        <w:rPr>
          <w:rFonts w:ascii="Cambria Math" w:hAnsi="Cambria Math"/>
          <w:sz w:val="21"/>
        </w:rPr>
        <w:t>12 feature months = 9 PRIOR + 3 RECENT</w:t>
      </w: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No direct SEED contribution: </w:t>
            </w:r>
            <w:r>
              <w:rPr>
                <w:sz w:val="17"/>
              </w:rPr>
              <w:t>The SEED month is excluded from balance/utilization/past-due/delinquency averages and from final 12-month feature history. It exists only so M-11 has a valid prior state for MOP transition calculations.</w:t>
            </w:r>
          </w:p>
        </w:tc>
      </w:tr>
    </w:tbl>
    <w:p>
      <w:pPr>
        <w:spacing w:after="0"/>
      </w:pPr>
    </w:p>
    <w:p>
      <w:pPr>
        <w:pStyle w:val="Heading1"/>
      </w:pPr>
      <w:r>
        <w:t>7. Point-in-time trade extraction</w:t>
      </w:r>
    </w:p>
    <w:p>
      <w:pPr>
        <w:pStyle w:val="Heading2"/>
      </w:pPr>
      <w:r>
        <w:t>7.1 bu_frd.model_trades_behavioral_final_13m_2022_2025</w:t>
      </w:r>
    </w:p>
    <w:p>
      <w:r>
        <w:t>Filtered trade-level table containing only the party/account/month records needed by the cohort and 13-month temporal design. This is the primary point-in-time behavioral extraction feeding transition logic and monthly aggregation.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315A7D"/>
          </w:tcPr>
          <w:p>
            <w:pPr>
              <w:spacing w:after="0" w:before="0"/>
            </w:pPr>
            <w:r/>
            <w:r>
              <w:rPr>
                <w:rFonts w:ascii="Aptos" w:hAnsi="Aptos"/>
                <w:b/>
                <w:color w:val="FFFFFF"/>
                <w:sz w:val="16"/>
              </w:rPr>
              <w:t>Property</w:t>
            </w:r>
          </w:p>
        </w:tc>
        <w:tc>
          <w:tcPr>
            <w:tcW w:type="dxa" w:w="6912"/>
            <w:vAlign w:val="center"/>
            <w:shd w:fill="315A7D"/>
          </w:tcPr>
          <w:p>
            <w:pPr>
              <w:spacing w:after="0" w:before="0"/>
            </w:pPr>
            <w:r/>
            <w:r>
              <w:rPr>
                <w:rFonts w:ascii="Aptos" w:hAnsi="Aptos"/>
                <w:b/>
                <w:color w:val="FFFFFF"/>
                <w:sz w:val="16"/>
              </w:rPr>
              <w:t>Specification</w:t>
            </w:r>
          </w:p>
        </w:tc>
      </w:tr>
      <w:tr>
        <w:tc>
          <w:tcPr>
            <w:tcW w:type="dxa" w:w="3168"/>
            <w:vAlign w:val="center"/>
          </w:tcPr>
          <w:p>
            <w:pPr>
              <w:spacing w:after="0" w:before="0"/>
            </w:pPr>
            <w:r/>
            <w:r>
              <w:rPr>
                <w:rFonts w:ascii="Aptos" w:hAnsi="Aptos"/>
                <w:b w:val="0"/>
                <w:sz w:val="16"/>
              </w:rPr>
              <w:t>Grain</w:t>
            </w:r>
          </w:p>
        </w:tc>
        <w:tc>
          <w:tcPr>
            <w:tcW w:type="dxa" w:w="6912"/>
            <w:vAlign w:val="center"/>
          </w:tcPr>
          <w:p>
            <w:pPr>
              <w:spacing w:after="0" w:before="0"/>
            </w:pPr>
            <w:r/>
            <w:r>
              <w:rPr>
                <w:rFonts w:ascii="Aptos" w:hAnsi="Aptos"/>
                <w:b w:val="0"/>
                <w:sz w:val="16"/>
              </w:rPr>
              <w:t>party_id + acct_id + feature_month / snapshot context</w:t>
            </w:r>
          </w:p>
        </w:tc>
      </w:tr>
      <w:tr>
        <w:tc>
          <w:tcPr>
            <w:tcW w:type="dxa" w:w="3168"/>
            <w:vAlign w:val="center"/>
            <w:shd w:fill="F6F9FC"/>
          </w:tcPr>
          <w:p>
            <w:pPr>
              <w:spacing w:after="0" w:before="0"/>
            </w:pPr>
            <w:r/>
            <w:r>
              <w:rPr>
                <w:rFonts w:ascii="Aptos" w:hAnsi="Aptos"/>
                <w:b w:val="0"/>
                <w:sz w:val="16"/>
              </w:rPr>
              <w:t>Rows</w:t>
            </w:r>
          </w:p>
        </w:tc>
        <w:tc>
          <w:tcPr>
            <w:tcW w:type="dxa" w:w="6912"/>
            <w:vAlign w:val="center"/>
            <w:shd w:fill="F6F9FC"/>
          </w:tcPr>
          <w:p>
            <w:pPr>
              <w:spacing w:after="0" w:before="0"/>
            </w:pPr>
            <w:r/>
            <w:r>
              <w:rPr>
                <w:rFonts w:ascii="Aptos" w:hAnsi="Aptos"/>
                <w:b w:val="0"/>
                <w:sz w:val="16"/>
              </w:rPr>
              <w:t>98,051,779 validated trade rows</w:t>
            </w:r>
          </w:p>
        </w:tc>
      </w:tr>
      <w:tr>
        <w:tc>
          <w:tcPr>
            <w:tcW w:type="dxa" w:w="3168"/>
            <w:vAlign w:val="center"/>
          </w:tcPr>
          <w:p>
            <w:pPr>
              <w:spacing w:after="0" w:before="0"/>
            </w:pPr>
            <w:r/>
            <w:r>
              <w:rPr>
                <w:rFonts w:ascii="Aptos" w:hAnsi="Aptos"/>
                <w:b w:val="0"/>
                <w:sz w:val="16"/>
              </w:rPr>
              <w:t>Offsets</w:t>
            </w:r>
          </w:p>
        </w:tc>
        <w:tc>
          <w:tcPr>
            <w:tcW w:type="dxa" w:w="6912"/>
            <w:vAlign w:val="center"/>
          </w:tcPr>
          <w:p>
            <w:pPr>
              <w:spacing w:after="0" w:before="0"/>
            </w:pPr>
            <w:r/>
            <w:r>
              <w:rPr>
                <w:rFonts w:ascii="Aptos" w:hAnsi="Aptos"/>
                <w:b w:val="0"/>
                <w:sz w:val="16"/>
              </w:rPr>
              <w:t>0 through 12</w:t>
            </w:r>
          </w:p>
        </w:tc>
      </w:tr>
      <w:tr>
        <w:tc>
          <w:tcPr>
            <w:tcW w:type="dxa" w:w="3168"/>
            <w:vAlign w:val="center"/>
            <w:shd w:fill="F6F9FC"/>
          </w:tcPr>
          <w:p>
            <w:pPr>
              <w:spacing w:after="0" w:before="0"/>
            </w:pPr>
            <w:r/>
            <w:r>
              <w:rPr>
                <w:rFonts w:ascii="Aptos" w:hAnsi="Aptos"/>
                <w:b w:val="0"/>
                <w:sz w:val="16"/>
              </w:rPr>
              <w:t>Feature window</w:t>
            </w:r>
          </w:p>
        </w:tc>
        <w:tc>
          <w:tcPr>
            <w:tcW w:type="dxa" w:w="6912"/>
            <w:vAlign w:val="center"/>
            <w:shd w:fill="F6F9FC"/>
          </w:tcPr>
          <w:p>
            <w:pPr>
              <w:spacing w:after="0" w:before="0"/>
            </w:pPr>
            <w:r/>
            <w:r>
              <w:rPr>
                <w:rFonts w:ascii="Aptos" w:hAnsi="Aptos"/>
                <w:b w:val="0"/>
                <w:sz w:val="16"/>
              </w:rPr>
              <w:t>SEED / PRIOR / RECENT assignment</w:t>
            </w:r>
          </w:p>
        </w:tc>
      </w:tr>
      <w:tr>
        <w:tc>
          <w:tcPr>
            <w:tcW w:type="dxa" w:w="3168"/>
            <w:vAlign w:val="center"/>
          </w:tcPr>
          <w:p>
            <w:pPr>
              <w:spacing w:after="0" w:before="0"/>
            </w:pPr>
            <w:r/>
            <w:r>
              <w:rPr>
                <w:rFonts w:ascii="Aptos" w:hAnsi="Aptos"/>
                <w:b w:val="0"/>
                <w:sz w:val="16"/>
              </w:rPr>
              <w:t>Core fields</w:t>
            </w:r>
          </w:p>
        </w:tc>
        <w:tc>
          <w:tcPr>
            <w:tcW w:type="dxa" w:w="6912"/>
            <w:vAlign w:val="center"/>
          </w:tcPr>
          <w:p>
            <w:pPr>
              <w:spacing w:after="0" w:before="0"/>
            </w:pPr>
            <w:r/>
            <w:r>
              <w:rPr>
                <w:rFonts w:ascii="Aptos" w:hAnsi="Aptos"/>
                <w:b w:val="0"/>
                <w:sz w:val="16"/>
              </w:rPr>
              <w:t>party/account identifiers, account type, MOP, balances, limits, past due, effective date, data date and related source fields</w:t>
            </w:r>
          </w:p>
        </w:tc>
      </w:tr>
      <w:tr>
        <w:tc>
          <w:tcPr>
            <w:tcW w:type="dxa" w:w="3168"/>
            <w:vAlign w:val="center"/>
            <w:shd w:fill="F6F9FC"/>
          </w:tcPr>
          <w:p>
            <w:pPr>
              <w:spacing w:after="0" w:before="0"/>
            </w:pPr>
            <w:r/>
            <w:r>
              <w:rPr>
                <w:rFonts w:ascii="Aptos" w:hAnsi="Aptos"/>
                <w:b w:val="0"/>
                <w:sz w:val="16"/>
              </w:rPr>
              <w:t>Point-in-time rule</w:t>
            </w:r>
          </w:p>
        </w:tc>
        <w:tc>
          <w:tcPr>
            <w:tcW w:type="dxa" w:w="6912"/>
            <w:vAlign w:val="center"/>
            <w:shd w:fill="F6F9FC"/>
          </w:tcPr>
          <w:p>
            <w:pPr>
              <w:spacing w:after="0" w:before="0"/>
            </w:pPr>
            <w:r/>
            <w:r>
              <w:rPr>
                <w:rFonts w:ascii="Aptos" w:hAnsi="Aptos"/>
                <w:b w:val="0"/>
                <w:sz w:val="16"/>
              </w:rPr>
              <w:t>No source record or effective information is allowed after the observation date.</w:t>
            </w:r>
          </w:p>
        </w:tc>
      </w:tr>
    </w:tbl>
    <w:p>
      <w:pPr>
        <w:spacing w:after="20"/>
      </w:pP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315A7D"/>
          </w:tcPr>
          <w:p>
            <w:pPr>
              <w:spacing w:after="0" w:before="0"/>
            </w:pPr>
            <w:r/>
            <w:r>
              <w:rPr>
                <w:rFonts w:ascii="Aptos" w:hAnsi="Aptos"/>
                <w:b/>
                <w:color w:val="FFFFFF"/>
                <w:sz w:val="16"/>
              </w:rPr>
              <w:t>Point-in-time QA</w:t>
            </w:r>
          </w:p>
        </w:tc>
        <w:tc>
          <w:tcPr>
            <w:tcW w:type="dxa" w:w="5040"/>
            <w:vAlign w:val="center"/>
            <w:shd w:fill="315A7D"/>
          </w:tcPr>
          <w:p>
            <w:pPr>
              <w:spacing w:after="0" w:before="0"/>
            </w:pPr>
            <w:r/>
            <w:r>
              <w:rPr>
                <w:rFonts w:ascii="Aptos" w:hAnsi="Aptos"/>
                <w:b/>
                <w:color w:val="FFFFFF"/>
                <w:sz w:val="16"/>
              </w:rPr>
              <w:t>Result</w:t>
            </w:r>
          </w:p>
        </w:tc>
      </w:tr>
      <w:tr>
        <w:tc>
          <w:tcPr>
            <w:tcW w:type="dxa" w:w="5040"/>
            <w:vAlign w:val="center"/>
          </w:tcPr>
          <w:p>
            <w:pPr>
              <w:spacing w:after="0" w:before="0"/>
            </w:pPr>
            <w:r/>
            <w:r>
              <w:rPr>
                <w:rFonts w:ascii="Aptos" w:hAnsi="Aptos"/>
                <w:b w:val="0"/>
                <w:sz w:val="16"/>
              </w:rPr>
              <w:t>data_date after observation_date</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feature_month after observation_date</w:t>
            </w:r>
          </w:p>
        </w:tc>
        <w:tc>
          <w:tcPr>
            <w:tcW w:type="dxa" w:w="5040"/>
            <w:vAlign w:val="center"/>
            <w:shd w:fill="F6F9FC"/>
          </w:tcPr>
          <w:p>
            <w:pPr>
              <w:spacing w:after="0" w:before="0"/>
            </w:pPr>
            <w:r/>
            <w:r>
              <w:rPr>
                <w:rFonts w:ascii="Aptos" w:hAnsi="Aptos"/>
                <w:b w:val="0"/>
                <w:sz w:val="16"/>
              </w:rPr>
              <w:t>0</w:t>
            </w:r>
          </w:p>
        </w:tc>
      </w:tr>
      <w:tr>
        <w:tc>
          <w:tcPr>
            <w:tcW w:type="dxa" w:w="5040"/>
            <w:vAlign w:val="center"/>
          </w:tcPr>
          <w:p>
            <w:pPr>
              <w:spacing w:after="0" w:before="0"/>
            </w:pPr>
            <w:r/>
            <w:r>
              <w:rPr>
                <w:rFonts w:ascii="Aptos" w:hAnsi="Aptos"/>
                <w:b w:val="0"/>
                <w:sz w:val="16"/>
              </w:rPr>
              <w:t>eff_dte after data_date</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eff_dte after observation_date</w:t>
            </w:r>
          </w:p>
        </w:tc>
        <w:tc>
          <w:tcPr>
            <w:tcW w:type="dxa" w:w="5040"/>
            <w:vAlign w:val="center"/>
            <w:shd w:fill="F6F9FC"/>
          </w:tcPr>
          <w:p>
            <w:pPr>
              <w:spacing w:after="0" w:before="0"/>
            </w:pPr>
            <w:r/>
            <w:r>
              <w:rPr>
                <w:rFonts w:ascii="Aptos" w:hAnsi="Aptos"/>
                <w:b w:val="0"/>
                <w:sz w:val="16"/>
              </w:rPr>
              <w:t>0</w:t>
            </w:r>
          </w:p>
        </w:tc>
      </w:tr>
      <w:tr>
        <w:tc>
          <w:tcPr>
            <w:tcW w:type="dxa" w:w="5040"/>
            <w:vAlign w:val="center"/>
          </w:tcPr>
          <w:p>
            <w:pPr>
              <w:spacing w:after="0" w:before="0"/>
            </w:pPr>
            <w:r/>
            <w:r>
              <w:rPr>
                <w:rFonts w:ascii="Aptos" w:hAnsi="Aptos"/>
                <w:b w:val="0"/>
                <w:sz w:val="16"/>
              </w:rPr>
              <w:t>data month misalignment</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minimum / maximum offset</w:t>
            </w:r>
          </w:p>
        </w:tc>
        <w:tc>
          <w:tcPr>
            <w:tcW w:type="dxa" w:w="5040"/>
            <w:vAlign w:val="center"/>
            <w:shd w:fill="F6F9FC"/>
          </w:tcPr>
          <w:p>
            <w:pPr>
              <w:spacing w:after="0" w:before="0"/>
            </w:pPr>
            <w:r/>
            <w:r>
              <w:rPr>
                <w:rFonts w:ascii="Aptos" w:hAnsi="Aptos"/>
                <w:b w:val="0"/>
                <w:sz w:val="16"/>
              </w:rPr>
              <w:t>0 / 12</w:t>
            </w:r>
          </w:p>
        </w:tc>
      </w:tr>
    </w:tbl>
    <w:p>
      <w:pPr>
        <w:spacing w:after="20"/>
      </w:pPr>
    </w:p>
    <w:p>
      <w:pPr>
        <w:pStyle w:val="Heading1"/>
      </w:pPr>
      <w:r>
        <w:t>8. MOP normalization and account-level transitions</w:t>
      </w:r>
    </w:p>
    <w:p>
      <w:pPr>
        <w:pStyle w:val="Heading2"/>
      </w:pPr>
      <w:r>
        <w:t>8.1 bu_frd.model_trades_transition_13m_2022_2025</w:t>
      </w:r>
    </w:p>
    <w:p>
      <w:r>
        <w:t>Adds normalized MOP state and month-over-month transition flags at the account level. The previous state is obtained using the prior month, which is why the SEED month is required.</w:t>
      </w:r>
    </w:p>
    <w:p>
      <w:pPr>
        <w:pStyle w:val="Formula"/>
        <w:jc w:val="center"/>
        <w:shd w:fill="EEF4F8"/>
      </w:pPr>
      <w:r>
        <w:rPr>
          <w:rFonts w:ascii="Cambria Math" w:hAnsi="Cambria Math"/>
          <w:sz w:val="21"/>
        </w:rPr>
        <w:t>Transition(i,t) compares normalized_MOP(i,t-1) → normalized_MOP(i,t)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315A7D"/>
          </w:tcPr>
          <w:p>
            <w:pPr>
              <w:spacing w:after="0" w:before="0"/>
            </w:pPr>
            <w:r/>
            <w:r>
              <w:rPr>
                <w:rFonts w:ascii="Aptos" w:hAnsi="Aptos"/>
                <w:b/>
                <w:color w:val="FFFFFF"/>
                <w:sz w:val="16"/>
              </w:rPr>
              <w:t>Derived concept</w:t>
            </w:r>
          </w:p>
        </w:tc>
        <w:tc>
          <w:tcPr>
            <w:tcW w:type="dxa" w:w="6912"/>
            <w:vAlign w:val="center"/>
            <w:shd w:fill="315A7D"/>
          </w:tcPr>
          <w:p>
            <w:pPr>
              <w:spacing w:after="0" w:before="0"/>
            </w:pPr>
            <w:r/>
            <w:r>
              <w:rPr>
                <w:rFonts w:ascii="Aptos" w:hAnsi="Aptos"/>
                <w:b/>
                <w:color w:val="FFFFFF"/>
                <w:sz w:val="16"/>
              </w:rPr>
              <w:t>Functional calculation</w:t>
            </w:r>
          </w:p>
        </w:tc>
      </w:tr>
      <w:tr>
        <w:tc>
          <w:tcPr>
            <w:tcW w:type="dxa" w:w="3168"/>
            <w:vAlign w:val="center"/>
          </w:tcPr>
          <w:p>
            <w:pPr>
              <w:spacing w:after="0" w:before="0"/>
            </w:pPr>
            <w:r/>
            <w:r>
              <w:rPr>
                <w:rFonts w:ascii="Aptos" w:hAnsi="Aptos"/>
                <w:b w:val="0"/>
                <w:sz w:val="16"/>
              </w:rPr>
              <w:t>deterioration_flag</w:t>
            </w:r>
          </w:p>
        </w:tc>
        <w:tc>
          <w:tcPr>
            <w:tcW w:type="dxa" w:w="6912"/>
            <w:vAlign w:val="center"/>
          </w:tcPr>
          <w:p>
            <w:pPr>
              <w:spacing w:after="0" w:before="0"/>
            </w:pPr>
            <w:r/>
            <w:r>
              <w:rPr>
                <w:rFonts w:ascii="Aptos" w:hAnsi="Aptos"/>
                <w:b w:val="0"/>
                <w:sz w:val="16"/>
              </w:rPr>
              <w:t>1 when the normalized account state worsens from t-1 to t; 0 otherwise.</w:t>
            </w:r>
          </w:p>
        </w:tc>
      </w:tr>
      <w:tr>
        <w:tc>
          <w:tcPr>
            <w:tcW w:type="dxa" w:w="3168"/>
            <w:vAlign w:val="center"/>
            <w:shd w:fill="F6F9FC"/>
          </w:tcPr>
          <w:p>
            <w:pPr>
              <w:spacing w:after="0" w:before="0"/>
            </w:pPr>
            <w:r/>
            <w:r>
              <w:rPr>
                <w:rFonts w:ascii="Aptos" w:hAnsi="Aptos"/>
                <w:b w:val="0"/>
                <w:sz w:val="16"/>
              </w:rPr>
              <w:t>improvement_flag</w:t>
            </w:r>
          </w:p>
        </w:tc>
        <w:tc>
          <w:tcPr>
            <w:tcW w:type="dxa" w:w="6912"/>
            <w:vAlign w:val="center"/>
            <w:shd w:fill="F6F9FC"/>
          </w:tcPr>
          <w:p>
            <w:pPr>
              <w:spacing w:after="0" w:before="0"/>
            </w:pPr>
            <w:r/>
            <w:r>
              <w:rPr>
                <w:rFonts w:ascii="Aptos" w:hAnsi="Aptos"/>
                <w:b w:val="0"/>
                <w:sz w:val="16"/>
              </w:rPr>
              <w:t>1 when the normalized account state improves from t-1 to t.</w:t>
            </w:r>
          </w:p>
        </w:tc>
      </w:tr>
      <w:tr>
        <w:tc>
          <w:tcPr>
            <w:tcW w:type="dxa" w:w="3168"/>
            <w:vAlign w:val="center"/>
          </w:tcPr>
          <w:p>
            <w:pPr>
              <w:spacing w:after="0" w:before="0"/>
            </w:pPr>
            <w:r/>
            <w:r>
              <w:rPr>
                <w:rFonts w:ascii="Aptos" w:hAnsi="Aptos"/>
                <w:b w:val="0"/>
                <w:sz w:val="16"/>
              </w:rPr>
              <w:t>level_change_flag</w:t>
            </w:r>
          </w:p>
        </w:tc>
        <w:tc>
          <w:tcPr>
            <w:tcW w:type="dxa" w:w="6912"/>
            <w:vAlign w:val="center"/>
          </w:tcPr>
          <w:p>
            <w:pPr>
              <w:spacing w:after="0" w:before="0"/>
            </w:pPr>
            <w:r/>
            <w:r>
              <w:rPr>
                <w:rFonts w:ascii="Aptos" w:hAnsi="Aptos"/>
                <w:b w:val="0"/>
                <w:sz w:val="16"/>
              </w:rPr>
              <w:t>1 when the normalized state changes level.</w:t>
            </w:r>
          </w:p>
        </w:tc>
      </w:tr>
      <w:tr>
        <w:tc>
          <w:tcPr>
            <w:tcW w:type="dxa" w:w="3168"/>
            <w:vAlign w:val="center"/>
            <w:shd w:fill="F6F9FC"/>
          </w:tcPr>
          <w:p>
            <w:pPr>
              <w:spacing w:after="0" w:before="0"/>
            </w:pPr>
            <w:r/>
            <w:r>
              <w:rPr>
                <w:rFonts w:ascii="Aptos" w:hAnsi="Aptos"/>
                <w:b w:val="0"/>
                <w:sz w:val="16"/>
              </w:rPr>
              <w:t>entered_adverse_flag</w:t>
            </w:r>
          </w:p>
        </w:tc>
        <w:tc>
          <w:tcPr>
            <w:tcW w:type="dxa" w:w="6912"/>
            <w:vAlign w:val="center"/>
            <w:shd w:fill="F6F9FC"/>
          </w:tcPr>
          <w:p>
            <w:pPr>
              <w:spacing w:after="0" w:before="0"/>
            </w:pPr>
            <w:r/>
            <w:r>
              <w:rPr>
                <w:rFonts w:ascii="Aptos" w:hAnsi="Aptos"/>
                <w:b w:val="0"/>
                <w:sz w:val="16"/>
              </w:rPr>
              <w:t>1 when the account moves from a non-adverse state into the project-defined adverse set.</w:t>
            </w:r>
          </w:p>
        </w:tc>
      </w:tr>
      <w:tr>
        <w:tc>
          <w:tcPr>
            <w:tcW w:type="dxa" w:w="3168"/>
            <w:vAlign w:val="center"/>
          </w:tcPr>
          <w:p>
            <w:pPr>
              <w:spacing w:after="0" w:before="0"/>
            </w:pPr>
            <w:r/>
            <w:r>
              <w:rPr>
                <w:rFonts w:ascii="Aptos" w:hAnsi="Aptos"/>
                <w:b w:val="0"/>
                <w:sz w:val="16"/>
              </w:rPr>
              <w:t>resolved_adverse_flag</w:t>
            </w:r>
          </w:p>
        </w:tc>
        <w:tc>
          <w:tcPr>
            <w:tcW w:type="dxa" w:w="6912"/>
            <w:vAlign w:val="center"/>
          </w:tcPr>
          <w:p>
            <w:pPr>
              <w:spacing w:after="0" w:before="0"/>
            </w:pPr>
            <w:r/>
            <w:r>
              <w:rPr>
                <w:rFonts w:ascii="Aptos" w:hAnsi="Aptos"/>
                <w:b w:val="0"/>
                <w:sz w:val="16"/>
              </w:rPr>
              <w:t>1 when an adverse state resolves into a non-adverse state.</w:t>
            </w:r>
          </w:p>
        </w:tc>
      </w:tr>
      <w:tr>
        <w:tc>
          <w:tcPr>
            <w:tcW w:type="dxa" w:w="3168"/>
            <w:vAlign w:val="center"/>
            <w:shd w:fill="F6F9FC"/>
          </w:tcPr>
          <w:p>
            <w:pPr>
              <w:spacing w:after="0" w:before="0"/>
            </w:pPr>
            <w:r/>
            <w:r>
              <w:rPr>
                <w:rFonts w:ascii="Aptos" w:hAnsi="Aptos"/>
                <w:b w:val="0"/>
                <w:sz w:val="16"/>
              </w:rPr>
              <w:t>became_unrated_flag</w:t>
            </w:r>
          </w:p>
        </w:tc>
        <w:tc>
          <w:tcPr>
            <w:tcW w:type="dxa" w:w="6912"/>
            <w:vAlign w:val="center"/>
            <w:shd w:fill="F6F9FC"/>
          </w:tcPr>
          <w:p>
            <w:pPr>
              <w:spacing w:after="0" w:before="0"/>
            </w:pPr>
            <w:r/>
            <w:r>
              <w:rPr>
                <w:rFonts w:ascii="Aptos" w:hAnsi="Aptos"/>
                <w:b w:val="0"/>
                <w:sz w:val="16"/>
              </w:rPr>
              <w:t>1 when the account enters UR.</w:t>
            </w:r>
          </w:p>
        </w:tc>
      </w:tr>
      <w:tr>
        <w:tc>
          <w:tcPr>
            <w:tcW w:type="dxa" w:w="3168"/>
            <w:vAlign w:val="center"/>
          </w:tcPr>
          <w:p>
            <w:pPr>
              <w:spacing w:after="0" w:before="0"/>
            </w:pPr>
            <w:r/>
            <w:r>
              <w:rPr>
                <w:rFonts w:ascii="Aptos" w:hAnsi="Aptos"/>
                <w:b w:val="0"/>
                <w:sz w:val="16"/>
              </w:rPr>
              <w:t>left_unrated_flag</w:t>
            </w:r>
          </w:p>
        </w:tc>
        <w:tc>
          <w:tcPr>
            <w:tcW w:type="dxa" w:w="6912"/>
            <w:vAlign w:val="center"/>
          </w:tcPr>
          <w:p>
            <w:pPr>
              <w:spacing w:after="0" w:before="0"/>
            </w:pPr>
            <w:r/>
            <w:r>
              <w:rPr>
                <w:rFonts w:ascii="Aptos" w:hAnsi="Aptos"/>
                <w:b w:val="0"/>
                <w:sz w:val="16"/>
              </w:rPr>
              <w:t>1 when the account leaves UR.</w:t>
            </w:r>
          </w:p>
        </w:tc>
      </w:tr>
      <w:tr>
        <w:tc>
          <w:tcPr>
            <w:tcW w:type="dxa" w:w="3168"/>
            <w:vAlign w:val="center"/>
            <w:shd w:fill="F6F9FC"/>
          </w:tcPr>
          <w:p>
            <w:pPr>
              <w:spacing w:after="0" w:before="0"/>
            </w:pPr>
            <w:r/>
            <w:r>
              <w:rPr>
                <w:rFonts w:ascii="Aptos" w:hAnsi="Aptos"/>
                <w:b w:val="0"/>
                <w:sz w:val="16"/>
              </w:rPr>
              <w:t>dpd_jump</w:t>
            </w:r>
          </w:p>
        </w:tc>
        <w:tc>
          <w:tcPr>
            <w:tcW w:type="dxa" w:w="6912"/>
            <w:vAlign w:val="center"/>
            <w:shd w:fill="F6F9FC"/>
          </w:tcPr>
          <w:p>
            <w:pPr>
              <w:spacing w:after="0" w:before="0"/>
            </w:pPr>
            <w:r/>
            <w:r>
              <w:rPr>
                <w:rFonts w:ascii="Aptos" w:hAnsi="Aptos"/>
                <w:b w:val="0"/>
                <w:sz w:val="16"/>
              </w:rPr>
              <w:t>Ordinal increase in delinquency severity; monthly party feature later uses the maximum jump.</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Adverse-state implementation: </w:t>
            </w:r>
            <w:r>
              <w:rPr>
                <w:sz w:val="17"/>
              </w:rPr>
              <w:t>The adverse set follows the project MOP normalization implemented in the transition table. This document does not invent additional code membership beyond the validated mapping in Appendix B.</w:t>
            </w:r>
          </w:p>
        </w:tc>
      </w:tr>
    </w:tbl>
    <w:p>
      <w:pPr>
        <w:spacing w:after="0"/>
      </w:pPr>
    </w:p>
    <w:p>
      <w:pPr>
        <w:pStyle w:val="Heading1"/>
      </w:pPr>
      <w:r>
        <w:t>9. Party-month behavioral aggregation</w:t>
      </w:r>
    </w:p>
    <w:p>
      <w:pPr>
        <w:pStyle w:val="Heading2"/>
      </w:pPr>
      <w:r>
        <w:t>9.1 bu_frd.model_party_behavior_monthly_2022_2025</w:t>
      </w:r>
    </w:p>
    <w:p>
      <w:r>
        <w:t>Aggregates account-level information to one row per party per feature month. The SEED is not retained as a feature month, so each party has exactly 12 rows: 9 PRIOR + 3 RECENT.</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315A7D"/>
          </w:tcPr>
          <w:p>
            <w:pPr>
              <w:spacing w:after="0" w:before="0"/>
            </w:pPr>
            <w:r/>
            <w:r>
              <w:rPr>
                <w:rFonts w:ascii="Aptos" w:hAnsi="Aptos"/>
                <w:b/>
                <w:color w:val="FFFFFF"/>
                <w:sz w:val="16"/>
              </w:rPr>
              <w:t>Validated QA</w:t>
            </w:r>
          </w:p>
        </w:tc>
        <w:tc>
          <w:tcPr>
            <w:tcW w:type="dxa" w:w="5040"/>
            <w:vAlign w:val="center"/>
            <w:shd w:fill="315A7D"/>
          </w:tcPr>
          <w:p>
            <w:pPr>
              <w:spacing w:after="0" w:before="0"/>
            </w:pPr>
            <w:r/>
            <w:r>
              <w:rPr>
                <w:rFonts w:ascii="Aptos" w:hAnsi="Aptos"/>
                <w:b/>
                <w:color w:val="FFFFFF"/>
                <w:sz w:val="16"/>
              </w:rPr>
              <w:t>Result</w:t>
            </w:r>
          </w:p>
        </w:tc>
      </w:tr>
      <w:tr>
        <w:tc>
          <w:tcPr>
            <w:tcW w:type="dxa" w:w="5040"/>
            <w:vAlign w:val="center"/>
          </w:tcPr>
          <w:p>
            <w:pPr>
              <w:spacing w:after="0" w:before="0"/>
            </w:pPr>
            <w:r/>
            <w:r>
              <w:rPr>
                <w:rFonts w:ascii="Aptos" w:hAnsi="Aptos"/>
                <w:b w:val="0"/>
                <w:sz w:val="16"/>
              </w:rPr>
              <w:t>Parties</w:t>
            </w:r>
          </w:p>
        </w:tc>
        <w:tc>
          <w:tcPr>
            <w:tcW w:type="dxa" w:w="5040"/>
            <w:vAlign w:val="center"/>
          </w:tcPr>
          <w:p>
            <w:pPr>
              <w:spacing w:after="0" w:before="0"/>
            </w:pPr>
            <w:r/>
            <w:r>
              <w:rPr>
                <w:rFonts w:ascii="Aptos" w:hAnsi="Aptos"/>
                <w:b w:val="0"/>
                <w:sz w:val="16"/>
              </w:rPr>
              <w:t>688,589</w:t>
            </w:r>
          </w:p>
        </w:tc>
      </w:tr>
      <w:tr>
        <w:tc>
          <w:tcPr>
            <w:tcW w:type="dxa" w:w="5040"/>
            <w:vAlign w:val="center"/>
            <w:shd w:fill="F6F9FC"/>
          </w:tcPr>
          <w:p>
            <w:pPr>
              <w:spacing w:after="0" w:before="0"/>
            </w:pPr>
            <w:r/>
            <w:r>
              <w:rPr>
                <w:rFonts w:ascii="Aptos" w:hAnsi="Aptos"/>
                <w:b w:val="0"/>
                <w:sz w:val="16"/>
              </w:rPr>
              <w:t>Party-month rows</w:t>
            </w:r>
          </w:p>
        </w:tc>
        <w:tc>
          <w:tcPr>
            <w:tcW w:type="dxa" w:w="5040"/>
            <w:vAlign w:val="center"/>
            <w:shd w:fill="F6F9FC"/>
          </w:tcPr>
          <w:p>
            <w:pPr>
              <w:spacing w:after="0" w:before="0"/>
            </w:pPr>
            <w:r/>
            <w:r>
              <w:rPr>
                <w:rFonts w:ascii="Aptos" w:hAnsi="Aptos"/>
                <w:b w:val="0"/>
                <w:sz w:val="16"/>
              </w:rPr>
              <w:t>8,263,068 = 688,589 × 12</w:t>
            </w:r>
          </w:p>
        </w:tc>
      </w:tr>
      <w:tr>
        <w:tc>
          <w:tcPr>
            <w:tcW w:type="dxa" w:w="5040"/>
            <w:vAlign w:val="center"/>
          </w:tcPr>
          <w:p>
            <w:pPr>
              <w:spacing w:after="0" w:before="0"/>
            </w:pPr>
            <w:r/>
            <w:r>
              <w:rPr>
                <w:rFonts w:ascii="Aptos" w:hAnsi="Aptos"/>
                <w:b w:val="0"/>
                <w:sz w:val="16"/>
              </w:rPr>
              <w:t>Parties not having 12 months</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Duplicate or missing month offsets</w:t>
            </w:r>
          </w:p>
        </w:tc>
        <w:tc>
          <w:tcPr>
            <w:tcW w:type="dxa" w:w="5040"/>
            <w:vAlign w:val="center"/>
            <w:shd w:fill="F6F9FC"/>
          </w:tcPr>
          <w:p>
            <w:pPr>
              <w:spacing w:after="0" w:before="0"/>
            </w:pPr>
            <w:r/>
            <w:r>
              <w:rPr>
                <w:rFonts w:ascii="Aptos" w:hAnsi="Aptos"/>
                <w:b w:val="0"/>
                <w:sz w:val="16"/>
              </w:rPr>
              <w:t>0</w:t>
            </w:r>
          </w:p>
        </w:tc>
      </w:tr>
      <w:tr>
        <w:tc>
          <w:tcPr>
            <w:tcW w:type="dxa" w:w="5040"/>
            <w:vAlign w:val="center"/>
          </w:tcPr>
          <w:p>
            <w:pPr>
              <w:spacing w:after="0" w:before="0"/>
            </w:pPr>
            <w:r/>
            <w:r>
              <w:rPr>
                <w:rFonts w:ascii="Aptos" w:hAnsi="Aptos"/>
                <w:b w:val="0"/>
                <w:sz w:val="16"/>
              </w:rPr>
              <w:t>Future feature months</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Misaligned feature months</w:t>
            </w:r>
          </w:p>
        </w:tc>
        <w:tc>
          <w:tcPr>
            <w:tcW w:type="dxa" w:w="5040"/>
            <w:vAlign w:val="center"/>
            <w:shd w:fill="F6F9FC"/>
          </w:tcPr>
          <w:p>
            <w:pPr>
              <w:spacing w:after="0" w:before="0"/>
            </w:pPr>
            <w:r/>
            <w:r>
              <w:rPr>
                <w:rFonts w:ascii="Aptos" w:hAnsi="Aptos"/>
                <w:b w:val="0"/>
                <w:sz w:val="16"/>
              </w:rPr>
              <w:t>0</w:t>
            </w:r>
          </w:p>
        </w:tc>
      </w:tr>
      <w:tr>
        <w:tc>
          <w:tcPr>
            <w:tcW w:type="dxa" w:w="5040"/>
            <w:vAlign w:val="center"/>
          </w:tcPr>
          <w:p>
            <w:pPr>
              <w:spacing w:after="0" w:before="0"/>
            </w:pPr>
            <w:r/>
            <w:r>
              <w:rPr>
                <w:rFonts w:ascii="Aptos" w:hAnsi="Aptos"/>
                <w:b w:val="0"/>
                <w:sz w:val="16"/>
              </w:rPr>
              <w:t>Invalid feature-window mapping</w:t>
            </w:r>
          </w:p>
        </w:tc>
        <w:tc>
          <w:tcPr>
            <w:tcW w:type="dxa" w:w="5040"/>
            <w:vAlign w:val="center"/>
          </w:tcPr>
          <w:p>
            <w:pPr>
              <w:spacing w:after="0" w:before="0"/>
            </w:pPr>
            <w:r/>
            <w:r>
              <w:rPr>
                <w:rFonts w:ascii="Aptos" w:hAnsi="Aptos"/>
                <w:b w:val="0"/>
                <w:sz w:val="16"/>
              </w:rPr>
              <w:t>0</w:t>
            </w:r>
          </w:p>
        </w:tc>
      </w:tr>
      <w:tr>
        <w:tc>
          <w:tcPr>
            <w:tcW w:type="dxa" w:w="5040"/>
            <w:vAlign w:val="center"/>
            <w:shd w:fill="F6F9FC"/>
          </w:tcPr>
          <w:p>
            <w:pPr>
              <w:spacing w:after="0" w:before="0"/>
            </w:pPr>
            <w:r/>
            <w:r>
              <w:rPr>
                <w:rFonts w:ascii="Aptos" w:hAnsi="Aptos"/>
                <w:b w:val="0"/>
                <w:sz w:val="16"/>
              </w:rPr>
              <w:t>Feature offsets</w:t>
            </w:r>
          </w:p>
        </w:tc>
        <w:tc>
          <w:tcPr>
            <w:tcW w:type="dxa" w:w="5040"/>
            <w:vAlign w:val="center"/>
            <w:shd w:fill="F6F9FC"/>
          </w:tcPr>
          <w:p>
            <w:pPr>
              <w:spacing w:after="0" w:before="0"/>
            </w:pPr>
            <w:r/>
            <w:r>
              <w:rPr>
                <w:rFonts w:ascii="Aptos" w:hAnsi="Aptos"/>
                <w:b w:val="0"/>
                <w:sz w:val="16"/>
              </w:rPr>
              <w:t>0 through 11</w:t>
            </w:r>
          </w:p>
        </w:tc>
      </w:tr>
    </w:tbl>
    <w:p>
      <w:pPr>
        <w:spacing w:after="20"/>
      </w:pPr>
    </w:p>
    <w:p>
      <w:pPr>
        <w:pStyle w:val="Heading2"/>
      </w:pPr>
      <w:r>
        <w:t>9.2 Monthly feature formulas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315A7D"/>
          </w:tcPr>
          <w:p>
            <w:pPr>
              <w:spacing w:after="0" w:before="0"/>
            </w:pPr>
            <w:r/>
            <w:r>
              <w:rPr>
                <w:rFonts w:ascii="Aptos" w:hAnsi="Aptos"/>
                <w:b/>
                <w:color w:val="FFFFFF"/>
                <w:sz w:val="15"/>
              </w:rPr>
              <w:t>Column</w:t>
            </w:r>
          </w:p>
        </w:tc>
        <w:tc>
          <w:tcPr>
            <w:tcW w:type="dxa" w:w="3600"/>
            <w:vAlign w:val="center"/>
            <w:shd w:fill="315A7D"/>
          </w:tcPr>
          <w:p>
            <w:pPr>
              <w:spacing w:after="0" w:before="0"/>
            </w:pPr>
            <w:r/>
            <w:r>
              <w:rPr>
                <w:rFonts w:ascii="Aptos" w:hAnsi="Aptos"/>
                <w:b/>
                <w:color w:val="FFFFFF"/>
                <w:sz w:val="15"/>
              </w:rPr>
              <w:t>Meaning</w:t>
            </w:r>
          </w:p>
        </w:tc>
        <w:tc>
          <w:tcPr>
            <w:tcW w:type="dxa" w:w="4464"/>
            <w:vAlign w:val="center"/>
            <w:shd w:fill="315A7D"/>
          </w:tcPr>
          <w:p>
            <w:pPr>
              <w:spacing w:after="0" w:before="0"/>
            </w:pPr>
            <w:r/>
            <w:r>
              <w:rPr>
                <w:rFonts w:ascii="Aptos" w:hAnsi="Aptos"/>
                <w:b/>
                <w:color w:val="FFFFFF"/>
                <w:sz w:val="15"/>
              </w:rPr>
              <w:t>Formula / functional definition</w:t>
            </w:r>
          </w:p>
        </w:tc>
      </w:tr>
      <w:tr>
        <w:tc>
          <w:tcPr>
            <w:tcW w:type="dxa" w:w="2448"/>
            <w:vAlign w:val="center"/>
          </w:tcPr>
          <w:p>
            <w:pPr>
              <w:spacing w:after="0" w:before="0"/>
            </w:pPr>
            <w:r/>
            <w:r>
              <w:rPr>
                <w:rFonts w:ascii="Aptos" w:hAnsi="Aptos"/>
                <w:b w:val="0"/>
                <w:sz w:val="15"/>
              </w:rPr>
              <w:t>reported_accounts</w:t>
            </w:r>
          </w:p>
        </w:tc>
        <w:tc>
          <w:tcPr>
            <w:tcW w:type="dxa" w:w="3600"/>
            <w:vAlign w:val="center"/>
          </w:tcPr>
          <w:p>
            <w:pPr>
              <w:spacing w:after="0" w:before="0"/>
            </w:pPr>
            <w:r/>
            <w:r>
              <w:rPr>
                <w:rFonts w:ascii="Aptos" w:hAnsi="Aptos"/>
                <w:b w:val="0"/>
                <w:sz w:val="15"/>
              </w:rPr>
              <w:t>Count of distinct reported accounts for the party-month.</w:t>
            </w:r>
          </w:p>
        </w:tc>
        <w:tc>
          <w:tcPr>
            <w:tcW w:type="dxa" w:w="4464"/>
            <w:vAlign w:val="center"/>
          </w:tcPr>
          <w:p>
            <w:pPr>
              <w:spacing w:after="0" w:before="0"/>
            </w:pPr>
            <w:r/>
            <w:r>
              <w:rPr>
                <w:rFonts w:ascii="Aptos" w:hAnsi="Aptos"/>
                <w:b w:val="0"/>
                <w:sz w:val="15"/>
              </w:rPr>
              <w:t>Σ 1{account reported in month}</w:t>
            </w:r>
          </w:p>
        </w:tc>
      </w:tr>
      <w:tr>
        <w:tc>
          <w:tcPr>
            <w:tcW w:type="dxa" w:w="2448"/>
            <w:vAlign w:val="center"/>
            <w:shd w:fill="F6F9FC"/>
          </w:tcPr>
          <w:p>
            <w:pPr>
              <w:spacing w:after="0" w:before="0"/>
            </w:pPr>
            <w:r/>
            <w:r>
              <w:rPr>
                <w:rFonts w:ascii="Aptos" w:hAnsi="Aptos"/>
                <w:b w:val="0"/>
                <w:sz w:val="15"/>
              </w:rPr>
              <w:t>active_accounts</w:t>
            </w:r>
          </w:p>
        </w:tc>
        <w:tc>
          <w:tcPr>
            <w:tcW w:type="dxa" w:w="3600"/>
            <w:vAlign w:val="center"/>
            <w:shd w:fill="F6F9FC"/>
          </w:tcPr>
          <w:p>
            <w:pPr>
              <w:spacing w:after="0" w:before="0"/>
            </w:pPr>
            <w:r/>
            <w:r>
              <w:rPr>
                <w:rFonts w:ascii="Aptos" w:hAnsi="Aptos"/>
                <w:b w:val="0"/>
                <w:sz w:val="15"/>
              </w:rPr>
              <w:t>Count of accounts satisfying the project active-account rule.</w:t>
            </w:r>
          </w:p>
        </w:tc>
        <w:tc>
          <w:tcPr>
            <w:tcW w:type="dxa" w:w="4464"/>
            <w:vAlign w:val="center"/>
            <w:shd w:fill="F6F9FC"/>
          </w:tcPr>
          <w:p>
            <w:pPr>
              <w:spacing w:after="0" w:before="0"/>
            </w:pPr>
            <w:r/>
            <w:r>
              <w:rPr>
                <w:rFonts w:ascii="Aptos" w:hAnsi="Aptos"/>
                <w:b w:val="0"/>
                <w:sz w:val="15"/>
              </w:rPr>
              <w:t>Σ Active(i,t)</w:t>
            </w:r>
          </w:p>
        </w:tc>
      </w:tr>
      <w:tr>
        <w:tc>
          <w:tcPr>
            <w:tcW w:type="dxa" w:w="2448"/>
            <w:vAlign w:val="center"/>
          </w:tcPr>
          <w:p>
            <w:pPr>
              <w:spacing w:after="0" w:before="0"/>
            </w:pPr>
            <w:r/>
            <w:r>
              <w:rPr>
                <w:rFonts w:ascii="Aptos" w:hAnsi="Aptos"/>
                <w:b w:val="0"/>
                <w:sz w:val="15"/>
              </w:rPr>
              <w:t>rated_active_accounts</w:t>
            </w:r>
          </w:p>
        </w:tc>
        <w:tc>
          <w:tcPr>
            <w:tcW w:type="dxa" w:w="3600"/>
            <w:vAlign w:val="center"/>
          </w:tcPr>
          <w:p>
            <w:pPr>
              <w:spacing w:after="0" w:before="0"/>
            </w:pPr>
            <w:r/>
            <w:r>
              <w:rPr>
                <w:rFonts w:ascii="Aptos" w:hAnsi="Aptos"/>
                <w:b w:val="0"/>
                <w:sz w:val="15"/>
              </w:rPr>
              <w:t>Active accounts with a usable/rated MOP state.</w:t>
            </w:r>
          </w:p>
        </w:tc>
        <w:tc>
          <w:tcPr>
            <w:tcW w:type="dxa" w:w="4464"/>
            <w:vAlign w:val="center"/>
          </w:tcPr>
          <w:p>
            <w:pPr>
              <w:spacing w:after="0" w:before="0"/>
            </w:pPr>
            <w:r/>
            <w:r>
              <w:rPr>
                <w:rFonts w:ascii="Aptos" w:hAnsi="Aptos"/>
                <w:b w:val="0"/>
                <w:sz w:val="15"/>
              </w:rPr>
              <w:t>Σ Active(i,t) × Rated(i,t)</w:t>
            </w:r>
          </w:p>
        </w:tc>
      </w:tr>
      <w:tr>
        <w:tc>
          <w:tcPr>
            <w:tcW w:type="dxa" w:w="2448"/>
            <w:vAlign w:val="center"/>
            <w:shd w:fill="F6F9FC"/>
          </w:tcPr>
          <w:p>
            <w:pPr>
              <w:spacing w:after="0" w:before="0"/>
            </w:pPr>
            <w:r/>
            <w:r>
              <w:rPr>
                <w:rFonts w:ascii="Aptos" w:hAnsi="Aptos"/>
                <w:b w:val="0"/>
                <w:sz w:val="15"/>
              </w:rPr>
              <w:t>avg_balance_active</w:t>
            </w:r>
          </w:p>
        </w:tc>
        <w:tc>
          <w:tcPr>
            <w:tcW w:type="dxa" w:w="3600"/>
            <w:vAlign w:val="center"/>
            <w:shd w:fill="F6F9FC"/>
          </w:tcPr>
          <w:p>
            <w:pPr>
              <w:spacing w:after="0" w:before="0"/>
            </w:pPr>
            <w:r/>
            <w:r>
              <w:rPr>
                <w:rFonts w:ascii="Aptos" w:hAnsi="Aptos"/>
                <w:b w:val="0"/>
                <w:sz w:val="15"/>
              </w:rPr>
              <w:t>Mean current balance across active accounts.</w:t>
            </w:r>
          </w:p>
        </w:tc>
        <w:tc>
          <w:tcPr>
            <w:tcW w:type="dxa" w:w="4464"/>
            <w:vAlign w:val="center"/>
            <w:shd w:fill="F6F9FC"/>
          </w:tcPr>
          <w:p>
            <w:pPr>
              <w:spacing w:after="0" w:before="0"/>
            </w:pPr>
            <w:r/>
            <w:r>
              <w:rPr>
                <w:rFonts w:ascii="Aptos" w:hAnsi="Aptos"/>
                <w:b w:val="0"/>
                <w:sz w:val="15"/>
              </w:rPr>
              <w:t>Σ curr_bal_amt / N_active, for active-account universe</w:t>
            </w:r>
          </w:p>
        </w:tc>
      </w:tr>
      <w:tr>
        <w:tc>
          <w:tcPr>
            <w:tcW w:type="dxa" w:w="2448"/>
            <w:vAlign w:val="center"/>
          </w:tcPr>
          <w:p>
            <w:pPr>
              <w:spacing w:after="0" w:before="0"/>
            </w:pPr>
            <w:r/>
            <w:r>
              <w:rPr>
                <w:rFonts w:ascii="Aptos" w:hAnsi="Aptos"/>
                <w:b w:val="0"/>
                <w:sz w:val="15"/>
              </w:rPr>
              <w:t>total_balance_active</w:t>
            </w:r>
          </w:p>
        </w:tc>
        <w:tc>
          <w:tcPr>
            <w:tcW w:type="dxa" w:w="3600"/>
            <w:vAlign w:val="center"/>
          </w:tcPr>
          <w:p>
            <w:pPr>
              <w:spacing w:after="0" w:before="0"/>
            </w:pPr>
            <w:r/>
            <w:r>
              <w:rPr>
                <w:rFonts w:ascii="Aptos" w:hAnsi="Aptos"/>
                <w:b w:val="0"/>
                <w:sz w:val="15"/>
              </w:rPr>
              <w:t>Total current balance across active accounts.</w:t>
            </w:r>
          </w:p>
        </w:tc>
        <w:tc>
          <w:tcPr>
            <w:tcW w:type="dxa" w:w="4464"/>
            <w:vAlign w:val="center"/>
          </w:tcPr>
          <w:p>
            <w:pPr>
              <w:spacing w:after="0" w:before="0"/>
            </w:pPr>
            <w:r/>
            <w:r>
              <w:rPr>
                <w:rFonts w:ascii="Aptos" w:hAnsi="Aptos"/>
                <w:b w:val="0"/>
                <w:sz w:val="15"/>
              </w:rPr>
              <w:t>Σ curr_bal_amt over active accounts</w:t>
            </w:r>
          </w:p>
        </w:tc>
      </w:tr>
      <w:tr>
        <w:tc>
          <w:tcPr>
            <w:tcW w:type="dxa" w:w="2448"/>
            <w:vAlign w:val="center"/>
            <w:shd w:fill="F6F9FC"/>
          </w:tcPr>
          <w:p>
            <w:pPr>
              <w:spacing w:after="0" w:before="0"/>
            </w:pPr>
            <w:r/>
            <w:r>
              <w:rPr>
                <w:rFonts w:ascii="Aptos" w:hAnsi="Aptos"/>
                <w:b w:val="0"/>
                <w:sz w:val="15"/>
              </w:rPr>
              <w:t>avg_past_due_active</w:t>
            </w:r>
          </w:p>
        </w:tc>
        <w:tc>
          <w:tcPr>
            <w:tcW w:type="dxa" w:w="3600"/>
            <w:vAlign w:val="center"/>
            <w:shd w:fill="F6F9FC"/>
          </w:tcPr>
          <w:p>
            <w:pPr>
              <w:spacing w:after="0" w:before="0"/>
            </w:pPr>
            <w:r/>
            <w:r>
              <w:rPr>
                <w:rFonts w:ascii="Aptos" w:hAnsi="Aptos"/>
                <w:b w:val="0"/>
                <w:sz w:val="15"/>
              </w:rPr>
              <w:t>Mean past-due amount across active accounts.</w:t>
            </w:r>
          </w:p>
        </w:tc>
        <w:tc>
          <w:tcPr>
            <w:tcW w:type="dxa" w:w="4464"/>
            <w:vAlign w:val="center"/>
            <w:shd w:fill="F6F9FC"/>
          </w:tcPr>
          <w:p>
            <w:pPr>
              <w:spacing w:after="0" w:before="0"/>
            </w:pPr>
            <w:r/>
            <w:r>
              <w:rPr>
                <w:rFonts w:ascii="Aptos" w:hAnsi="Aptos"/>
                <w:b w:val="0"/>
                <w:sz w:val="15"/>
              </w:rPr>
              <w:t>Σ past_due_amt / N_active</w:t>
            </w:r>
          </w:p>
        </w:tc>
      </w:tr>
      <w:tr>
        <w:tc>
          <w:tcPr>
            <w:tcW w:type="dxa" w:w="2448"/>
            <w:vAlign w:val="center"/>
          </w:tcPr>
          <w:p>
            <w:pPr>
              <w:spacing w:after="0" w:before="0"/>
            </w:pPr>
            <w:r/>
            <w:r>
              <w:rPr>
                <w:rFonts w:ascii="Aptos" w:hAnsi="Aptos"/>
                <w:b w:val="0"/>
                <w:sz w:val="15"/>
              </w:rPr>
              <w:t>total_past_due_active</w:t>
            </w:r>
          </w:p>
        </w:tc>
        <w:tc>
          <w:tcPr>
            <w:tcW w:type="dxa" w:w="3600"/>
            <w:vAlign w:val="center"/>
          </w:tcPr>
          <w:p>
            <w:pPr>
              <w:spacing w:after="0" w:before="0"/>
            </w:pPr>
            <w:r/>
            <w:r>
              <w:rPr>
                <w:rFonts w:ascii="Aptos" w:hAnsi="Aptos"/>
                <w:b w:val="0"/>
                <w:sz w:val="15"/>
              </w:rPr>
              <w:t>Total past-due amount across active accounts.</w:t>
            </w:r>
          </w:p>
        </w:tc>
        <w:tc>
          <w:tcPr>
            <w:tcW w:type="dxa" w:w="4464"/>
            <w:vAlign w:val="center"/>
          </w:tcPr>
          <w:p>
            <w:pPr>
              <w:spacing w:after="0" w:before="0"/>
            </w:pPr>
            <w:r/>
            <w:r>
              <w:rPr>
                <w:rFonts w:ascii="Aptos" w:hAnsi="Aptos"/>
                <w:b w:val="0"/>
                <w:sz w:val="15"/>
              </w:rPr>
              <w:t>Σ past_due_amt over active accounts</w:t>
            </w:r>
          </w:p>
        </w:tc>
      </w:tr>
      <w:tr>
        <w:tc>
          <w:tcPr>
            <w:tcW w:type="dxa" w:w="2448"/>
            <w:vAlign w:val="center"/>
            <w:shd w:fill="F6F9FC"/>
          </w:tcPr>
          <w:p>
            <w:pPr>
              <w:spacing w:after="0" w:before="0"/>
            </w:pPr>
            <w:r/>
            <w:r>
              <w:rPr>
                <w:rFonts w:ascii="Aptos" w:hAnsi="Aptos"/>
                <w:b w:val="0"/>
                <w:sz w:val="15"/>
              </w:rPr>
              <w:t>delinquent_active_accounts</w:t>
            </w:r>
          </w:p>
        </w:tc>
        <w:tc>
          <w:tcPr>
            <w:tcW w:type="dxa" w:w="3600"/>
            <w:vAlign w:val="center"/>
            <w:shd w:fill="F6F9FC"/>
          </w:tcPr>
          <w:p>
            <w:pPr>
              <w:spacing w:after="0" w:before="0"/>
            </w:pPr>
            <w:r/>
            <w:r>
              <w:rPr>
                <w:rFonts w:ascii="Aptos" w:hAnsi="Aptos"/>
                <w:b w:val="0"/>
                <w:sz w:val="15"/>
              </w:rPr>
              <w:t>Count of active accounts satisfying project delinquency condition.</w:t>
            </w:r>
          </w:p>
        </w:tc>
        <w:tc>
          <w:tcPr>
            <w:tcW w:type="dxa" w:w="4464"/>
            <w:vAlign w:val="center"/>
            <w:shd w:fill="F6F9FC"/>
          </w:tcPr>
          <w:p>
            <w:pPr>
              <w:spacing w:after="0" w:before="0"/>
            </w:pPr>
            <w:r/>
            <w:r>
              <w:rPr>
                <w:rFonts w:ascii="Aptos" w:hAnsi="Aptos"/>
                <w:b w:val="0"/>
                <w:sz w:val="15"/>
              </w:rPr>
              <w:t>Σ Delinquent(i,t)</w:t>
            </w:r>
          </w:p>
        </w:tc>
      </w:tr>
      <w:tr>
        <w:tc>
          <w:tcPr>
            <w:tcW w:type="dxa" w:w="2448"/>
            <w:vAlign w:val="center"/>
          </w:tcPr>
          <w:p>
            <w:pPr>
              <w:spacing w:after="0" w:before="0"/>
            </w:pPr>
            <w:r/>
            <w:r>
              <w:rPr>
                <w:rFonts w:ascii="Aptos" w:hAnsi="Aptos"/>
                <w:b w:val="0"/>
                <w:sz w:val="15"/>
              </w:rPr>
              <w:t>delinquent_account_share</w:t>
            </w:r>
          </w:p>
        </w:tc>
        <w:tc>
          <w:tcPr>
            <w:tcW w:type="dxa" w:w="3600"/>
            <w:vAlign w:val="center"/>
          </w:tcPr>
          <w:p>
            <w:pPr>
              <w:spacing w:after="0" w:before="0"/>
            </w:pPr>
            <w:r/>
            <w:r>
              <w:rPr>
                <w:rFonts w:ascii="Aptos" w:hAnsi="Aptos"/>
                <w:b w:val="0"/>
                <w:sz w:val="15"/>
              </w:rPr>
              <w:t>Share of rated active accounts that are delinquent.</w:t>
            </w:r>
          </w:p>
        </w:tc>
        <w:tc>
          <w:tcPr>
            <w:tcW w:type="dxa" w:w="4464"/>
            <w:vAlign w:val="center"/>
          </w:tcPr>
          <w:p>
            <w:pPr>
              <w:spacing w:after="0" w:before="0"/>
            </w:pPr>
            <w:r/>
            <w:r>
              <w:rPr>
                <w:rFonts w:ascii="Aptos" w:hAnsi="Aptos"/>
                <w:b w:val="0"/>
                <w:sz w:val="15"/>
              </w:rPr>
              <w:t>delinquent_active_accounts / rated_active_accounts</w:t>
            </w:r>
          </w:p>
        </w:tc>
      </w:tr>
      <w:tr>
        <w:tc>
          <w:tcPr>
            <w:tcW w:type="dxa" w:w="2448"/>
            <w:vAlign w:val="center"/>
            <w:shd w:fill="F6F9FC"/>
          </w:tcPr>
          <w:p>
            <w:pPr>
              <w:spacing w:after="0" w:before="0"/>
            </w:pPr>
            <w:r/>
            <w:r>
              <w:rPr>
                <w:rFonts w:ascii="Aptos" w:hAnsi="Aptos"/>
                <w:b w:val="0"/>
                <w:sz w:val="15"/>
              </w:rPr>
              <w:t>avg_utilization</w:t>
            </w:r>
          </w:p>
        </w:tc>
        <w:tc>
          <w:tcPr>
            <w:tcW w:type="dxa" w:w="3600"/>
            <w:vAlign w:val="center"/>
            <w:shd w:fill="F6F9FC"/>
          </w:tcPr>
          <w:p>
            <w:pPr>
              <w:spacing w:after="0" w:before="0"/>
            </w:pPr>
            <w:r/>
            <w:r>
              <w:rPr>
                <w:rFonts w:ascii="Aptos" w:hAnsi="Aptos"/>
                <w:b w:val="0"/>
                <w:sz w:val="15"/>
              </w:rPr>
              <w:t>Average account-level utilization across eligible accounts.</w:t>
            </w:r>
          </w:p>
        </w:tc>
        <w:tc>
          <w:tcPr>
            <w:tcW w:type="dxa" w:w="4464"/>
            <w:vAlign w:val="center"/>
            <w:shd w:fill="F6F9FC"/>
          </w:tcPr>
          <w:p>
            <w:pPr>
              <w:spacing w:after="0" w:before="0"/>
            </w:pPr>
            <w:r/>
            <w:r>
              <w:rPr>
                <w:rFonts w:ascii="Aptos" w:hAnsi="Aptos"/>
                <w:b w:val="0"/>
                <w:sz w:val="15"/>
              </w:rPr>
              <w:t>mean(curr_bal_amt / cr_lmt_amt) over utilization-eligible accounts</w:t>
            </w:r>
          </w:p>
        </w:tc>
      </w:tr>
      <w:tr>
        <w:tc>
          <w:tcPr>
            <w:tcW w:type="dxa" w:w="2448"/>
            <w:vAlign w:val="center"/>
          </w:tcPr>
          <w:p>
            <w:pPr>
              <w:spacing w:after="0" w:before="0"/>
            </w:pPr>
            <w:r/>
            <w:r>
              <w:rPr>
                <w:rFonts w:ascii="Aptos" w:hAnsi="Aptos"/>
                <w:b w:val="0"/>
                <w:sz w:val="15"/>
              </w:rPr>
              <w:t>deterioration_count</w:t>
            </w:r>
          </w:p>
        </w:tc>
        <w:tc>
          <w:tcPr>
            <w:tcW w:type="dxa" w:w="3600"/>
            <w:vAlign w:val="center"/>
          </w:tcPr>
          <w:p>
            <w:pPr>
              <w:spacing w:after="0" w:before="0"/>
            </w:pPr>
            <w:r/>
            <w:r>
              <w:rPr>
                <w:rFonts w:ascii="Aptos" w:hAnsi="Aptos"/>
                <w:b w:val="0"/>
                <w:sz w:val="15"/>
              </w:rPr>
              <w:t>Number of account-level deterioration transitions in the month.</w:t>
            </w:r>
          </w:p>
        </w:tc>
        <w:tc>
          <w:tcPr>
            <w:tcW w:type="dxa" w:w="4464"/>
            <w:vAlign w:val="center"/>
          </w:tcPr>
          <w:p>
            <w:pPr>
              <w:spacing w:after="0" w:before="0"/>
            </w:pPr>
            <w:r/>
            <w:r>
              <w:rPr>
                <w:rFonts w:ascii="Aptos" w:hAnsi="Aptos"/>
                <w:b w:val="0"/>
                <w:sz w:val="15"/>
              </w:rPr>
              <w:t>Σ deterioration_flag(i,t)</w:t>
            </w:r>
          </w:p>
        </w:tc>
      </w:tr>
      <w:tr>
        <w:tc>
          <w:tcPr>
            <w:tcW w:type="dxa" w:w="2448"/>
            <w:vAlign w:val="center"/>
            <w:shd w:fill="F6F9FC"/>
          </w:tcPr>
          <w:p>
            <w:pPr>
              <w:spacing w:after="0" w:before="0"/>
            </w:pPr>
            <w:r/>
            <w:r>
              <w:rPr>
                <w:rFonts w:ascii="Aptos" w:hAnsi="Aptos"/>
                <w:b w:val="0"/>
                <w:sz w:val="15"/>
              </w:rPr>
              <w:t>improvement_count</w:t>
            </w:r>
          </w:p>
        </w:tc>
        <w:tc>
          <w:tcPr>
            <w:tcW w:type="dxa" w:w="3600"/>
            <w:vAlign w:val="center"/>
            <w:shd w:fill="F6F9FC"/>
          </w:tcPr>
          <w:p>
            <w:pPr>
              <w:spacing w:after="0" w:before="0"/>
            </w:pPr>
            <w:r/>
            <w:r>
              <w:rPr>
                <w:rFonts w:ascii="Aptos" w:hAnsi="Aptos"/>
                <w:b w:val="0"/>
                <w:sz w:val="15"/>
              </w:rPr>
              <w:t>Number of account-level improvement transitions.</w:t>
            </w:r>
          </w:p>
        </w:tc>
        <w:tc>
          <w:tcPr>
            <w:tcW w:type="dxa" w:w="4464"/>
            <w:vAlign w:val="center"/>
            <w:shd w:fill="F6F9FC"/>
          </w:tcPr>
          <w:p>
            <w:pPr>
              <w:spacing w:after="0" w:before="0"/>
            </w:pPr>
            <w:r/>
            <w:r>
              <w:rPr>
                <w:rFonts w:ascii="Aptos" w:hAnsi="Aptos"/>
                <w:b w:val="0"/>
                <w:sz w:val="15"/>
              </w:rPr>
              <w:t>Σ improvement_flag(i,t)</w:t>
            </w:r>
          </w:p>
        </w:tc>
      </w:tr>
      <w:tr>
        <w:tc>
          <w:tcPr>
            <w:tcW w:type="dxa" w:w="2448"/>
            <w:vAlign w:val="center"/>
          </w:tcPr>
          <w:p>
            <w:pPr>
              <w:spacing w:after="0" w:before="0"/>
            </w:pPr>
            <w:r/>
            <w:r>
              <w:rPr>
                <w:rFonts w:ascii="Aptos" w:hAnsi="Aptos"/>
                <w:b w:val="0"/>
                <w:sz w:val="15"/>
              </w:rPr>
              <w:t>adverse_entry_count</w:t>
            </w:r>
          </w:p>
        </w:tc>
        <w:tc>
          <w:tcPr>
            <w:tcW w:type="dxa" w:w="3600"/>
            <w:vAlign w:val="center"/>
          </w:tcPr>
          <w:p>
            <w:pPr>
              <w:spacing w:after="0" w:before="0"/>
            </w:pPr>
            <w:r/>
            <w:r>
              <w:rPr>
                <w:rFonts w:ascii="Aptos" w:hAnsi="Aptos"/>
                <w:b w:val="0"/>
                <w:sz w:val="15"/>
              </w:rPr>
              <w:t>Count of entries into adverse MOP state.</w:t>
            </w:r>
          </w:p>
        </w:tc>
        <w:tc>
          <w:tcPr>
            <w:tcW w:type="dxa" w:w="4464"/>
            <w:vAlign w:val="center"/>
          </w:tcPr>
          <w:p>
            <w:pPr>
              <w:spacing w:after="0" w:before="0"/>
            </w:pPr>
            <w:r/>
            <w:r>
              <w:rPr>
                <w:rFonts w:ascii="Aptos" w:hAnsi="Aptos"/>
                <w:b w:val="0"/>
                <w:sz w:val="15"/>
              </w:rPr>
              <w:t>Σ entered_adverse_flag(i,t)</w:t>
            </w:r>
          </w:p>
        </w:tc>
      </w:tr>
      <w:tr>
        <w:tc>
          <w:tcPr>
            <w:tcW w:type="dxa" w:w="2448"/>
            <w:vAlign w:val="center"/>
            <w:shd w:fill="F6F9FC"/>
          </w:tcPr>
          <w:p>
            <w:pPr>
              <w:spacing w:after="0" w:before="0"/>
            </w:pPr>
            <w:r/>
            <w:r>
              <w:rPr>
                <w:rFonts w:ascii="Aptos" w:hAnsi="Aptos"/>
                <w:b w:val="0"/>
                <w:sz w:val="15"/>
              </w:rPr>
              <w:t>adverse_resolved_count</w:t>
            </w:r>
          </w:p>
        </w:tc>
        <w:tc>
          <w:tcPr>
            <w:tcW w:type="dxa" w:w="3600"/>
            <w:vAlign w:val="center"/>
            <w:shd w:fill="F6F9FC"/>
          </w:tcPr>
          <w:p>
            <w:pPr>
              <w:spacing w:after="0" w:before="0"/>
            </w:pPr>
            <w:r/>
            <w:r>
              <w:rPr>
                <w:rFonts w:ascii="Aptos" w:hAnsi="Aptos"/>
                <w:b w:val="0"/>
                <w:sz w:val="15"/>
              </w:rPr>
              <w:t>Count of adverse-state resolutions.</w:t>
            </w:r>
          </w:p>
        </w:tc>
        <w:tc>
          <w:tcPr>
            <w:tcW w:type="dxa" w:w="4464"/>
            <w:vAlign w:val="center"/>
            <w:shd w:fill="F6F9FC"/>
          </w:tcPr>
          <w:p>
            <w:pPr>
              <w:spacing w:after="0" w:before="0"/>
            </w:pPr>
            <w:r/>
            <w:r>
              <w:rPr>
                <w:rFonts w:ascii="Aptos" w:hAnsi="Aptos"/>
                <w:b w:val="0"/>
                <w:sz w:val="15"/>
              </w:rPr>
              <w:t>Σ resolved_adverse_flag(i,t)</w:t>
            </w:r>
          </w:p>
        </w:tc>
      </w:tr>
      <w:tr>
        <w:tc>
          <w:tcPr>
            <w:tcW w:type="dxa" w:w="2448"/>
            <w:vAlign w:val="center"/>
          </w:tcPr>
          <w:p>
            <w:pPr>
              <w:spacing w:after="0" w:before="0"/>
            </w:pPr>
            <w:r/>
            <w:r>
              <w:rPr>
                <w:rFonts w:ascii="Aptos" w:hAnsi="Aptos"/>
                <w:b w:val="0"/>
                <w:sz w:val="15"/>
              </w:rPr>
              <w:t>became_unrated_count</w:t>
            </w:r>
          </w:p>
        </w:tc>
        <w:tc>
          <w:tcPr>
            <w:tcW w:type="dxa" w:w="3600"/>
            <w:vAlign w:val="center"/>
          </w:tcPr>
          <w:p>
            <w:pPr>
              <w:spacing w:after="0" w:before="0"/>
            </w:pPr>
            <w:r/>
            <w:r>
              <w:rPr>
                <w:rFonts w:ascii="Aptos" w:hAnsi="Aptos"/>
                <w:b w:val="0"/>
                <w:sz w:val="15"/>
              </w:rPr>
              <w:t>Accounts entering UR.</w:t>
            </w:r>
          </w:p>
        </w:tc>
        <w:tc>
          <w:tcPr>
            <w:tcW w:type="dxa" w:w="4464"/>
            <w:vAlign w:val="center"/>
          </w:tcPr>
          <w:p>
            <w:pPr>
              <w:spacing w:after="0" w:before="0"/>
            </w:pPr>
            <w:r/>
            <w:r>
              <w:rPr>
                <w:rFonts w:ascii="Aptos" w:hAnsi="Aptos"/>
                <w:b w:val="0"/>
                <w:sz w:val="15"/>
              </w:rPr>
              <w:t>Σ became_unrated_flag(i,t)</w:t>
            </w:r>
          </w:p>
        </w:tc>
      </w:tr>
      <w:tr>
        <w:tc>
          <w:tcPr>
            <w:tcW w:type="dxa" w:w="2448"/>
            <w:vAlign w:val="center"/>
            <w:shd w:fill="F6F9FC"/>
          </w:tcPr>
          <w:p>
            <w:pPr>
              <w:spacing w:after="0" w:before="0"/>
            </w:pPr>
            <w:r/>
            <w:r>
              <w:rPr>
                <w:rFonts w:ascii="Aptos" w:hAnsi="Aptos"/>
                <w:b w:val="0"/>
                <w:sz w:val="15"/>
              </w:rPr>
              <w:t>left_unrated_count</w:t>
            </w:r>
          </w:p>
        </w:tc>
        <w:tc>
          <w:tcPr>
            <w:tcW w:type="dxa" w:w="3600"/>
            <w:vAlign w:val="center"/>
            <w:shd w:fill="F6F9FC"/>
          </w:tcPr>
          <w:p>
            <w:pPr>
              <w:spacing w:after="0" w:before="0"/>
            </w:pPr>
            <w:r/>
            <w:r>
              <w:rPr>
                <w:rFonts w:ascii="Aptos" w:hAnsi="Aptos"/>
                <w:b w:val="0"/>
                <w:sz w:val="15"/>
              </w:rPr>
              <w:t>Accounts leaving UR.</w:t>
            </w:r>
          </w:p>
        </w:tc>
        <w:tc>
          <w:tcPr>
            <w:tcW w:type="dxa" w:w="4464"/>
            <w:vAlign w:val="center"/>
            <w:shd w:fill="F6F9FC"/>
          </w:tcPr>
          <w:p>
            <w:pPr>
              <w:spacing w:after="0" w:before="0"/>
            </w:pPr>
            <w:r/>
            <w:r>
              <w:rPr>
                <w:rFonts w:ascii="Aptos" w:hAnsi="Aptos"/>
                <w:b w:val="0"/>
                <w:sz w:val="15"/>
              </w:rPr>
              <w:t>Σ left_unrated_flag(i,t)</w:t>
            </w:r>
          </w:p>
        </w:tc>
      </w:tr>
      <w:tr>
        <w:tc>
          <w:tcPr>
            <w:tcW w:type="dxa" w:w="2448"/>
            <w:vAlign w:val="center"/>
          </w:tcPr>
          <w:p>
            <w:pPr>
              <w:spacing w:after="0" w:before="0"/>
            </w:pPr>
            <w:r/>
            <w:r>
              <w:rPr>
                <w:rFonts w:ascii="Aptos" w:hAnsi="Aptos"/>
                <w:b w:val="0"/>
                <w:sz w:val="15"/>
              </w:rPr>
              <w:t>max_dpd_jump</w:t>
            </w:r>
          </w:p>
        </w:tc>
        <w:tc>
          <w:tcPr>
            <w:tcW w:type="dxa" w:w="3600"/>
            <w:vAlign w:val="center"/>
          </w:tcPr>
          <w:p>
            <w:pPr>
              <w:spacing w:after="0" w:before="0"/>
            </w:pPr>
            <w:r/>
            <w:r>
              <w:rPr>
                <w:rFonts w:ascii="Aptos" w:hAnsi="Aptos"/>
                <w:b w:val="0"/>
                <w:sz w:val="15"/>
              </w:rPr>
              <w:t>Maximum account-level delinquency jump in the month.</w:t>
            </w:r>
          </w:p>
        </w:tc>
        <w:tc>
          <w:tcPr>
            <w:tcW w:type="dxa" w:w="4464"/>
            <w:vAlign w:val="center"/>
          </w:tcPr>
          <w:p>
            <w:pPr>
              <w:spacing w:after="0" w:before="0"/>
            </w:pPr>
            <w:r/>
            <w:r>
              <w:rPr>
                <w:rFonts w:ascii="Aptos" w:hAnsi="Aptos"/>
                <w:b w:val="0"/>
                <w:sz w:val="15"/>
              </w:rPr>
              <w:t>max(dpd_jump(i,t))</w:t>
            </w:r>
          </w:p>
        </w:tc>
      </w:tr>
    </w:tbl>
    <w:p>
      <w:pPr>
        <w:spacing w:after="20"/>
      </w:pPr>
    </w:p>
    <w:p>
      <w:pPr>
        <w:pStyle w:val="Heading1"/>
      </w:pPr>
      <w:r>
        <w:t>10. Monthly utilization layer</w:t>
      </w:r>
    </w:p>
    <w:p>
      <w:pPr>
        <w:pStyle w:val="Heading2"/>
      </w:pPr>
      <w:r>
        <w:t>10.1 bu_frd.model_party_utilization_monthly_2022_2025</w:t>
      </w:r>
    </w:p>
    <w:p>
      <w:r>
        <w:t>Dedicated monthly utilization table created to ensure average and weighted utilization are calculated on the same eligible account universe.</w:t>
      </w:r>
    </w:p>
    <w:p>
      <w:pPr>
        <w:pStyle w:val="Formula"/>
        <w:jc w:val="center"/>
        <w:shd w:fill="EEF4F8"/>
      </w:pPr>
      <w:r>
        <w:rPr>
          <w:rFonts w:ascii="Cambria Math" w:hAnsi="Cambria Math"/>
          <w:sz w:val="21"/>
        </w:rPr>
        <w:t>Account utilization(i,t) = curr_bal_amt(i,t) / cr_lmt_amt(i,t), for eligible active C/R accounts with cr_lmt_amt &gt; 0</w:t>
      </w:r>
    </w:p>
    <w:p>
      <w:pPr>
        <w:pStyle w:val="Formula"/>
        <w:jc w:val="center"/>
        <w:shd w:fill="EEF4F8"/>
      </w:pPr>
      <w:r>
        <w:rPr>
          <w:rFonts w:ascii="Cambria Math" w:hAnsi="Cambria Math"/>
          <w:sz w:val="21"/>
        </w:rPr>
        <w:t>Average utilization(t) = mean_i [ curr_bal_amt(i,t) / cr_lmt_amt(i,t) ]</w:t>
      </w:r>
    </w:p>
    <w:p>
      <w:pPr>
        <w:pStyle w:val="Formula"/>
        <w:jc w:val="center"/>
        <w:shd w:fill="EEF4F8"/>
      </w:pPr>
      <w:r>
        <w:rPr>
          <w:rFonts w:ascii="Cambria Math" w:hAnsi="Cambria Math"/>
          <w:sz w:val="21"/>
        </w:rPr>
        <w:t>Weighted utilization(t) = Σ_i curr_bal_amt(i,t) / Σ_i cr_lmt_amt(i,t)</w:t>
      </w:r>
    </w:p>
    <w:p>
      <w:r>
        <w:t>The project explicitly corrected weighted utilization so that numerator and denominator use the same eligible universe. Average and weighted utilization availability were then reconciled with zero mismatches in the final monthly construction.</w:t>
      </w:r>
    </w:p>
    <w:p>
      <w:pPr>
        <w:pStyle w:val="Heading1"/>
      </w:pPr>
      <w:r>
        <w:t>11. PRIOR/RECENT behavioral windows</w:t>
      </w:r>
    </w:p>
    <w:p>
      <w:pPr>
        <w:pStyle w:val="Heading2"/>
      </w:pPr>
      <w:r>
        <w:t>11.1 bu_frd.model_party_behavior_windows_2022_2025</w:t>
      </w:r>
    </w:p>
    <w:p>
      <w:r>
        <w:t>Collapses the 12 party-month rows into party-level baseline and recent summaries. This is the bridge between monthly behavior and engineered features.</w:t>
      </w:r>
    </w:p>
    <w:p>
      <w:pPr>
        <w:pStyle w:val="Formula"/>
        <w:jc w:val="center"/>
        <w:shd w:fill="EEF4F8"/>
      </w:pPr>
      <w:r>
        <w:rPr>
          <w:rFonts w:ascii="Cambria Math" w:hAnsi="Cambria Math"/>
          <w:sz w:val="21"/>
        </w:rPr>
        <w:t>Prior mean(X) = (1/9) × Σ X_t over offsets 11…3, using available months</w:t>
      </w:r>
    </w:p>
    <w:p>
      <w:pPr>
        <w:pStyle w:val="Formula"/>
        <w:jc w:val="center"/>
        <w:shd w:fill="EEF4F8"/>
      </w:pPr>
      <w:r>
        <w:rPr>
          <w:rFonts w:ascii="Cambria Math" w:hAnsi="Cambria Math"/>
          <w:sz w:val="21"/>
        </w:rPr>
        <w:t>Recent mean(X) = (1/3) × Σ X_t over offsets 2…0, using available months</w:t>
      </w:r>
    </w:p>
    <w:p>
      <w:pPr>
        <w:pStyle w:val="Formula"/>
        <w:jc w:val="center"/>
        <w:shd w:fill="EEF4F8"/>
      </w:pPr>
      <w:r>
        <w:rPr>
          <w:rFonts w:ascii="Cambria Math" w:hAnsi="Cambria Math"/>
          <w:sz w:val="21"/>
        </w:rPr>
        <w:t>Prior SD(X) = sample standard deviation of available PRIOR monthly values</w:t>
      </w:r>
    </w:p>
    <w:p>
      <w:pPr>
        <w:pStyle w:val="Formula"/>
        <w:jc w:val="center"/>
        <w:shd w:fill="EEF4F8"/>
      </w:pPr>
      <w:r>
        <w:rPr>
          <w:rFonts w:ascii="Cambria Math" w:hAnsi="Cambria Math"/>
          <w:sz w:val="21"/>
        </w:rPr>
        <w:t>Coverage_prior(X) = number of PRIOR months with calculable X</w:t>
      </w:r>
    </w:p>
    <w:p>
      <w:pPr>
        <w:pStyle w:val="Formula"/>
        <w:jc w:val="center"/>
        <w:shd w:fill="EEF4F8"/>
      </w:pPr>
      <w:r>
        <w:rPr>
          <w:rFonts w:ascii="Cambria Math" w:hAnsi="Cambria Math"/>
          <w:sz w:val="21"/>
        </w:rPr>
        <w:t>Coverage_recent(X) = number of RECENT months with calculable X</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315A7D"/>
          </w:tcPr>
          <w:p>
            <w:pPr>
              <w:spacing w:after="0" w:before="0"/>
            </w:pPr>
            <w:r/>
            <w:r>
              <w:rPr>
                <w:rFonts w:ascii="Aptos" w:hAnsi="Aptos"/>
                <w:b/>
                <w:color w:val="FFFFFF"/>
                <w:sz w:val="16"/>
              </w:rPr>
              <w:t>Stored information type</w:t>
            </w:r>
          </w:p>
        </w:tc>
        <w:tc>
          <w:tcPr>
            <w:tcW w:type="dxa" w:w="6912"/>
            <w:vAlign w:val="center"/>
            <w:shd w:fill="315A7D"/>
          </w:tcPr>
          <w:p>
            <w:pPr>
              <w:spacing w:after="0" w:before="0"/>
            </w:pPr>
            <w:r/>
            <w:r>
              <w:rPr>
                <w:rFonts w:ascii="Aptos" w:hAnsi="Aptos"/>
                <w:b/>
                <w:color w:val="FFFFFF"/>
                <w:sz w:val="16"/>
              </w:rPr>
              <w:t>Examples</w:t>
            </w:r>
          </w:p>
        </w:tc>
      </w:tr>
      <w:tr>
        <w:tc>
          <w:tcPr>
            <w:tcW w:type="dxa" w:w="3168"/>
            <w:vAlign w:val="center"/>
          </w:tcPr>
          <w:p>
            <w:pPr>
              <w:spacing w:after="0" w:before="0"/>
            </w:pPr>
            <w:r/>
            <w:r>
              <w:rPr>
                <w:rFonts w:ascii="Aptos" w:hAnsi="Aptos"/>
                <w:b w:val="0"/>
                <w:sz w:val="16"/>
              </w:rPr>
              <w:t>PRIOR aggregates</w:t>
            </w:r>
          </w:p>
        </w:tc>
        <w:tc>
          <w:tcPr>
            <w:tcW w:type="dxa" w:w="6912"/>
            <w:vAlign w:val="center"/>
          </w:tcPr>
          <w:p>
            <w:pPr>
              <w:spacing w:after="0" w:before="0"/>
            </w:pPr>
            <w:r/>
            <w:r>
              <w:rPr>
                <w:rFonts w:ascii="Aptos" w:hAnsi="Aptos"/>
                <w:b w:val="0"/>
                <w:sz w:val="16"/>
              </w:rPr>
              <w:t>prior means/count rates for active accounts, balances, past due, delinquency share, utilization and transition counts</w:t>
            </w:r>
          </w:p>
        </w:tc>
      </w:tr>
      <w:tr>
        <w:tc>
          <w:tcPr>
            <w:tcW w:type="dxa" w:w="3168"/>
            <w:vAlign w:val="center"/>
            <w:shd w:fill="F6F9FC"/>
          </w:tcPr>
          <w:p>
            <w:pPr>
              <w:spacing w:after="0" w:before="0"/>
            </w:pPr>
            <w:r/>
            <w:r>
              <w:rPr>
                <w:rFonts w:ascii="Aptos" w:hAnsi="Aptos"/>
                <w:b w:val="0"/>
                <w:sz w:val="16"/>
              </w:rPr>
              <w:t>RECENT aggregates</w:t>
            </w:r>
          </w:p>
        </w:tc>
        <w:tc>
          <w:tcPr>
            <w:tcW w:type="dxa" w:w="6912"/>
            <w:vAlign w:val="center"/>
            <w:shd w:fill="F6F9FC"/>
          </w:tcPr>
          <w:p>
            <w:pPr>
              <w:spacing w:after="0" w:before="0"/>
            </w:pPr>
            <w:r/>
            <w:r>
              <w:rPr>
                <w:rFonts w:ascii="Aptos" w:hAnsi="Aptos"/>
                <w:b w:val="0"/>
                <w:sz w:val="16"/>
              </w:rPr>
              <w:t>corresponding 3-month means/count rates</w:t>
            </w:r>
          </w:p>
        </w:tc>
      </w:tr>
      <w:tr>
        <w:tc>
          <w:tcPr>
            <w:tcW w:type="dxa" w:w="3168"/>
            <w:vAlign w:val="center"/>
          </w:tcPr>
          <w:p>
            <w:pPr>
              <w:spacing w:after="0" w:before="0"/>
            </w:pPr>
            <w:r/>
            <w:r>
              <w:rPr>
                <w:rFonts w:ascii="Aptos" w:hAnsi="Aptos"/>
                <w:b w:val="0"/>
                <w:sz w:val="16"/>
              </w:rPr>
              <w:t>Coverage</w:t>
            </w:r>
          </w:p>
        </w:tc>
        <w:tc>
          <w:tcPr>
            <w:tcW w:type="dxa" w:w="6912"/>
            <w:vAlign w:val="center"/>
          </w:tcPr>
          <w:p>
            <w:pPr>
              <w:spacing w:after="0" w:before="0"/>
            </w:pPr>
            <w:r/>
            <w:r>
              <w:rPr>
                <w:rFonts w:ascii="Aptos" w:hAnsi="Aptos"/>
                <w:b w:val="0"/>
                <w:sz w:val="16"/>
              </w:rPr>
              <w:t>number of available months in each window</w:t>
            </w:r>
          </w:p>
        </w:tc>
      </w:tr>
      <w:tr>
        <w:tc>
          <w:tcPr>
            <w:tcW w:type="dxa" w:w="3168"/>
            <w:vAlign w:val="center"/>
            <w:shd w:fill="F6F9FC"/>
          </w:tcPr>
          <w:p>
            <w:pPr>
              <w:spacing w:after="0" w:before="0"/>
            </w:pPr>
            <w:r/>
            <w:r>
              <w:rPr>
                <w:rFonts w:ascii="Aptos" w:hAnsi="Aptos"/>
                <w:b w:val="0"/>
                <w:sz w:val="16"/>
              </w:rPr>
              <w:t>Baseline variability</w:t>
            </w:r>
          </w:p>
        </w:tc>
        <w:tc>
          <w:tcPr>
            <w:tcW w:type="dxa" w:w="6912"/>
            <w:vAlign w:val="center"/>
            <w:shd w:fill="F6F9FC"/>
          </w:tcPr>
          <w:p>
            <w:pPr>
              <w:spacing w:after="0" w:before="0"/>
            </w:pPr>
            <w:r/>
            <w:r>
              <w:rPr>
                <w:rFonts w:ascii="Aptos" w:hAnsi="Aptos"/>
                <w:b w:val="0"/>
                <w:sz w:val="16"/>
              </w:rPr>
              <w:t>PRIOR standard deviation used by Z-score candidates</w:t>
            </w:r>
          </w:p>
        </w:tc>
      </w:tr>
    </w:tbl>
    <w:p>
      <w:pPr>
        <w:spacing w:after="20"/>
      </w:pPr>
    </w:p>
    <w:p>
      <w:pPr>
        <w:pStyle w:val="Heading1"/>
      </w:pPr>
      <w:r>
        <w:t>12. Current Formula feature layer</w:t>
      </w:r>
    </w:p>
    <w:p>
      <w:pPr>
        <w:pStyle w:val="Heading2"/>
      </w:pPr>
      <w:r>
        <w:t>12.1 bu_frd.model_behavior_features_current_2022_2025</w:t>
      </w:r>
    </w:p>
    <w:p>
      <w:r>
        <w:t>Implements the primary behavioral representation. Continuous measures are generally expressed as RECENT minus PRIOR. Event counts are normalized by the length of each window before differencing.</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315A7D"/>
          </w:tcPr>
          <w:p>
            <w:pPr>
              <w:spacing w:after="0" w:before="0"/>
            </w:pPr>
            <w:r/>
            <w:r>
              <w:rPr>
                <w:rFonts w:ascii="Aptos" w:hAnsi="Aptos"/>
                <w:b/>
                <w:color w:val="FFFFFF"/>
                <w:sz w:val="15"/>
              </w:rPr>
              <w:t>Feature</w:t>
            </w:r>
          </w:p>
        </w:tc>
        <w:tc>
          <w:tcPr>
            <w:tcW w:type="dxa" w:w="4176"/>
            <w:vAlign w:val="center"/>
            <w:shd w:fill="315A7D"/>
          </w:tcPr>
          <w:p>
            <w:pPr>
              <w:spacing w:after="0" w:before="0"/>
            </w:pPr>
            <w:r/>
            <w:r>
              <w:rPr>
                <w:rFonts w:ascii="Aptos" w:hAnsi="Aptos"/>
                <w:b/>
                <w:color w:val="FFFFFF"/>
                <w:sz w:val="15"/>
              </w:rPr>
              <w:t>Formula</w:t>
            </w:r>
          </w:p>
        </w:tc>
        <w:tc>
          <w:tcPr>
            <w:tcW w:type="dxa" w:w="3312"/>
            <w:vAlign w:val="center"/>
            <w:shd w:fill="315A7D"/>
          </w:tcPr>
          <w:p>
            <w:pPr>
              <w:spacing w:after="0" w:before="0"/>
            </w:pPr>
            <w:r/>
            <w:r>
              <w:rPr>
                <w:rFonts w:ascii="Aptos" w:hAnsi="Aptos"/>
                <w:b/>
                <w:color w:val="FFFFFF"/>
                <w:sz w:val="15"/>
              </w:rPr>
              <w:t>Interpretation</w:t>
            </w:r>
          </w:p>
        </w:tc>
      </w:tr>
      <w:tr>
        <w:tc>
          <w:tcPr>
            <w:tcW w:type="dxa" w:w="2880"/>
            <w:vAlign w:val="center"/>
          </w:tcPr>
          <w:p>
            <w:pPr>
              <w:spacing w:after="0" w:before="0"/>
            </w:pPr>
            <w:r/>
            <w:r>
              <w:rPr>
                <w:rFonts w:ascii="Aptos" w:hAnsi="Aptos"/>
                <w:b w:val="0"/>
                <w:sz w:val="15"/>
              </w:rPr>
              <w:t>deterioration_acceleration</w:t>
            </w:r>
          </w:p>
        </w:tc>
        <w:tc>
          <w:tcPr>
            <w:tcW w:type="dxa" w:w="4176"/>
            <w:vAlign w:val="center"/>
          </w:tcPr>
          <w:p>
            <w:pPr>
              <w:spacing w:after="0" w:before="0"/>
            </w:pPr>
            <w:r/>
            <w:r>
              <w:rPr>
                <w:rFonts w:ascii="Aptos" w:hAnsi="Aptos"/>
                <w:b w:val="0"/>
                <w:sz w:val="15"/>
              </w:rPr>
              <w:t>(Σ deterioration_recent / 3) − (Σ deterioration_prior / 9)</w:t>
            </w:r>
          </w:p>
        </w:tc>
        <w:tc>
          <w:tcPr>
            <w:tcW w:type="dxa" w:w="3312"/>
            <w:vAlign w:val="center"/>
          </w:tcPr>
          <w:p>
            <w:pPr>
              <w:spacing w:after="0" w:before="0"/>
            </w:pPr>
            <w:r/>
            <w:r>
              <w:rPr>
                <w:rFonts w:ascii="Aptos" w:hAnsi="Aptos"/>
                <w:b w:val="0"/>
                <w:sz w:val="15"/>
              </w:rPr>
              <w:t>Change in monthly deterioration-event rate.</w:t>
            </w:r>
          </w:p>
        </w:tc>
      </w:tr>
      <w:tr>
        <w:tc>
          <w:tcPr>
            <w:tcW w:type="dxa" w:w="2880"/>
            <w:vAlign w:val="center"/>
            <w:shd w:fill="F6F9FC"/>
          </w:tcPr>
          <w:p>
            <w:pPr>
              <w:spacing w:after="0" w:before="0"/>
            </w:pPr>
            <w:r/>
            <w:r>
              <w:rPr>
                <w:rFonts w:ascii="Aptos" w:hAnsi="Aptos"/>
                <w:b w:val="0"/>
                <w:sz w:val="15"/>
              </w:rPr>
              <w:t>adverse_acceleration</w:t>
            </w:r>
          </w:p>
        </w:tc>
        <w:tc>
          <w:tcPr>
            <w:tcW w:type="dxa" w:w="4176"/>
            <w:vAlign w:val="center"/>
            <w:shd w:fill="F6F9FC"/>
          </w:tcPr>
          <w:p>
            <w:pPr>
              <w:spacing w:after="0" w:before="0"/>
            </w:pPr>
            <w:r/>
            <w:r>
              <w:rPr>
                <w:rFonts w:ascii="Aptos" w:hAnsi="Aptos"/>
                <w:b w:val="0"/>
                <w:sz w:val="15"/>
              </w:rPr>
              <w:t>(Σ adverse_entries_recent / 3) − (Σ adverse_entries_prior / 9)</w:t>
            </w:r>
          </w:p>
        </w:tc>
        <w:tc>
          <w:tcPr>
            <w:tcW w:type="dxa" w:w="3312"/>
            <w:vAlign w:val="center"/>
            <w:shd w:fill="F6F9FC"/>
          </w:tcPr>
          <w:p>
            <w:pPr>
              <w:spacing w:after="0" w:before="0"/>
            </w:pPr>
            <w:r/>
            <w:r>
              <w:rPr>
                <w:rFonts w:ascii="Aptos" w:hAnsi="Aptos"/>
                <w:b w:val="0"/>
                <w:sz w:val="15"/>
              </w:rPr>
              <w:t>Change in monthly adverse-entry rate.</w:t>
            </w:r>
          </w:p>
        </w:tc>
      </w:tr>
      <w:tr>
        <w:tc>
          <w:tcPr>
            <w:tcW w:type="dxa" w:w="2880"/>
            <w:vAlign w:val="center"/>
          </w:tcPr>
          <w:p>
            <w:pPr>
              <w:spacing w:after="0" w:before="0"/>
            </w:pPr>
            <w:r/>
            <w:r>
              <w:rPr>
                <w:rFonts w:ascii="Aptos" w:hAnsi="Aptos"/>
                <w:b w:val="0"/>
                <w:sz w:val="15"/>
              </w:rPr>
              <w:t>max_dpd_jump_recent_3m</w:t>
            </w:r>
          </w:p>
        </w:tc>
        <w:tc>
          <w:tcPr>
            <w:tcW w:type="dxa" w:w="4176"/>
            <w:vAlign w:val="center"/>
          </w:tcPr>
          <w:p>
            <w:pPr>
              <w:spacing w:after="0" w:before="0"/>
            </w:pPr>
            <w:r/>
            <w:r>
              <w:rPr>
                <w:rFonts w:ascii="Aptos" w:hAnsi="Aptos"/>
                <w:b w:val="0"/>
                <w:sz w:val="15"/>
              </w:rPr>
              <w:t>max(max_dpd_jump) over RECENT 3M</w:t>
            </w:r>
          </w:p>
        </w:tc>
        <w:tc>
          <w:tcPr>
            <w:tcW w:type="dxa" w:w="3312"/>
            <w:vAlign w:val="center"/>
          </w:tcPr>
          <w:p>
            <w:pPr>
              <w:spacing w:after="0" w:before="0"/>
            </w:pPr>
            <w:r/>
            <w:r>
              <w:rPr>
                <w:rFonts w:ascii="Aptos" w:hAnsi="Aptos"/>
                <w:b w:val="0"/>
                <w:sz w:val="15"/>
              </w:rPr>
              <w:t>Largest observed DPD severity jump in recent period.</w:t>
            </w:r>
          </w:p>
        </w:tc>
      </w:tr>
      <w:tr>
        <w:tc>
          <w:tcPr>
            <w:tcW w:type="dxa" w:w="2880"/>
            <w:vAlign w:val="center"/>
            <w:shd w:fill="F6F9FC"/>
          </w:tcPr>
          <w:p>
            <w:pPr>
              <w:spacing w:after="0" w:before="0"/>
            </w:pPr>
            <w:r/>
            <w:r>
              <w:rPr>
                <w:rFonts w:ascii="Aptos" w:hAnsi="Aptos"/>
                <w:b w:val="0"/>
                <w:sz w:val="15"/>
              </w:rPr>
              <w:t>active_accounts_change_vs_baseline</w:t>
            </w:r>
          </w:p>
        </w:tc>
        <w:tc>
          <w:tcPr>
            <w:tcW w:type="dxa" w:w="4176"/>
            <w:vAlign w:val="center"/>
            <w:shd w:fill="F6F9FC"/>
          </w:tcPr>
          <w:p>
            <w:pPr>
              <w:spacing w:after="0" w:before="0"/>
            </w:pPr>
            <w:r/>
            <w:r>
              <w:rPr>
                <w:rFonts w:ascii="Aptos" w:hAnsi="Aptos"/>
                <w:b w:val="0"/>
                <w:sz w:val="15"/>
              </w:rPr>
              <w:t>mean_active_recent − mean_active_prior</w:t>
            </w:r>
          </w:p>
        </w:tc>
        <w:tc>
          <w:tcPr>
            <w:tcW w:type="dxa" w:w="3312"/>
            <w:vAlign w:val="center"/>
            <w:shd w:fill="F6F9FC"/>
          </w:tcPr>
          <w:p>
            <w:pPr>
              <w:spacing w:after="0" w:before="0"/>
            </w:pPr>
            <w:r/>
            <w:r>
              <w:rPr>
                <w:rFonts w:ascii="Aptos" w:hAnsi="Aptos"/>
                <w:b w:val="0"/>
                <w:sz w:val="15"/>
              </w:rPr>
              <w:t>Signed change in active-account exposure.</w:t>
            </w:r>
          </w:p>
        </w:tc>
      </w:tr>
      <w:tr>
        <w:tc>
          <w:tcPr>
            <w:tcW w:type="dxa" w:w="2880"/>
            <w:vAlign w:val="center"/>
          </w:tcPr>
          <w:p>
            <w:pPr>
              <w:spacing w:after="0" w:before="0"/>
            </w:pPr>
            <w:r/>
            <w:r>
              <w:rPr>
                <w:rFonts w:ascii="Aptos" w:hAnsi="Aptos"/>
                <w:b w:val="0"/>
                <w:sz w:val="15"/>
              </w:rPr>
              <w:t>balance_change</w:t>
            </w:r>
          </w:p>
        </w:tc>
        <w:tc>
          <w:tcPr>
            <w:tcW w:type="dxa" w:w="4176"/>
            <w:vAlign w:val="center"/>
          </w:tcPr>
          <w:p>
            <w:pPr>
              <w:spacing w:after="0" w:before="0"/>
            </w:pPr>
            <w:r/>
            <w:r>
              <w:rPr>
                <w:rFonts w:ascii="Aptos" w:hAnsi="Aptos"/>
                <w:b w:val="0"/>
                <w:sz w:val="15"/>
              </w:rPr>
              <w:t>mean_balance_recent − mean_balance_prior</w:t>
            </w:r>
          </w:p>
        </w:tc>
        <w:tc>
          <w:tcPr>
            <w:tcW w:type="dxa" w:w="3312"/>
            <w:vAlign w:val="center"/>
          </w:tcPr>
          <w:p>
            <w:pPr>
              <w:spacing w:after="0" w:before="0"/>
            </w:pPr>
            <w:r/>
            <w:r>
              <w:rPr>
                <w:rFonts w:ascii="Aptos" w:hAnsi="Aptos"/>
                <w:b w:val="0"/>
                <w:sz w:val="15"/>
              </w:rPr>
              <w:t>Signed change in active-account balance level.</w:t>
            </w:r>
          </w:p>
        </w:tc>
      </w:tr>
      <w:tr>
        <w:tc>
          <w:tcPr>
            <w:tcW w:type="dxa" w:w="2880"/>
            <w:vAlign w:val="center"/>
            <w:shd w:fill="F6F9FC"/>
          </w:tcPr>
          <w:p>
            <w:pPr>
              <w:spacing w:after="0" w:before="0"/>
            </w:pPr>
            <w:r/>
            <w:r>
              <w:rPr>
                <w:rFonts w:ascii="Aptos" w:hAnsi="Aptos"/>
                <w:b w:val="0"/>
                <w:sz w:val="15"/>
              </w:rPr>
              <w:t>past_due_change</w:t>
            </w:r>
          </w:p>
        </w:tc>
        <w:tc>
          <w:tcPr>
            <w:tcW w:type="dxa" w:w="4176"/>
            <w:vAlign w:val="center"/>
            <w:shd w:fill="F6F9FC"/>
          </w:tcPr>
          <w:p>
            <w:pPr>
              <w:spacing w:after="0" w:before="0"/>
            </w:pPr>
            <w:r/>
            <w:r>
              <w:rPr>
                <w:rFonts w:ascii="Aptos" w:hAnsi="Aptos"/>
                <w:b w:val="0"/>
                <w:sz w:val="15"/>
              </w:rPr>
              <w:t>mean_past_due_recent − mean_past_due_prior</w:t>
            </w:r>
          </w:p>
        </w:tc>
        <w:tc>
          <w:tcPr>
            <w:tcW w:type="dxa" w:w="3312"/>
            <w:vAlign w:val="center"/>
            <w:shd w:fill="F6F9FC"/>
          </w:tcPr>
          <w:p>
            <w:pPr>
              <w:spacing w:after="0" w:before="0"/>
            </w:pPr>
            <w:r/>
            <w:r>
              <w:rPr>
                <w:rFonts w:ascii="Aptos" w:hAnsi="Aptos"/>
                <w:b w:val="0"/>
                <w:sz w:val="15"/>
              </w:rPr>
              <w:t>Signed change in active-account past-due amount.</w:t>
            </w:r>
          </w:p>
        </w:tc>
      </w:tr>
      <w:tr>
        <w:tc>
          <w:tcPr>
            <w:tcW w:type="dxa" w:w="2880"/>
            <w:vAlign w:val="center"/>
          </w:tcPr>
          <w:p>
            <w:pPr>
              <w:spacing w:after="0" w:before="0"/>
            </w:pPr>
            <w:r/>
            <w:r>
              <w:rPr>
                <w:rFonts w:ascii="Aptos" w:hAnsi="Aptos"/>
                <w:b w:val="0"/>
                <w:sz w:val="15"/>
              </w:rPr>
              <w:t>delinquency_share_change</w:t>
            </w:r>
          </w:p>
        </w:tc>
        <w:tc>
          <w:tcPr>
            <w:tcW w:type="dxa" w:w="4176"/>
            <w:vAlign w:val="center"/>
          </w:tcPr>
          <w:p>
            <w:pPr>
              <w:spacing w:after="0" w:before="0"/>
            </w:pPr>
            <w:r/>
            <w:r>
              <w:rPr>
                <w:rFonts w:ascii="Aptos" w:hAnsi="Aptos"/>
                <w:b w:val="0"/>
                <w:sz w:val="15"/>
              </w:rPr>
              <w:t>mean_delinq_share_recent − mean_delinq_share_prior</w:t>
            </w:r>
          </w:p>
        </w:tc>
        <w:tc>
          <w:tcPr>
            <w:tcW w:type="dxa" w:w="3312"/>
            <w:vAlign w:val="center"/>
          </w:tcPr>
          <w:p>
            <w:pPr>
              <w:spacing w:after="0" w:before="0"/>
            </w:pPr>
            <w:r/>
            <w:r>
              <w:rPr>
                <w:rFonts w:ascii="Aptos" w:hAnsi="Aptos"/>
                <w:b w:val="0"/>
                <w:sz w:val="15"/>
              </w:rPr>
              <w:t>Signed change in share of delinquent active accounts.</w:t>
            </w:r>
          </w:p>
        </w:tc>
      </w:tr>
      <w:tr>
        <w:tc>
          <w:tcPr>
            <w:tcW w:type="dxa" w:w="2880"/>
            <w:vAlign w:val="center"/>
            <w:shd w:fill="F6F9FC"/>
          </w:tcPr>
          <w:p>
            <w:pPr>
              <w:spacing w:after="0" w:before="0"/>
            </w:pPr>
            <w:r/>
            <w:r>
              <w:rPr>
                <w:rFonts w:ascii="Aptos" w:hAnsi="Aptos"/>
                <w:b w:val="0"/>
                <w:sz w:val="15"/>
              </w:rPr>
              <w:t>avg_utilization_change</w:t>
            </w:r>
          </w:p>
        </w:tc>
        <w:tc>
          <w:tcPr>
            <w:tcW w:type="dxa" w:w="4176"/>
            <w:vAlign w:val="center"/>
            <w:shd w:fill="F6F9FC"/>
          </w:tcPr>
          <w:p>
            <w:pPr>
              <w:spacing w:after="0" w:before="0"/>
            </w:pPr>
            <w:r/>
            <w:r>
              <w:rPr>
                <w:rFonts w:ascii="Aptos" w:hAnsi="Aptos"/>
                <w:b w:val="0"/>
                <w:sz w:val="15"/>
              </w:rPr>
              <w:t>mean_avg_util_recent − mean_avg_util_prior</w:t>
            </w:r>
          </w:p>
        </w:tc>
        <w:tc>
          <w:tcPr>
            <w:tcW w:type="dxa" w:w="3312"/>
            <w:vAlign w:val="center"/>
            <w:shd w:fill="F6F9FC"/>
          </w:tcPr>
          <w:p>
            <w:pPr>
              <w:spacing w:after="0" w:before="0"/>
            </w:pPr>
            <w:r/>
            <w:r>
              <w:rPr>
                <w:rFonts w:ascii="Aptos" w:hAnsi="Aptos"/>
                <w:b w:val="0"/>
                <w:sz w:val="15"/>
              </w:rPr>
              <w:t>Signed change in average utilization.</w:t>
            </w:r>
          </w:p>
        </w:tc>
      </w:tr>
      <w:tr>
        <w:tc>
          <w:tcPr>
            <w:tcW w:type="dxa" w:w="2880"/>
            <w:vAlign w:val="center"/>
          </w:tcPr>
          <w:p>
            <w:pPr>
              <w:spacing w:after="0" w:before="0"/>
            </w:pPr>
            <w:r/>
            <w:r>
              <w:rPr>
                <w:rFonts w:ascii="Aptos" w:hAnsi="Aptos"/>
                <w:b w:val="0"/>
                <w:sz w:val="15"/>
              </w:rPr>
              <w:t>weighted_utilization_change</w:t>
            </w:r>
          </w:p>
        </w:tc>
        <w:tc>
          <w:tcPr>
            <w:tcW w:type="dxa" w:w="4176"/>
            <w:vAlign w:val="center"/>
          </w:tcPr>
          <w:p>
            <w:pPr>
              <w:spacing w:after="0" w:before="0"/>
            </w:pPr>
            <w:r/>
            <w:r>
              <w:rPr>
                <w:rFonts w:ascii="Aptos" w:hAnsi="Aptos"/>
                <w:b w:val="0"/>
                <w:sz w:val="15"/>
              </w:rPr>
              <w:t>mean_weighted_util_recent − mean_weighted_util_prior</w:t>
            </w:r>
          </w:p>
        </w:tc>
        <w:tc>
          <w:tcPr>
            <w:tcW w:type="dxa" w:w="3312"/>
            <w:vAlign w:val="center"/>
          </w:tcPr>
          <w:p>
            <w:pPr>
              <w:spacing w:after="0" w:before="0"/>
            </w:pPr>
            <w:r/>
            <w:r>
              <w:rPr>
                <w:rFonts w:ascii="Aptos" w:hAnsi="Aptos"/>
                <w:b w:val="0"/>
                <w:sz w:val="15"/>
              </w:rPr>
              <w:t>Signed change in exposure-weighted utilization.</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Availability: </w:t>
            </w:r>
            <w:r>
              <w:rPr>
                <w:sz w:val="17"/>
              </w:rPr>
              <w:t>For balance, past due, delinquency and utilization, the pipeline tracks whether the change is genuinely calculable and how many months are available in each window. Missing numeric values are not treated as equivalent to true zero without a companion availability indicator.</w:t>
            </w:r>
          </w:p>
        </w:tc>
      </w:tr>
    </w:tbl>
    <w:p>
      <w:pPr>
        <w:spacing w:after="0"/>
      </w:pPr>
    </w:p>
    <w:p>
      <w:pPr>
        <w:pStyle w:val="Heading1"/>
      </w:pPr>
      <w:r>
        <w:t>13. Z-score challenger layer</w:t>
      </w:r>
    </w:p>
    <w:p>
      <w:pPr>
        <w:pStyle w:val="Heading2"/>
      </w:pPr>
      <w:r>
        <w:t>13.1 bu_frd.model_behavior_features_z_2022_2025</w:t>
      </w:r>
    </w:p>
    <w:p>
      <w:r>
        <w:t>The Z-score layer asks a different question from the Current Formula: not only how much the recent period changed, but how large that change is relative to the party’s own PRIOR variability.</w:t>
      </w:r>
    </w:p>
    <w:p>
      <w:pPr>
        <w:pStyle w:val="Formula"/>
        <w:jc w:val="center"/>
        <w:shd w:fill="EEF4F8"/>
      </w:pPr>
      <w:r>
        <w:rPr>
          <w:rFonts w:ascii="Cambria Math" w:hAnsi="Cambria Math"/>
          <w:sz w:val="21"/>
        </w:rPr>
        <w:t>Z_X = ( mean(X)_Recent3 − mean(X)_Prior9 ) / ( SD(X)_Prior9 / √3 )</w:t>
      </w:r>
    </w:p>
    <w:p>
      <w:pPr>
        <w:pStyle w:val="Heading2"/>
      </w:pPr>
      <w:r>
        <w:t>13.2 Eligibility and stability controls</w:t>
      </w:r>
    </w:p>
    <w:tbl>
      <w:tblPr>
        <w:tblStyle w:val="TableGrid"/>
        <w:tblW w:type="auto" w:w="0"/>
        <w:jc w:val="center"/>
        <w:tblLook w:firstColumn="1" w:firstRow="1" w:lastColumn="0" w:lastRow="0" w:noHBand="0" w:noVBand="1" w:val="04A0"/>
      </w:tblPr>
      <w:tblGrid>
        <w:gridCol w:w="3408"/>
        <w:gridCol w:w="3408"/>
        <w:gridCol w:w="3408"/>
      </w:tblGrid>
      <w:tr>
        <w:tc>
          <w:tcPr>
            <w:tcW w:type="dxa" w:w="2736"/>
            <w:vAlign w:val="center"/>
            <w:shd w:fill="315A7D"/>
          </w:tcPr>
          <w:p>
            <w:pPr>
              <w:spacing w:after="0" w:before="0"/>
            </w:pPr>
            <w:r/>
            <w:r>
              <w:rPr>
                <w:rFonts w:ascii="Aptos" w:hAnsi="Aptos"/>
                <w:b/>
                <w:color w:val="FFFFFF"/>
                <w:sz w:val="15"/>
              </w:rPr>
              <w:t>Candidate</w:t>
            </w:r>
          </w:p>
        </w:tc>
        <w:tc>
          <w:tcPr>
            <w:tcW w:type="dxa" w:w="5040"/>
            <w:vAlign w:val="center"/>
            <w:shd w:fill="315A7D"/>
          </w:tcPr>
          <w:p>
            <w:pPr>
              <w:spacing w:after="0" w:before="0"/>
            </w:pPr>
            <w:r/>
            <w:r>
              <w:rPr>
                <w:rFonts w:ascii="Aptos" w:hAnsi="Aptos"/>
                <w:b/>
                <w:color w:val="FFFFFF"/>
                <w:sz w:val="15"/>
              </w:rPr>
              <w:t>Eligibility / issue</w:t>
            </w:r>
          </w:p>
        </w:tc>
        <w:tc>
          <w:tcPr>
            <w:tcW w:type="dxa" w:w="2592"/>
            <w:vAlign w:val="center"/>
            <w:shd w:fill="315A7D"/>
          </w:tcPr>
          <w:p>
            <w:pPr>
              <w:spacing w:after="0" w:before="0"/>
            </w:pPr>
            <w:r/>
            <w:r>
              <w:rPr>
                <w:rFonts w:ascii="Aptos" w:hAnsi="Aptos"/>
                <w:b/>
                <w:color w:val="FFFFFF"/>
                <w:sz w:val="15"/>
              </w:rPr>
              <w:t>Decision</w:t>
            </w:r>
          </w:p>
        </w:tc>
      </w:tr>
      <w:tr>
        <w:tc>
          <w:tcPr>
            <w:tcW w:type="dxa" w:w="2736"/>
            <w:vAlign w:val="center"/>
          </w:tcPr>
          <w:p>
            <w:pPr>
              <w:spacing w:after="0" w:before="0"/>
            </w:pPr>
            <w:r/>
            <w:r>
              <w:rPr>
                <w:rFonts w:ascii="Aptos" w:hAnsi="Aptos"/>
                <w:b w:val="0"/>
                <w:sz w:val="15"/>
              </w:rPr>
              <w:t>Active accounts Z</w:t>
            </w:r>
          </w:p>
        </w:tc>
        <w:tc>
          <w:tcPr>
            <w:tcW w:type="dxa" w:w="5040"/>
            <w:vAlign w:val="center"/>
          </w:tcPr>
          <w:p>
            <w:pPr>
              <w:spacing w:after="0" w:before="0"/>
            </w:pPr>
            <w:r/>
            <w:r>
              <w:rPr>
                <w:rFonts w:ascii="Aptos" w:hAnsi="Aptos"/>
                <w:b w:val="0"/>
                <w:sz w:val="15"/>
              </w:rPr>
              <w:t>PRIOR SD must be &gt; 0; enough history must exist to estimate the baseline.</w:t>
            </w:r>
          </w:p>
        </w:tc>
        <w:tc>
          <w:tcPr>
            <w:tcW w:type="dxa" w:w="2592"/>
            <w:vAlign w:val="center"/>
          </w:tcPr>
          <w:p>
            <w:pPr>
              <w:spacing w:after="0" w:before="0"/>
            </w:pPr>
            <w:r/>
            <w:r>
              <w:rPr>
                <w:rFonts w:ascii="Aptos" w:hAnsi="Aptos"/>
                <w:b w:val="0"/>
                <w:sz w:val="15"/>
              </w:rPr>
              <w:t>Retained as challenger.</w:t>
            </w:r>
          </w:p>
        </w:tc>
      </w:tr>
      <w:tr>
        <w:tc>
          <w:tcPr>
            <w:tcW w:type="dxa" w:w="2736"/>
            <w:vAlign w:val="center"/>
            <w:shd w:fill="F6F9FC"/>
          </w:tcPr>
          <w:p>
            <w:pPr>
              <w:spacing w:after="0" w:before="0"/>
            </w:pPr>
            <w:r/>
            <w:r>
              <w:rPr>
                <w:rFonts w:ascii="Aptos" w:hAnsi="Aptos"/>
                <w:b w:val="0"/>
                <w:sz w:val="15"/>
              </w:rPr>
              <w:t>Average utilization Z</w:t>
            </w:r>
          </w:p>
        </w:tc>
        <w:tc>
          <w:tcPr>
            <w:tcW w:type="dxa" w:w="5040"/>
            <w:vAlign w:val="center"/>
            <w:shd w:fill="F6F9FC"/>
          </w:tcPr>
          <w:p>
            <w:pPr>
              <w:spacing w:after="0" w:before="0"/>
            </w:pPr>
            <w:r/>
            <w:r>
              <w:rPr>
                <w:rFonts w:ascii="Aptos" w:hAnsi="Aptos"/>
                <w:b w:val="0"/>
                <w:sz w:val="15"/>
              </w:rPr>
              <w:t>Recent coverage = 3, PRIOR coverage ≥ 6, PRIOR SD &gt; 0; utilization inputs use project caps.</w:t>
            </w:r>
          </w:p>
        </w:tc>
        <w:tc>
          <w:tcPr>
            <w:tcW w:type="dxa" w:w="2592"/>
            <w:vAlign w:val="center"/>
            <w:shd w:fill="F6F9FC"/>
          </w:tcPr>
          <w:p>
            <w:pPr>
              <w:spacing w:after="0" w:before="0"/>
            </w:pPr>
            <w:r/>
            <w:r>
              <w:rPr>
                <w:rFonts w:ascii="Aptos" w:hAnsi="Aptos"/>
                <w:b w:val="0"/>
                <w:sz w:val="15"/>
              </w:rPr>
              <w:t>Retained as challenger.</w:t>
            </w:r>
          </w:p>
        </w:tc>
      </w:tr>
      <w:tr>
        <w:tc>
          <w:tcPr>
            <w:tcW w:type="dxa" w:w="2736"/>
            <w:vAlign w:val="center"/>
          </w:tcPr>
          <w:p>
            <w:pPr>
              <w:spacing w:after="0" w:before="0"/>
            </w:pPr>
            <w:r/>
            <w:r>
              <w:rPr>
                <w:rFonts w:ascii="Aptos" w:hAnsi="Aptos"/>
                <w:b w:val="0"/>
                <w:sz w:val="15"/>
              </w:rPr>
              <w:t>Weighted utilization Z</w:t>
            </w:r>
          </w:p>
        </w:tc>
        <w:tc>
          <w:tcPr>
            <w:tcW w:type="dxa" w:w="5040"/>
            <w:vAlign w:val="center"/>
          </w:tcPr>
          <w:p>
            <w:pPr>
              <w:spacing w:after="0" w:before="0"/>
            </w:pPr>
            <w:r/>
            <w:r>
              <w:rPr>
                <w:rFonts w:ascii="Aptos" w:hAnsi="Aptos"/>
                <w:b w:val="0"/>
                <w:sz w:val="15"/>
              </w:rPr>
              <w:t>Same coverage/SD requirements as average utilization.</w:t>
            </w:r>
          </w:p>
        </w:tc>
        <w:tc>
          <w:tcPr>
            <w:tcW w:type="dxa" w:w="2592"/>
            <w:vAlign w:val="center"/>
          </w:tcPr>
          <w:p>
            <w:pPr>
              <w:spacing w:after="0" w:before="0"/>
            </w:pPr>
            <w:r/>
            <w:r>
              <w:rPr>
                <w:rFonts w:ascii="Aptos" w:hAnsi="Aptos"/>
                <w:b w:val="0"/>
                <w:sz w:val="15"/>
              </w:rPr>
              <w:t>Retained as challenger.</w:t>
            </w:r>
          </w:p>
        </w:tc>
      </w:tr>
      <w:tr>
        <w:tc>
          <w:tcPr>
            <w:tcW w:type="dxa" w:w="2736"/>
            <w:vAlign w:val="center"/>
            <w:shd w:fill="F6F9FC"/>
          </w:tcPr>
          <w:p>
            <w:pPr>
              <w:spacing w:after="0" w:before="0"/>
            </w:pPr>
            <w:r/>
            <w:r>
              <w:rPr>
                <w:rFonts w:ascii="Aptos" w:hAnsi="Aptos"/>
                <w:b w:val="0"/>
                <w:sz w:val="15"/>
              </w:rPr>
              <w:t>Balance Z</w:t>
            </w:r>
          </w:p>
        </w:tc>
        <w:tc>
          <w:tcPr>
            <w:tcW w:type="dxa" w:w="5040"/>
            <w:vAlign w:val="center"/>
            <w:shd w:fill="F6F9FC"/>
          </w:tcPr>
          <w:p>
            <w:pPr>
              <w:spacing w:after="0" w:before="0"/>
            </w:pPr>
            <w:r/>
            <w:r>
              <w:rPr>
                <w:rFonts w:ascii="Aptos" w:hAnsi="Aptos"/>
                <w:b w:val="0"/>
                <w:sz w:val="15"/>
              </w:rPr>
              <w:t>Technically computable for many parties but produced pathological extreme tails.</w:t>
            </w:r>
          </w:p>
        </w:tc>
        <w:tc>
          <w:tcPr>
            <w:tcW w:type="dxa" w:w="2592"/>
            <w:vAlign w:val="center"/>
            <w:shd w:fill="F6F9FC"/>
          </w:tcPr>
          <w:p>
            <w:pPr>
              <w:spacing w:after="0" w:before="0"/>
            </w:pPr>
            <w:r/>
            <w:r>
              <w:rPr>
                <w:rFonts w:ascii="Aptos" w:hAnsi="Aptos"/>
                <w:b w:val="0"/>
                <w:sz w:val="15"/>
              </w:rPr>
              <w:t>Dropped.</w:t>
            </w:r>
          </w:p>
        </w:tc>
      </w:tr>
      <w:tr>
        <w:tc>
          <w:tcPr>
            <w:tcW w:type="dxa" w:w="2736"/>
            <w:vAlign w:val="center"/>
          </w:tcPr>
          <w:p>
            <w:pPr>
              <w:spacing w:after="0" w:before="0"/>
            </w:pPr>
            <w:r/>
            <w:r>
              <w:rPr>
                <w:rFonts w:ascii="Aptos" w:hAnsi="Aptos"/>
                <w:b w:val="0"/>
                <w:sz w:val="15"/>
              </w:rPr>
              <w:t>Past due / delinquency Z</w:t>
            </w:r>
          </w:p>
        </w:tc>
        <w:tc>
          <w:tcPr>
            <w:tcW w:type="dxa" w:w="5040"/>
            <w:vAlign w:val="center"/>
          </w:tcPr>
          <w:p>
            <w:pPr>
              <w:spacing w:after="0" w:before="0"/>
            </w:pPr>
            <w:r/>
            <w:r>
              <w:rPr>
                <w:rFonts w:ascii="Aptos" w:hAnsi="Aptos"/>
                <w:b w:val="0"/>
                <w:sz w:val="15"/>
              </w:rPr>
              <w:t>Useful non-zero PRIOR SD available for too small a proportion of parties.</w:t>
            </w:r>
          </w:p>
        </w:tc>
        <w:tc>
          <w:tcPr>
            <w:tcW w:type="dxa" w:w="2592"/>
            <w:vAlign w:val="center"/>
          </w:tcPr>
          <w:p>
            <w:pPr>
              <w:spacing w:after="0" w:before="0"/>
            </w:pPr>
            <w:r/>
            <w:r>
              <w:rPr>
                <w:rFonts w:ascii="Aptos" w:hAnsi="Aptos"/>
                <w:b w:val="0"/>
                <w:sz w:val="15"/>
              </w:rPr>
              <w:t>Not selected.</w:t>
            </w:r>
          </w:p>
        </w:tc>
      </w:tr>
      <w:tr>
        <w:tc>
          <w:tcPr>
            <w:tcW w:type="dxa" w:w="2736"/>
            <w:vAlign w:val="center"/>
            <w:shd w:fill="F6F9FC"/>
          </w:tcPr>
          <w:p>
            <w:pPr>
              <w:spacing w:after="0" w:before="0"/>
            </w:pPr>
            <w:r/>
            <w:r>
              <w:rPr>
                <w:rFonts w:ascii="Aptos" w:hAnsi="Aptos"/>
                <w:b w:val="0"/>
                <w:sz w:val="15"/>
              </w:rPr>
              <w:t>Deterioration / adverse Z</w:t>
            </w:r>
          </w:p>
        </w:tc>
        <w:tc>
          <w:tcPr>
            <w:tcW w:type="dxa" w:w="5040"/>
            <w:vAlign w:val="center"/>
            <w:shd w:fill="F6F9FC"/>
          </w:tcPr>
          <w:p>
            <w:pPr>
              <w:spacing w:after="0" w:before="0"/>
            </w:pPr>
            <w:r/>
            <w:r>
              <w:rPr>
                <w:rFonts w:ascii="Aptos" w:hAnsi="Aptos"/>
                <w:b w:val="0"/>
                <w:sz w:val="15"/>
              </w:rPr>
              <w:t>PRIOR SD is zero for the overwhelming majority because monthly counts are sparse.</w:t>
            </w:r>
          </w:p>
        </w:tc>
        <w:tc>
          <w:tcPr>
            <w:tcW w:type="dxa" w:w="2592"/>
            <w:vAlign w:val="center"/>
            <w:shd w:fill="F6F9FC"/>
          </w:tcPr>
          <w:p>
            <w:pPr>
              <w:spacing w:after="0" w:before="0"/>
            </w:pPr>
            <w:r/>
            <w:r>
              <w:rPr>
                <w:rFonts w:ascii="Aptos" w:hAnsi="Aptos"/>
                <w:b w:val="0"/>
                <w:sz w:val="15"/>
              </w:rPr>
              <w:t>Not selected.</w:t>
            </w:r>
          </w:p>
        </w:tc>
      </w:tr>
    </w:tbl>
    <w:p>
      <w:pPr>
        <w:spacing w:after="20"/>
      </w:pPr>
    </w:p>
    <w:p>
      <w:pPr>
        <w:pStyle w:val="Heading2"/>
      </w:pPr>
      <w:r>
        <w:t>13.3 Winsorization / caps frozen from development data</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315A7D"/>
          </w:tcPr>
          <w:p>
            <w:pPr>
              <w:spacing w:after="0" w:before="0"/>
            </w:pPr>
            <w:r/>
            <w:r>
              <w:rPr>
                <w:rFonts w:ascii="Aptos" w:hAnsi="Aptos"/>
                <w:b/>
                <w:color w:val="FFFFFF"/>
                <w:sz w:val="16"/>
              </w:rPr>
              <w:t>Selected Z</w:t>
            </w:r>
          </w:p>
        </w:tc>
        <w:tc>
          <w:tcPr>
            <w:tcW w:type="dxa" w:w="3312"/>
            <w:vAlign w:val="center"/>
            <w:shd w:fill="315A7D"/>
          </w:tcPr>
          <w:p>
            <w:pPr>
              <w:spacing w:after="0" w:before="0"/>
            </w:pPr>
            <w:r/>
            <w:r>
              <w:rPr>
                <w:rFonts w:ascii="Aptos" w:hAnsi="Aptos"/>
                <w:b/>
                <w:color w:val="FFFFFF"/>
                <w:sz w:val="16"/>
              </w:rPr>
              <w:t>Lower cap</w:t>
            </w:r>
          </w:p>
        </w:tc>
        <w:tc>
          <w:tcPr>
            <w:tcW w:type="dxa" w:w="3312"/>
            <w:vAlign w:val="center"/>
            <w:shd w:fill="315A7D"/>
          </w:tcPr>
          <w:p>
            <w:pPr>
              <w:spacing w:after="0" w:before="0"/>
            </w:pPr>
            <w:r/>
            <w:r>
              <w:rPr>
                <w:rFonts w:ascii="Aptos" w:hAnsi="Aptos"/>
                <w:b/>
                <w:color w:val="FFFFFF"/>
                <w:sz w:val="16"/>
              </w:rPr>
              <w:t>Upper cap</w:t>
            </w:r>
          </w:p>
        </w:tc>
      </w:tr>
      <w:tr>
        <w:tc>
          <w:tcPr>
            <w:tcW w:type="dxa" w:w="3456"/>
            <w:vAlign w:val="center"/>
          </w:tcPr>
          <w:p>
            <w:pPr>
              <w:spacing w:after="0" w:before="0"/>
            </w:pPr>
            <w:r/>
            <w:r>
              <w:rPr>
                <w:rFonts w:ascii="Aptos" w:hAnsi="Aptos"/>
                <w:b w:val="0"/>
                <w:sz w:val="16"/>
              </w:rPr>
              <w:t>active_accounts_z</w:t>
            </w:r>
          </w:p>
        </w:tc>
        <w:tc>
          <w:tcPr>
            <w:tcW w:type="dxa" w:w="3312"/>
            <w:vAlign w:val="center"/>
          </w:tcPr>
          <w:p>
            <w:pPr>
              <w:spacing w:after="0" w:before="0"/>
            </w:pPr>
            <w:r/>
            <w:r>
              <w:rPr>
                <w:rFonts w:ascii="Aptos" w:hAnsi="Aptos"/>
                <w:b w:val="0"/>
                <w:sz w:val="16"/>
              </w:rPr>
              <w:t>-13.27906</w:t>
            </w:r>
          </w:p>
        </w:tc>
        <w:tc>
          <w:tcPr>
            <w:tcW w:type="dxa" w:w="3312"/>
            <w:vAlign w:val="center"/>
          </w:tcPr>
          <w:p>
            <w:pPr>
              <w:spacing w:after="0" w:before="0"/>
            </w:pPr>
            <w:r/>
            <w:r>
              <w:rPr>
                <w:rFonts w:ascii="Aptos" w:hAnsi="Aptos"/>
                <w:b w:val="0"/>
                <w:sz w:val="16"/>
              </w:rPr>
              <w:t>15.01716</w:t>
            </w:r>
          </w:p>
        </w:tc>
      </w:tr>
      <w:tr>
        <w:tc>
          <w:tcPr>
            <w:tcW w:type="dxa" w:w="3456"/>
            <w:vAlign w:val="center"/>
            <w:shd w:fill="F6F9FC"/>
          </w:tcPr>
          <w:p>
            <w:pPr>
              <w:spacing w:after="0" w:before="0"/>
            </w:pPr>
            <w:r/>
            <w:r>
              <w:rPr>
                <w:rFonts w:ascii="Aptos" w:hAnsi="Aptos"/>
                <w:b w:val="0"/>
                <w:sz w:val="16"/>
              </w:rPr>
              <w:t>avg_utilization_z</w:t>
            </w:r>
          </w:p>
        </w:tc>
        <w:tc>
          <w:tcPr>
            <w:tcW w:type="dxa" w:w="3312"/>
            <w:vAlign w:val="center"/>
            <w:shd w:fill="F6F9FC"/>
          </w:tcPr>
          <w:p>
            <w:pPr>
              <w:spacing w:after="0" w:before="0"/>
            </w:pPr>
            <w:r/>
            <w:r>
              <w:rPr>
                <w:rFonts w:ascii="Aptos" w:hAnsi="Aptos"/>
                <w:b w:val="0"/>
                <w:sz w:val="16"/>
              </w:rPr>
              <w:t>-29.78358</w:t>
            </w:r>
          </w:p>
        </w:tc>
        <w:tc>
          <w:tcPr>
            <w:tcW w:type="dxa" w:w="3312"/>
            <w:vAlign w:val="center"/>
            <w:shd w:fill="F6F9FC"/>
          </w:tcPr>
          <w:p>
            <w:pPr>
              <w:spacing w:after="0" w:before="0"/>
            </w:pPr>
            <w:r/>
            <w:r>
              <w:rPr>
                <w:rFonts w:ascii="Aptos" w:hAnsi="Aptos"/>
                <w:b w:val="0"/>
                <w:sz w:val="16"/>
              </w:rPr>
              <w:t>33.76045</w:t>
            </w:r>
          </w:p>
        </w:tc>
      </w:tr>
      <w:tr>
        <w:tc>
          <w:tcPr>
            <w:tcW w:type="dxa" w:w="3456"/>
            <w:vAlign w:val="center"/>
          </w:tcPr>
          <w:p>
            <w:pPr>
              <w:spacing w:after="0" w:before="0"/>
            </w:pPr>
            <w:r/>
            <w:r>
              <w:rPr>
                <w:rFonts w:ascii="Aptos" w:hAnsi="Aptos"/>
                <w:b w:val="0"/>
                <w:sz w:val="16"/>
              </w:rPr>
              <w:t>weighted_utilization_z</w:t>
            </w:r>
          </w:p>
        </w:tc>
        <w:tc>
          <w:tcPr>
            <w:tcW w:type="dxa" w:w="3312"/>
            <w:vAlign w:val="center"/>
          </w:tcPr>
          <w:p>
            <w:pPr>
              <w:spacing w:after="0" w:before="0"/>
            </w:pPr>
            <w:r/>
            <w:r>
              <w:rPr>
                <w:rFonts w:ascii="Aptos" w:hAnsi="Aptos"/>
                <w:b w:val="0"/>
                <w:sz w:val="16"/>
              </w:rPr>
              <w:t>-37.89802</w:t>
            </w:r>
          </w:p>
        </w:tc>
        <w:tc>
          <w:tcPr>
            <w:tcW w:type="dxa" w:w="3312"/>
            <w:vAlign w:val="center"/>
          </w:tcPr>
          <w:p>
            <w:pPr>
              <w:spacing w:after="0" w:before="0"/>
            </w:pPr>
            <w:r/>
            <w:r>
              <w:rPr>
                <w:rFonts w:ascii="Aptos" w:hAnsi="Aptos"/>
                <w:b w:val="0"/>
                <w:sz w:val="16"/>
              </w:rPr>
              <w:t>40.84790</w:t>
            </w:r>
          </w:p>
        </w:tc>
      </w:tr>
    </w:tbl>
    <w:p>
      <w:pPr>
        <w:spacing w:after="20"/>
      </w:pPr>
    </w:p>
    <w:p>
      <w:r>
        <w:t>These caps are development-time constants. They must be applied unchanged to later periods; they must not be re-estimated on validation or test data.</w:t>
      </w:r>
    </w:p>
    <w:p>
      <w:pPr>
        <w:pStyle w:val="Heading1"/>
      </w:pPr>
      <w:r>
        <w:t>14. Selected Z and transformed feature layers</w:t>
      </w:r>
    </w:p>
    <w:p>
      <w:pPr>
        <w:pStyle w:val="Heading2"/>
      </w:pPr>
      <w:r>
        <w:t>14.1 bu_frd.model_behavior_features_selected_2022_2025</w:t>
      </w:r>
    </w:p>
    <w:p>
      <w:r>
        <w:t>Freezes the selected Z candidates after viability, coverage and tail-behavior review. The selected challengers are active accounts Z, average utilization Z and weighted utilization Z, each paired with an availability indicator.</w:t>
      </w:r>
    </w:p>
    <w:p>
      <w:pPr>
        <w:pStyle w:val="Heading2"/>
      </w:pPr>
      <w:r>
        <w:t>14.2 bu_frd.model_behavior_features_transformed_2022_2025</w:t>
      </w:r>
    </w:p>
    <w:p>
      <w:r>
        <w:t>Adds transformations motivated by feature-shape analysis. Two transformations are especially important.</w:t>
      </w:r>
    </w:p>
    <w:p>
      <w:pPr>
        <w:pStyle w:val="Formula"/>
        <w:jc w:val="center"/>
        <w:shd w:fill="EEF4F8"/>
      </w:pPr>
      <w:r>
        <w:rPr>
          <w:rFonts w:ascii="Cambria Math" w:hAnsi="Cambria Math"/>
          <w:sz w:val="21"/>
        </w:rPr>
        <w:t>active_accounts_changed_flag = 1{ active_accounts_change_vs_baseline ≠ 0 }</w:t>
      </w:r>
    </w:p>
    <w:p>
      <w:pPr>
        <w:pStyle w:val="Formula"/>
        <w:jc w:val="center"/>
        <w:shd w:fill="EEF4F8"/>
      </w:pPr>
      <w:r>
        <w:rPr>
          <w:rFonts w:ascii="Cambria Math" w:hAnsi="Cambria Math"/>
          <w:sz w:val="21"/>
        </w:rPr>
        <w:t>abs_active_accounts_change = | active_accounts_change_vs_baseline |</w:t>
      </w:r>
    </w:p>
    <w:p>
      <w:pPr>
        <w:pStyle w:val="Formula"/>
        <w:jc w:val="center"/>
        <w:shd w:fill="EEF4F8"/>
      </w:pPr>
      <w:r>
        <w:rPr>
          <w:rFonts w:ascii="Cambria Math" w:hAnsi="Cambria Math"/>
          <w:sz w:val="21"/>
        </w:rPr>
        <w:t>log1p_abs_balance_change = ln( 1 + | balance_change | )</w:t>
      </w:r>
    </w:p>
    <w:p>
      <w:r>
        <w:t>The active-account analysis showed that “changed versus unchanged” separates the outcome more clearly than the direction of change. The signed balance feature showed a U-shaped relationship, while log(1+|Δbalance|) produced a cleaner increasing magnitude relationship. Consequently, the change flag and balance-magnitude transform were retained as interpretable nonlinear companions to the signed features.</w:t>
      </w:r>
    </w:p>
    <w:p>
      <w:pPr>
        <w:pStyle w:val="Heading1"/>
      </w:pPr>
      <w:r>
        <w:t>15. Final analytical feature table</w:t>
      </w:r>
    </w:p>
    <w:p>
      <w:pPr>
        <w:pStyle w:val="Heading2"/>
      </w:pPr>
      <w:r>
        <w:t>15.1 bu_frd.model_features_ab_final_2022_2025</w:t>
      </w:r>
    </w:p>
    <w:p>
      <w:r>
        <w:t>This is the final model-ready analytical table. It contains one row per party, the outcome, temporal metadata, Current features, transformations, availability/coverage indicators and selected Z-score challengers.</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315A7D"/>
          </w:tcPr>
          <w:p>
            <w:pPr>
              <w:spacing w:after="0" w:before="0"/>
            </w:pPr>
            <w:r/>
            <w:r>
              <w:rPr>
                <w:rFonts w:ascii="Aptos" w:hAnsi="Aptos"/>
                <w:b/>
                <w:color w:val="FFFFFF"/>
                <w:sz w:val="16"/>
              </w:rPr>
              <w:t>Validated property</w:t>
            </w:r>
          </w:p>
        </w:tc>
        <w:tc>
          <w:tcPr>
            <w:tcW w:type="dxa" w:w="4752"/>
            <w:vAlign w:val="center"/>
            <w:shd w:fill="315A7D"/>
          </w:tcPr>
          <w:p>
            <w:pPr>
              <w:spacing w:after="0" w:before="0"/>
            </w:pPr>
            <w:r/>
            <w:r>
              <w:rPr>
                <w:rFonts w:ascii="Aptos" w:hAnsi="Aptos"/>
                <w:b/>
                <w:color w:val="FFFFFF"/>
                <w:sz w:val="16"/>
              </w:rPr>
              <w:t>Result</w:t>
            </w:r>
          </w:p>
        </w:tc>
      </w:tr>
      <w:tr>
        <w:tc>
          <w:tcPr>
            <w:tcW w:type="dxa" w:w="5328"/>
            <w:vAlign w:val="center"/>
          </w:tcPr>
          <w:p>
            <w:pPr>
              <w:spacing w:after="0" w:before="0"/>
            </w:pPr>
            <w:r/>
            <w:r>
              <w:rPr>
                <w:rFonts w:ascii="Aptos" w:hAnsi="Aptos"/>
                <w:b w:val="0"/>
                <w:sz w:val="16"/>
              </w:rPr>
              <w:t>Rows</w:t>
            </w:r>
          </w:p>
        </w:tc>
        <w:tc>
          <w:tcPr>
            <w:tcW w:type="dxa" w:w="4752"/>
            <w:vAlign w:val="center"/>
          </w:tcPr>
          <w:p>
            <w:pPr>
              <w:spacing w:after="0" w:before="0"/>
            </w:pPr>
            <w:r/>
            <w:r>
              <w:rPr>
                <w:rFonts w:ascii="Aptos" w:hAnsi="Aptos"/>
                <w:b w:val="0"/>
                <w:sz w:val="16"/>
              </w:rPr>
              <w:t>688,589</w:t>
            </w:r>
          </w:p>
        </w:tc>
      </w:tr>
      <w:tr>
        <w:tc>
          <w:tcPr>
            <w:tcW w:type="dxa" w:w="5328"/>
            <w:vAlign w:val="center"/>
            <w:shd w:fill="F6F9FC"/>
          </w:tcPr>
          <w:p>
            <w:pPr>
              <w:spacing w:after="0" w:before="0"/>
            </w:pPr>
            <w:r/>
            <w:r>
              <w:rPr>
                <w:rFonts w:ascii="Aptos" w:hAnsi="Aptos"/>
                <w:b w:val="0"/>
                <w:sz w:val="16"/>
              </w:rPr>
              <w:t>Distinct parties</w:t>
            </w:r>
          </w:p>
        </w:tc>
        <w:tc>
          <w:tcPr>
            <w:tcW w:type="dxa" w:w="4752"/>
            <w:vAlign w:val="center"/>
            <w:shd w:fill="F6F9FC"/>
          </w:tcPr>
          <w:p>
            <w:pPr>
              <w:spacing w:after="0" w:before="0"/>
            </w:pPr>
            <w:r/>
            <w:r>
              <w:rPr>
                <w:rFonts w:ascii="Aptos" w:hAnsi="Aptos"/>
                <w:b w:val="0"/>
                <w:sz w:val="16"/>
              </w:rPr>
              <w:t>688,589</w:t>
            </w:r>
          </w:p>
        </w:tc>
      </w:tr>
      <w:tr>
        <w:tc>
          <w:tcPr>
            <w:tcW w:type="dxa" w:w="5328"/>
            <w:vAlign w:val="center"/>
          </w:tcPr>
          <w:p>
            <w:pPr>
              <w:spacing w:after="0" w:before="0"/>
            </w:pPr>
            <w:r/>
            <w:r>
              <w:rPr>
                <w:rFonts w:ascii="Aptos" w:hAnsi="Aptos"/>
                <w:b w:val="0"/>
                <w:sz w:val="16"/>
              </w:rPr>
              <w:t>Duplicate party rows</w:t>
            </w:r>
          </w:p>
        </w:tc>
        <w:tc>
          <w:tcPr>
            <w:tcW w:type="dxa" w:w="4752"/>
            <w:vAlign w:val="center"/>
          </w:tcPr>
          <w:p>
            <w:pPr>
              <w:spacing w:after="0" w:before="0"/>
            </w:pPr>
            <w:r/>
            <w:r>
              <w:rPr>
                <w:rFonts w:ascii="Aptos" w:hAnsi="Aptos"/>
                <w:b w:val="0"/>
                <w:sz w:val="16"/>
              </w:rPr>
              <w:t>0</w:t>
            </w:r>
          </w:p>
        </w:tc>
      </w:tr>
      <w:tr>
        <w:tc>
          <w:tcPr>
            <w:tcW w:type="dxa" w:w="5328"/>
            <w:vAlign w:val="center"/>
            <w:shd w:fill="F6F9FC"/>
          </w:tcPr>
          <w:p>
            <w:pPr>
              <w:spacing w:after="0" w:before="0"/>
            </w:pPr>
            <w:r/>
            <w:r>
              <w:rPr>
                <w:rFonts w:ascii="Aptos" w:hAnsi="Aptos"/>
                <w:b w:val="0"/>
                <w:sz w:val="16"/>
              </w:rPr>
              <w:t>NULL party_id / observation_date / label</w:t>
            </w:r>
          </w:p>
        </w:tc>
        <w:tc>
          <w:tcPr>
            <w:tcW w:type="dxa" w:w="4752"/>
            <w:vAlign w:val="center"/>
            <w:shd w:fill="F6F9FC"/>
          </w:tcPr>
          <w:p>
            <w:pPr>
              <w:spacing w:after="0" w:before="0"/>
            </w:pPr>
            <w:r/>
            <w:r>
              <w:rPr>
                <w:rFonts w:ascii="Aptos" w:hAnsi="Aptos"/>
                <w:b w:val="0"/>
                <w:sz w:val="16"/>
              </w:rPr>
              <w:t>0</w:t>
            </w:r>
          </w:p>
        </w:tc>
      </w:tr>
      <w:tr>
        <w:tc>
          <w:tcPr>
            <w:tcW w:type="dxa" w:w="5328"/>
            <w:vAlign w:val="center"/>
          </w:tcPr>
          <w:p>
            <w:pPr>
              <w:spacing w:after="0" w:before="0"/>
            </w:pPr>
            <w:r/>
            <w:r>
              <w:rPr>
                <w:rFonts w:ascii="Aptos" w:hAnsi="Aptos"/>
                <w:b w:val="0"/>
                <w:sz w:val="16"/>
              </w:rPr>
              <w:t>Invalid label values</w:t>
            </w:r>
          </w:p>
        </w:tc>
        <w:tc>
          <w:tcPr>
            <w:tcW w:type="dxa" w:w="4752"/>
            <w:vAlign w:val="center"/>
          </w:tcPr>
          <w:p>
            <w:pPr>
              <w:spacing w:after="0" w:before="0"/>
            </w:pPr>
            <w:r/>
            <w:r>
              <w:rPr>
                <w:rFonts w:ascii="Aptos" w:hAnsi="Aptos"/>
                <w:b w:val="0"/>
                <w:sz w:val="16"/>
              </w:rPr>
              <w:t>0</w:t>
            </w:r>
          </w:p>
        </w:tc>
      </w:tr>
      <w:tr>
        <w:tc>
          <w:tcPr>
            <w:tcW w:type="dxa" w:w="5328"/>
            <w:vAlign w:val="center"/>
            <w:shd w:fill="F6F9FC"/>
          </w:tcPr>
          <w:p>
            <w:pPr>
              <w:spacing w:after="0" w:before="0"/>
            </w:pPr>
            <w:r/>
            <w:r>
              <w:rPr>
                <w:rFonts w:ascii="Aptos" w:hAnsi="Aptos"/>
                <w:b w:val="0"/>
                <w:sz w:val="16"/>
              </w:rPr>
              <w:t>Model-feature NULLs after model transformations/coalescing</w:t>
            </w:r>
          </w:p>
        </w:tc>
        <w:tc>
          <w:tcPr>
            <w:tcW w:type="dxa" w:w="4752"/>
            <w:vAlign w:val="center"/>
            <w:shd w:fill="F6F9FC"/>
          </w:tcPr>
          <w:p>
            <w:pPr>
              <w:spacing w:after="0" w:before="0"/>
            </w:pPr>
            <w:r/>
            <w:r>
              <w:rPr>
                <w:rFonts w:ascii="Aptos" w:hAnsi="Aptos"/>
                <w:b w:val="0"/>
                <w:sz w:val="16"/>
              </w:rPr>
              <w:t>0</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Meaning of *_model: </w:t>
            </w:r>
            <w:r>
              <w:rPr>
                <w:sz w:val="17"/>
              </w:rPr>
              <w:t>A suffix such as balance_change_model or active_accounts_z_model indicates the model-ready representation, not a model prediction. When an underlying feature is unavailable, the numeric model field may be coalesced to zero and paired with an explicit availability flag.</w:t>
            </w:r>
          </w:p>
        </w:tc>
      </w:tr>
    </w:tbl>
    <w:p>
      <w:pPr>
        <w:spacing w:after="0"/>
      </w:pPr>
    </w:p>
    <w:p>
      <w:pPr>
        <w:pStyle w:val="Heading1"/>
      </w:pPr>
      <w:r>
        <w:t>16. Model A / Model B feature architecture</w:t>
      </w:r>
    </w:p>
    <w:p>
      <w:r>
        <w:t>The final table was organized to support a controlled A/B model comparison rather than an uncontrolled “all-features” model.</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315A7D"/>
          </w:tcPr>
          <w:p>
            <w:pPr>
              <w:spacing w:after="0" w:before="0"/>
            </w:pPr>
            <w:r/>
            <w:r>
              <w:rPr>
                <w:rFonts w:ascii="Aptos" w:hAnsi="Aptos"/>
                <w:b/>
                <w:color w:val="FFFFFF"/>
                <w:sz w:val="15"/>
              </w:rPr>
              <w:t>Architecture</w:t>
            </w:r>
          </w:p>
        </w:tc>
        <w:tc>
          <w:tcPr>
            <w:tcW w:type="dxa" w:w="7920"/>
            <w:vAlign w:val="center"/>
            <w:shd w:fill="315A7D"/>
          </w:tcPr>
          <w:p>
            <w:pPr>
              <w:spacing w:after="0" w:before="0"/>
            </w:pPr>
            <w:r/>
            <w:r>
              <w:rPr>
                <w:rFonts w:ascii="Aptos" w:hAnsi="Aptos"/>
                <w:b/>
                <w:color w:val="FFFFFF"/>
                <w:sz w:val="15"/>
              </w:rPr>
              <w:t>Feature composition</w:t>
            </w:r>
          </w:p>
        </w:tc>
      </w:tr>
      <w:tr>
        <w:tc>
          <w:tcPr>
            <w:tcW w:type="dxa" w:w="2448"/>
            <w:vAlign w:val="center"/>
          </w:tcPr>
          <w:p>
            <w:pPr>
              <w:spacing w:after="0" w:before="0"/>
            </w:pPr>
            <w:r/>
            <w:r>
              <w:rPr>
                <w:rFonts w:ascii="Aptos" w:hAnsi="Aptos"/>
                <w:b w:val="0"/>
                <w:sz w:val="15"/>
              </w:rPr>
              <w:t>Model A – Current</w:t>
            </w:r>
          </w:p>
        </w:tc>
        <w:tc>
          <w:tcPr>
            <w:tcW w:type="dxa" w:w="7920"/>
            <w:vAlign w:val="center"/>
          </w:tcPr>
          <w:p>
            <w:pPr>
              <w:spacing w:after="0" w:before="0"/>
            </w:pPr>
            <w:r/>
            <w:r>
              <w:rPr>
                <w:rFonts w:ascii="Aptos" w:hAnsi="Aptos"/>
                <w:b w:val="0"/>
                <w:sz w:val="15"/>
              </w:rPr>
              <w:t>23 Current/transformed/availability/coverage features: deterioration_acceleration, adverse_acceleration, max_dpd_jump_recent_3m, active_accounts_change_vs_baseline, active_accounts_changed_flag, balance_change_model, log1p_abs_balance_change_model, balance_change_available_flag, balance_recent_months_available, balance_prior_months_available, past_due_change_model, past_due_change_available_flag, past_due_recent_months_available, past_due_prior_months_available, delinquency_share_change_model, delinquency_change_available_flag, delinquency_recent_months_available, delinquency_prior_months_available, avg_utilization_change_model, weighted_utilization_change_model, utilization_change_available_flag, utilization_recent_months_available, utilization_prior_months_available</w:t>
            </w:r>
          </w:p>
        </w:tc>
      </w:tr>
      <w:tr>
        <w:tc>
          <w:tcPr>
            <w:tcW w:type="dxa" w:w="2448"/>
            <w:vAlign w:val="center"/>
            <w:shd w:fill="F6F9FC"/>
          </w:tcPr>
          <w:p>
            <w:pPr>
              <w:spacing w:after="0" w:before="0"/>
            </w:pPr>
            <w:r/>
            <w:r>
              <w:rPr>
                <w:rFonts w:ascii="Aptos" w:hAnsi="Aptos"/>
                <w:b w:val="0"/>
                <w:sz w:val="15"/>
              </w:rPr>
              <w:t>Model B – Current + Z</w:t>
            </w:r>
          </w:p>
        </w:tc>
        <w:tc>
          <w:tcPr>
            <w:tcW w:type="dxa" w:w="7920"/>
            <w:vAlign w:val="center"/>
            <w:shd w:fill="F6F9FC"/>
          </w:tcPr>
          <w:p>
            <w:pPr>
              <w:spacing w:after="0" w:before="0"/>
            </w:pPr>
            <w:r/>
            <w:r>
              <w:rPr>
                <w:rFonts w:ascii="Aptos" w:hAnsi="Aptos"/>
                <w:b w:val="0"/>
                <w:sz w:val="15"/>
              </w:rPr>
              <w:t>All Model A features plus 6 selected Z fields: active_accounts_z_model, active_accounts_z_available_flag, avg_utilization_z_model, avg_utilization_z_available_flag, weighted_utilization_z_model, weighted_utilization_z_available_flag</w:t>
            </w:r>
          </w:p>
        </w:tc>
      </w:tr>
    </w:tbl>
    <w:p>
      <w:pPr>
        <w:spacing w:after="20"/>
      </w:pPr>
    </w:p>
    <w:p>
      <w:pPr>
        <w:pStyle w:val="Formula"/>
        <w:jc w:val="center"/>
        <w:shd w:fill="EEF4F8"/>
      </w:pPr>
      <w:r>
        <w:rPr>
          <w:rFonts w:ascii="Cambria Math" w:hAnsi="Cambria Math"/>
          <w:sz w:val="21"/>
        </w:rPr>
        <w:t>Model B = Model A + selected within-party standardized deviation features</w:t>
      </w:r>
    </w:p>
    <w:p>
      <w:pPr>
        <w:pStyle w:val="Heading1"/>
      </w:pPr>
      <w:r>
        <w:t>17. Data quality and point-in-time QA</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315A7D"/>
          </w:tcPr>
          <w:p>
            <w:pPr>
              <w:spacing w:after="0" w:before="0"/>
            </w:pPr>
            <w:r/>
            <w:r>
              <w:rPr>
                <w:rFonts w:ascii="Aptos" w:hAnsi="Aptos"/>
                <w:b/>
                <w:color w:val="FFFFFF"/>
                <w:sz w:val="15"/>
              </w:rPr>
              <w:t>Control</w:t>
            </w:r>
          </w:p>
        </w:tc>
        <w:tc>
          <w:tcPr>
            <w:tcW w:type="dxa" w:w="5760"/>
            <w:vAlign w:val="center"/>
            <w:shd w:fill="315A7D"/>
          </w:tcPr>
          <w:p>
            <w:pPr>
              <w:spacing w:after="0" w:before="0"/>
            </w:pPr>
            <w:r/>
            <w:r>
              <w:rPr>
                <w:rFonts w:ascii="Aptos" w:hAnsi="Aptos"/>
                <w:b/>
                <w:color w:val="FFFFFF"/>
                <w:sz w:val="15"/>
              </w:rPr>
              <w:t>Evidence</w:t>
            </w:r>
          </w:p>
        </w:tc>
        <w:tc>
          <w:tcPr>
            <w:tcW w:type="dxa" w:w="1728"/>
            <w:vAlign w:val="center"/>
            <w:shd w:fill="315A7D"/>
          </w:tcPr>
          <w:p>
            <w:pPr>
              <w:spacing w:after="0" w:before="0"/>
            </w:pPr>
            <w:r/>
            <w:r>
              <w:rPr>
                <w:rFonts w:ascii="Aptos" w:hAnsi="Aptos"/>
                <w:b/>
                <w:color w:val="FFFFFF"/>
                <w:sz w:val="15"/>
              </w:rPr>
              <w:t>Assessment</w:t>
            </w:r>
          </w:p>
        </w:tc>
      </w:tr>
      <w:tr>
        <w:tc>
          <w:tcPr>
            <w:tcW w:type="dxa" w:w="2880"/>
            <w:vAlign w:val="center"/>
          </w:tcPr>
          <w:p>
            <w:pPr>
              <w:spacing w:after="0" w:before="0"/>
            </w:pPr>
            <w:r/>
            <w:r>
              <w:rPr>
                <w:rFonts w:ascii="Aptos" w:hAnsi="Aptos"/>
                <w:b w:val="0"/>
                <w:sz w:val="15"/>
              </w:rPr>
              <w:t>Final cohort uniqueness</w:t>
            </w:r>
          </w:p>
        </w:tc>
        <w:tc>
          <w:tcPr>
            <w:tcW w:type="dxa" w:w="5760"/>
            <w:vAlign w:val="center"/>
          </w:tcPr>
          <w:p>
            <w:pPr>
              <w:spacing w:after="0" w:before="0"/>
            </w:pPr>
            <w:r/>
            <w:r>
              <w:rPr>
                <w:rFonts w:ascii="Aptos" w:hAnsi="Aptos"/>
                <w:b w:val="0"/>
                <w:sz w:val="15"/>
              </w:rPr>
              <w:t>688,589 rows; 688,589 distinct parties; 0 duplicate party rows</w:t>
            </w:r>
          </w:p>
        </w:tc>
        <w:tc>
          <w:tcPr>
            <w:tcW w:type="dxa" w:w="1728"/>
            <w:vAlign w:val="center"/>
          </w:tcPr>
          <w:p>
            <w:pPr>
              <w:spacing w:after="0" w:before="0"/>
            </w:pPr>
            <w:r/>
            <w:r>
              <w:rPr>
                <w:rFonts w:ascii="Aptos" w:hAnsi="Aptos"/>
                <w:b w:val="0"/>
                <w:sz w:val="15"/>
              </w:rPr>
              <w:t>PASS</w:t>
            </w:r>
          </w:p>
        </w:tc>
      </w:tr>
      <w:tr>
        <w:tc>
          <w:tcPr>
            <w:tcW w:type="dxa" w:w="2880"/>
            <w:vAlign w:val="center"/>
            <w:shd w:fill="F6F9FC"/>
          </w:tcPr>
          <w:p>
            <w:pPr>
              <w:spacing w:after="0" w:before="0"/>
            </w:pPr>
            <w:r/>
            <w:r>
              <w:rPr>
                <w:rFonts w:ascii="Aptos" w:hAnsi="Aptos"/>
                <w:b w:val="0"/>
                <w:sz w:val="15"/>
              </w:rPr>
              <w:t>Label completeness</w:t>
            </w:r>
          </w:p>
        </w:tc>
        <w:tc>
          <w:tcPr>
            <w:tcW w:type="dxa" w:w="5760"/>
            <w:vAlign w:val="center"/>
            <w:shd w:fill="F6F9FC"/>
          </w:tcPr>
          <w:p>
            <w:pPr>
              <w:spacing w:after="0" w:before="0"/>
            </w:pPr>
            <w:r/>
            <w:r>
              <w:rPr>
                <w:rFonts w:ascii="Aptos" w:hAnsi="Aptos"/>
                <w:b w:val="0"/>
                <w:sz w:val="15"/>
              </w:rPr>
              <w:t>0 null labels; 0 invalid labels</w:t>
            </w:r>
          </w:p>
        </w:tc>
        <w:tc>
          <w:tcPr>
            <w:tcW w:type="dxa" w:w="1728"/>
            <w:vAlign w:val="center"/>
            <w:shd w:fill="F6F9FC"/>
          </w:tcPr>
          <w:p>
            <w:pPr>
              <w:spacing w:after="0" w:before="0"/>
            </w:pPr>
            <w:r/>
            <w:r>
              <w:rPr>
                <w:rFonts w:ascii="Aptos" w:hAnsi="Aptos"/>
                <w:b w:val="0"/>
                <w:sz w:val="15"/>
              </w:rPr>
              <w:t>PASS</w:t>
            </w:r>
          </w:p>
        </w:tc>
      </w:tr>
      <w:tr>
        <w:tc>
          <w:tcPr>
            <w:tcW w:type="dxa" w:w="2880"/>
            <w:vAlign w:val="center"/>
          </w:tcPr>
          <w:p>
            <w:pPr>
              <w:spacing w:after="0" w:before="0"/>
            </w:pPr>
            <w:r/>
            <w:r>
              <w:rPr>
                <w:rFonts w:ascii="Aptos" w:hAnsi="Aptos"/>
                <w:b w:val="0"/>
                <w:sz w:val="15"/>
              </w:rPr>
              <w:t>Outcome timing</w:t>
            </w:r>
          </w:p>
        </w:tc>
        <w:tc>
          <w:tcPr>
            <w:tcW w:type="dxa" w:w="5760"/>
            <w:vAlign w:val="center"/>
          </w:tcPr>
          <w:p>
            <w:pPr>
              <w:spacing w:after="0" w:before="0"/>
            </w:pPr>
            <w:r/>
            <w:r>
              <w:rPr>
                <w:rFonts w:ascii="Aptos" w:hAnsi="Aptos"/>
                <w:b w:val="0"/>
                <w:sz w:val="15"/>
              </w:rPr>
              <w:t>0 past/on-date positive alerts; 0 positives outside horizon; 0 negatives with in-horizon qualifying alert</w:t>
            </w:r>
          </w:p>
        </w:tc>
        <w:tc>
          <w:tcPr>
            <w:tcW w:type="dxa" w:w="1728"/>
            <w:vAlign w:val="center"/>
          </w:tcPr>
          <w:p>
            <w:pPr>
              <w:spacing w:after="0" w:before="0"/>
            </w:pPr>
            <w:r/>
            <w:r>
              <w:rPr>
                <w:rFonts w:ascii="Aptos" w:hAnsi="Aptos"/>
                <w:b w:val="0"/>
                <w:sz w:val="15"/>
              </w:rPr>
              <w:t>PASS</w:t>
            </w:r>
          </w:p>
        </w:tc>
      </w:tr>
      <w:tr>
        <w:tc>
          <w:tcPr>
            <w:tcW w:type="dxa" w:w="2880"/>
            <w:vAlign w:val="center"/>
            <w:shd w:fill="F6F9FC"/>
          </w:tcPr>
          <w:p>
            <w:pPr>
              <w:spacing w:after="0" w:before="0"/>
            </w:pPr>
            <w:r/>
            <w:r>
              <w:rPr>
                <w:rFonts w:ascii="Aptos" w:hAnsi="Aptos"/>
                <w:b w:val="0"/>
                <w:sz w:val="15"/>
              </w:rPr>
              <w:t>Calendar completeness</w:t>
            </w:r>
          </w:p>
        </w:tc>
        <w:tc>
          <w:tcPr>
            <w:tcW w:type="dxa" w:w="5760"/>
            <w:vAlign w:val="center"/>
            <w:shd w:fill="F6F9FC"/>
          </w:tcPr>
          <w:p>
            <w:pPr>
              <w:spacing w:after="0" w:before="0"/>
            </w:pPr>
            <w:r/>
            <w:r>
              <w:rPr>
                <w:rFonts w:ascii="Aptos" w:hAnsi="Aptos"/>
                <w:b w:val="0"/>
                <w:sz w:val="15"/>
              </w:rPr>
              <w:t>48 consecutive observation months, 2022-01-31 through 2025-12-31</w:t>
            </w:r>
          </w:p>
        </w:tc>
        <w:tc>
          <w:tcPr>
            <w:tcW w:type="dxa" w:w="1728"/>
            <w:vAlign w:val="center"/>
            <w:shd w:fill="F6F9FC"/>
          </w:tcPr>
          <w:p>
            <w:pPr>
              <w:spacing w:after="0" w:before="0"/>
            </w:pPr>
            <w:r/>
            <w:r>
              <w:rPr>
                <w:rFonts w:ascii="Aptos" w:hAnsi="Aptos"/>
                <w:b w:val="0"/>
                <w:sz w:val="15"/>
              </w:rPr>
              <w:t>PASS</w:t>
            </w:r>
          </w:p>
        </w:tc>
      </w:tr>
      <w:tr>
        <w:tc>
          <w:tcPr>
            <w:tcW w:type="dxa" w:w="2880"/>
            <w:vAlign w:val="center"/>
          </w:tcPr>
          <w:p>
            <w:pPr>
              <w:spacing w:after="0" w:before="0"/>
            </w:pPr>
            <w:r/>
            <w:r>
              <w:rPr>
                <w:rFonts w:ascii="Aptos" w:hAnsi="Aptos"/>
                <w:b w:val="0"/>
                <w:sz w:val="15"/>
              </w:rPr>
              <w:t>Party-month panel</w:t>
            </w:r>
          </w:p>
        </w:tc>
        <w:tc>
          <w:tcPr>
            <w:tcW w:type="dxa" w:w="5760"/>
            <w:vAlign w:val="center"/>
          </w:tcPr>
          <w:p>
            <w:pPr>
              <w:spacing w:after="0" w:before="0"/>
            </w:pPr>
            <w:r/>
            <w:r>
              <w:rPr>
                <w:rFonts w:ascii="Aptos" w:hAnsi="Aptos"/>
                <w:b w:val="0"/>
                <w:sz w:val="15"/>
              </w:rPr>
              <w:t>8,263,068 rows; exactly 12 per party; no missing/duplicate offsets</w:t>
            </w:r>
          </w:p>
        </w:tc>
        <w:tc>
          <w:tcPr>
            <w:tcW w:type="dxa" w:w="1728"/>
            <w:vAlign w:val="center"/>
          </w:tcPr>
          <w:p>
            <w:pPr>
              <w:spacing w:after="0" w:before="0"/>
            </w:pPr>
            <w:r/>
            <w:r>
              <w:rPr>
                <w:rFonts w:ascii="Aptos" w:hAnsi="Aptos"/>
                <w:b w:val="0"/>
                <w:sz w:val="15"/>
              </w:rPr>
              <w:t>PASS</w:t>
            </w:r>
          </w:p>
        </w:tc>
      </w:tr>
      <w:tr>
        <w:tc>
          <w:tcPr>
            <w:tcW w:type="dxa" w:w="2880"/>
            <w:vAlign w:val="center"/>
            <w:shd w:fill="F6F9FC"/>
          </w:tcPr>
          <w:p>
            <w:pPr>
              <w:spacing w:after="0" w:before="0"/>
            </w:pPr>
            <w:r/>
            <w:r>
              <w:rPr>
                <w:rFonts w:ascii="Aptos" w:hAnsi="Aptos"/>
                <w:b w:val="0"/>
                <w:sz w:val="15"/>
              </w:rPr>
              <w:t>Point-in-time trades</w:t>
            </w:r>
          </w:p>
        </w:tc>
        <w:tc>
          <w:tcPr>
            <w:tcW w:type="dxa" w:w="5760"/>
            <w:vAlign w:val="center"/>
            <w:shd w:fill="F6F9FC"/>
          </w:tcPr>
          <w:p>
            <w:pPr>
              <w:spacing w:after="0" w:before="0"/>
            </w:pPr>
            <w:r/>
            <w:r>
              <w:rPr>
                <w:rFonts w:ascii="Aptos" w:hAnsi="Aptos"/>
                <w:b w:val="0"/>
                <w:sz w:val="15"/>
              </w:rPr>
              <w:t>0 records/features/effective dates after observation date</w:t>
            </w:r>
          </w:p>
        </w:tc>
        <w:tc>
          <w:tcPr>
            <w:tcW w:type="dxa" w:w="1728"/>
            <w:vAlign w:val="center"/>
            <w:shd w:fill="F6F9FC"/>
          </w:tcPr>
          <w:p>
            <w:pPr>
              <w:spacing w:after="0" w:before="0"/>
            </w:pPr>
            <w:r/>
            <w:r>
              <w:rPr>
                <w:rFonts w:ascii="Aptos" w:hAnsi="Aptos"/>
                <w:b w:val="0"/>
                <w:sz w:val="15"/>
              </w:rPr>
              <w:t>PASS</w:t>
            </w:r>
          </w:p>
        </w:tc>
      </w:tr>
      <w:tr>
        <w:tc>
          <w:tcPr>
            <w:tcW w:type="dxa" w:w="2880"/>
            <w:vAlign w:val="center"/>
          </w:tcPr>
          <w:p>
            <w:pPr>
              <w:spacing w:after="0" w:before="0"/>
            </w:pPr>
            <w:r/>
            <w:r>
              <w:rPr>
                <w:rFonts w:ascii="Aptos" w:hAnsi="Aptos"/>
                <w:b w:val="0"/>
                <w:sz w:val="15"/>
              </w:rPr>
              <w:t>Monthly logical constraints</w:t>
            </w:r>
          </w:p>
        </w:tc>
        <w:tc>
          <w:tcPr>
            <w:tcW w:type="dxa" w:w="5760"/>
            <w:vAlign w:val="center"/>
          </w:tcPr>
          <w:p>
            <w:pPr>
              <w:spacing w:after="0" w:before="0"/>
            </w:pPr>
            <w:r/>
            <w:r>
              <w:rPr>
                <w:rFonts w:ascii="Aptos" w:hAnsi="Aptos"/>
                <w:b w:val="0"/>
                <w:sz w:val="15"/>
              </w:rPr>
              <w:t>0 active&gt;reported, rated&gt;active, delinquent&gt;rated, util-eligible&gt;active and related negative-count violations</w:t>
            </w:r>
          </w:p>
        </w:tc>
        <w:tc>
          <w:tcPr>
            <w:tcW w:type="dxa" w:w="1728"/>
            <w:vAlign w:val="center"/>
          </w:tcPr>
          <w:p>
            <w:pPr>
              <w:spacing w:after="0" w:before="0"/>
            </w:pPr>
            <w:r/>
            <w:r>
              <w:rPr>
                <w:rFonts w:ascii="Aptos" w:hAnsi="Aptos"/>
                <w:b w:val="0"/>
                <w:sz w:val="15"/>
              </w:rPr>
              <w:t>PASS</w:t>
            </w:r>
          </w:p>
        </w:tc>
      </w:tr>
      <w:tr>
        <w:tc>
          <w:tcPr>
            <w:tcW w:type="dxa" w:w="2880"/>
            <w:vAlign w:val="center"/>
            <w:shd w:fill="F6F9FC"/>
          </w:tcPr>
          <w:p>
            <w:pPr>
              <w:spacing w:after="0" w:before="0"/>
            </w:pPr>
            <w:r/>
            <w:r>
              <w:rPr>
                <w:rFonts w:ascii="Aptos" w:hAnsi="Aptos"/>
                <w:b w:val="0"/>
                <w:sz w:val="15"/>
              </w:rPr>
              <w:t>Missingness</w:t>
            </w:r>
          </w:p>
        </w:tc>
        <w:tc>
          <w:tcPr>
            <w:tcW w:type="dxa" w:w="5760"/>
            <w:vAlign w:val="center"/>
            <w:shd w:fill="F6F9FC"/>
          </w:tcPr>
          <w:p>
            <w:pPr>
              <w:spacing w:after="0" w:before="0"/>
            </w:pPr>
            <w:r/>
            <w:r>
              <w:rPr>
                <w:rFonts w:ascii="Aptos" w:hAnsi="Aptos"/>
                <w:b w:val="0"/>
                <w:sz w:val="15"/>
              </w:rPr>
              <w:t>Material and outcome-associated; explicitly represented by availability/coverage fields</w:t>
            </w:r>
          </w:p>
        </w:tc>
        <w:tc>
          <w:tcPr>
            <w:tcW w:type="dxa" w:w="1728"/>
            <w:vAlign w:val="center"/>
            <w:shd w:fill="F6F9FC"/>
          </w:tcPr>
          <w:p>
            <w:pPr>
              <w:spacing w:after="0" w:before="0"/>
            </w:pPr>
            <w:r/>
            <w:r>
              <w:rPr>
                <w:rFonts w:ascii="Aptos" w:hAnsi="Aptos"/>
                <w:b w:val="0"/>
                <w:sz w:val="15"/>
              </w:rPr>
              <w:t>DOCUMENTED</w:t>
            </w:r>
          </w:p>
        </w:tc>
      </w:tr>
      <w:tr>
        <w:tc>
          <w:tcPr>
            <w:tcW w:type="dxa" w:w="2880"/>
            <w:vAlign w:val="center"/>
          </w:tcPr>
          <w:p>
            <w:pPr>
              <w:spacing w:after="0" w:before="0"/>
            </w:pPr>
            <w:r/>
            <w:r>
              <w:rPr>
                <w:rFonts w:ascii="Aptos" w:hAnsi="Aptos"/>
                <w:b w:val="0"/>
                <w:sz w:val="15"/>
              </w:rPr>
              <w:t>Heavy tails</w:t>
            </w:r>
          </w:p>
        </w:tc>
        <w:tc>
          <w:tcPr>
            <w:tcW w:type="dxa" w:w="5760"/>
            <w:vAlign w:val="center"/>
          </w:tcPr>
          <w:p>
            <w:pPr>
              <w:spacing w:after="0" w:before="0"/>
            </w:pPr>
            <w:r/>
            <w:r>
              <w:rPr>
                <w:rFonts w:ascii="Aptos" w:hAnsi="Aptos"/>
                <w:b w:val="0"/>
                <w:sz w:val="15"/>
              </w:rPr>
              <w:t>Balance, past due and utilization contain extreme values; no logical contradictions; robust transforms/caps used</w:t>
            </w:r>
          </w:p>
        </w:tc>
        <w:tc>
          <w:tcPr>
            <w:tcW w:type="dxa" w:w="1728"/>
            <w:vAlign w:val="center"/>
          </w:tcPr>
          <w:p>
            <w:pPr>
              <w:spacing w:after="0" w:before="0"/>
            </w:pPr>
            <w:r/>
            <w:r>
              <w:rPr>
                <w:rFonts w:ascii="Aptos" w:hAnsi="Aptos"/>
                <w:b w:val="0"/>
                <w:sz w:val="15"/>
              </w:rPr>
              <w:t>MANAGEABLE</w:t>
            </w:r>
          </w:p>
        </w:tc>
      </w:tr>
      <w:tr>
        <w:tc>
          <w:tcPr>
            <w:tcW w:type="dxa" w:w="2880"/>
            <w:vAlign w:val="center"/>
            <w:shd w:fill="F6F9FC"/>
          </w:tcPr>
          <w:p>
            <w:pPr>
              <w:spacing w:after="0" w:before="0"/>
            </w:pPr>
            <w:r/>
            <w:r>
              <w:rPr>
                <w:rFonts w:ascii="Aptos" w:hAnsi="Aptos"/>
                <w:b w:val="0"/>
                <w:sz w:val="15"/>
              </w:rPr>
              <w:t>True tenure</w:t>
            </w:r>
          </w:p>
        </w:tc>
        <w:tc>
          <w:tcPr>
            <w:tcW w:type="dxa" w:w="5760"/>
            <w:vAlign w:val="center"/>
            <w:shd w:fill="F6F9FC"/>
          </w:tcPr>
          <w:p>
            <w:pPr>
              <w:spacing w:after="0" w:before="0"/>
            </w:pPr>
            <w:r/>
            <w:r>
              <w:rPr>
                <w:rFonts w:ascii="Aptos" w:hAnsi="Aptos"/>
                <w:b w:val="0"/>
                <w:sz w:val="15"/>
              </w:rPr>
              <w:t>Not recoverable from person_restricted.data_date</w:t>
            </w:r>
          </w:p>
        </w:tc>
        <w:tc>
          <w:tcPr>
            <w:tcW w:type="dxa" w:w="1728"/>
            <w:vAlign w:val="center"/>
            <w:shd w:fill="F6F9FC"/>
          </w:tcPr>
          <w:p>
            <w:pPr>
              <w:spacing w:after="0" w:before="0"/>
            </w:pPr>
            <w:r/>
            <w:r>
              <w:rPr>
                <w:rFonts w:ascii="Aptos" w:hAnsi="Aptos"/>
                <w:b w:val="0"/>
                <w:sz w:val="15"/>
              </w:rPr>
              <w:t>LIMITATION</w:t>
            </w:r>
          </w:p>
        </w:tc>
      </w:tr>
      <w:tr>
        <w:tc>
          <w:tcPr>
            <w:tcW w:type="dxa" w:w="2880"/>
            <w:vAlign w:val="center"/>
          </w:tcPr>
          <w:p>
            <w:pPr>
              <w:spacing w:after="0" w:before="0"/>
            </w:pPr>
            <w:r/>
            <w:r>
              <w:rPr>
                <w:rFonts w:ascii="Aptos" w:hAnsi="Aptos"/>
                <w:b w:val="0"/>
                <w:sz w:val="15"/>
              </w:rPr>
              <w:t>Source left-censoring</w:t>
            </w:r>
          </w:p>
        </w:tc>
        <w:tc>
          <w:tcPr>
            <w:tcW w:type="dxa" w:w="5760"/>
            <w:vAlign w:val="center"/>
          </w:tcPr>
          <w:p>
            <w:pPr>
              <w:spacing w:after="0" w:before="0"/>
            </w:pPr>
            <w:r/>
            <w:r>
              <w:rPr>
                <w:rFonts w:ascii="Aptos" w:hAnsi="Aptos"/>
                <w:b w:val="0"/>
                <w:sz w:val="15"/>
              </w:rPr>
              <w:t>Material source-boundary concentration</w:t>
            </w:r>
          </w:p>
        </w:tc>
        <w:tc>
          <w:tcPr>
            <w:tcW w:type="dxa" w:w="1728"/>
            <w:vAlign w:val="center"/>
          </w:tcPr>
          <w:p>
            <w:pPr>
              <w:spacing w:after="0" w:before="0"/>
            </w:pPr>
            <w:r/>
            <w:r>
              <w:rPr>
                <w:rFonts w:ascii="Aptos" w:hAnsi="Aptos"/>
                <w:b w:val="0"/>
                <w:sz w:val="15"/>
              </w:rPr>
              <w:t>LIMITATION</w:t>
            </w:r>
          </w:p>
        </w:tc>
      </w:tr>
    </w:tbl>
    <w:p>
      <w:pPr>
        <w:spacing w:after="20"/>
      </w:pPr>
    </w:p>
    <w:p>
      <w:pPr>
        <w:pStyle w:val="Heading1"/>
      </w:pPr>
      <w:r>
        <w:t>18. Validated dataset statistics</w:t>
      </w:r>
    </w:p>
    <w:tbl>
      <w:tblPr>
        <w:tblStyle w:val="TableGrid"/>
        <w:tblW w:type="auto" w:w="0"/>
        <w:jc w:val="center"/>
        <w:tblLook w:firstColumn="1" w:firstRow="1" w:lastColumn="0" w:lastRow="0" w:noHBand="0" w:noVBand="1" w:val="04A0"/>
      </w:tblPr>
      <w:tblGrid>
        <w:gridCol w:w="5112"/>
        <w:gridCol w:w="5112"/>
      </w:tblGrid>
      <w:tr>
        <w:tc>
          <w:tcPr>
            <w:tcW w:type="dxa" w:w="5472"/>
            <w:vAlign w:val="center"/>
            <w:shd w:fill="315A7D"/>
          </w:tcPr>
          <w:p>
            <w:pPr>
              <w:spacing w:after="0" w:before="0"/>
            </w:pPr>
            <w:r/>
            <w:r>
              <w:rPr>
                <w:rFonts w:ascii="Aptos" w:hAnsi="Aptos"/>
                <w:b/>
                <w:color w:val="FFFFFF"/>
                <w:sz w:val="17"/>
              </w:rPr>
              <w:t>Metric</w:t>
            </w:r>
          </w:p>
        </w:tc>
        <w:tc>
          <w:tcPr>
            <w:tcW w:type="dxa" w:w="4608"/>
            <w:vAlign w:val="center"/>
            <w:shd w:fill="315A7D"/>
          </w:tcPr>
          <w:p>
            <w:pPr>
              <w:spacing w:after="0" w:before="0"/>
            </w:pPr>
            <w:r/>
            <w:r>
              <w:rPr>
                <w:rFonts w:ascii="Aptos" w:hAnsi="Aptos"/>
                <w:b/>
                <w:color w:val="FFFFFF"/>
                <w:sz w:val="17"/>
              </w:rPr>
              <w:t>Validated value</w:t>
            </w:r>
          </w:p>
        </w:tc>
      </w:tr>
      <w:tr>
        <w:tc>
          <w:tcPr>
            <w:tcW w:type="dxa" w:w="5472"/>
            <w:vAlign w:val="center"/>
          </w:tcPr>
          <w:p>
            <w:pPr>
              <w:spacing w:after="0" w:before="0"/>
            </w:pPr>
            <w:r/>
            <w:r>
              <w:rPr>
                <w:rFonts w:ascii="Aptos" w:hAnsi="Aptos"/>
                <w:b w:val="0"/>
                <w:sz w:val="17"/>
              </w:rPr>
              <w:t>Final analytical population</w:t>
            </w:r>
          </w:p>
        </w:tc>
        <w:tc>
          <w:tcPr>
            <w:tcW w:type="dxa" w:w="4608"/>
            <w:vAlign w:val="center"/>
          </w:tcPr>
          <w:p>
            <w:pPr>
              <w:spacing w:after="0" w:before="0"/>
            </w:pPr>
            <w:r/>
            <w:r>
              <w:rPr>
                <w:rFonts w:ascii="Aptos" w:hAnsi="Aptos"/>
                <w:b w:val="0"/>
                <w:sz w:val="17"/>
              </w:rPr>
              <w:t>688,589 parties</w:t>
            </w:r>
          </w:p>
        </w:tc>
      </w:tr>
      <w:tr>
        <w:tc>
          <w:tcPr>
            <w:tcW w:type="dxa" w:w="5472"/>
            <w:vAlign w:val="center"/>
            <w:shd w:fill="F6F9FC"/>
          </w:tcPr>
          <w:p>
            <w:pPr>
              <w:spacing w:after="0" w:before="0"/>
            </w:pPr>
            <w:r/>
            <w:r>
              <w:rPr>
                <w:rFonts w:ascii="Aptos" w:hAnsi="Aptos"/>
                <w:b w:val="0"/>
                <w:sz w:val="17"/>
              </w:rPr>
              <w:t>Positive cases</w:t>
            </w:r>
          </w:p>
        </w:tc>
        <w:tc>
          <w:tcPr>
            <w:tcW w:type="dxa" w:w="4608"/>
            <w:vAlign w:val="center"/>
            <w:shd w:fill="F6F9FC"/>
          </w:tcPr>
          <w:p>
            <w:pPr>
              <w:spacing w:after="0" w:before="0"/>
            </w:pPr>
            <w:r/>
            <w:r>
              <w:rPr>
                <w:rFonts w:ascii="Aptos" w:hAnsi="Aptos"/>
                <w:b w:val="0"/>
                <w:sz w:val="17"/>
              </w:rPr>
              <w:t>62,599</w:t>
            </w:r>
          </w:p>
        </w:tc>
      </w:tr>
      <w:tr>
        <w:tc>
          <w:tcPr>
            <w:tcW w:type="dxa" w:w="5472"/>
            <w:vAlign w:val="center"/>
          </w:tcPr>
          <w:p>
            <w:pPr>
              <w:spacing w:after="0" w:before="0"/>
            </w:pPr>
            <w:r/>
            <w:r>
              <w:rPr>
                <w:rFonts w:ascii="Aptos" w:hAnsi="Aptos"/>
                <w:b w:val="0"/>
                <w:sz w:val="17"/>
              </w:rPr>
              <w:t>Negative controls</w:t>
            </w:r>
          </w:p>
        </w:tc>
        <w:tc>
          <w:tcPr>
            <w:tcW w:type="dxa" w:w="4608"/>
            <w:vAlign w:val="center"/>
          </w:tcPr>
          <w:p>
            <w:pPr>
              <w:spacing w:after="0" w:before="0"/>
            </w:pPr>
            <w:r/>
            <w:r>
              <w:rPr>
                <w:rFonts w:ascii="Aptos" w:hAnsi="Aptos"/>
                <w:b w:val="0"/>
                <w:sz w:val="17"/>
              </w:rPr>
              <w:t>625,990</w:t>
            </w:r>
          </w:p>
        </w:tc>
      </w:tr>
      <w:tr>
        <w:tc>
          <w:tcPr>
            <w:tcW w:type="dxa" w:w="5472"/>
            <w:vAlign w:val="center"/>
            <w:shd w:fill="F6F9FC"/>
          </w:tcPr>
          <w:p>
            <w:pPr>
              <w:spacing w:after="0" w:before="0"/>
            </w:pPr>
            <w:r/>
            <w:r>
              <w:rPr>
                <w:rFonts w:ascii="Aptos" w:hAnsi="Aptos"/>
                <w:b w:val="0"/>
                <w:sz w:val="17"/>
              </w:rPr>
              <w:t>Sample event rate</w:t>
            </w:r>
          </w:p>
        </w:tc>
        <w:tc>
          <w:tcPr>
            <w:tcW w:type="dxa" w:w="4608"/>
            <w:vAlign w:val="center"/>
            <w:shd w:fill="F6F9FC"/>
          </w:tcPr>
          <w:p>
            <w:pPr>
              <w:spacing w:after="0" w:before="0"/>
            </w:pPr>
            <w:r/>
            <w:r>
              <w:rPr>
                <w:rFonts w:ascii="Aptos" w:hAnsi="Aptos"/>
                <w:b w:val="0"/>
                <w:sz w:val="17"/>
              </w:rPr>
              <w:t>9.0909%</w:t>
            </w:r>
          </w:p>
        </w:tc>
      </w:tr>
      <w:tr>
        <w:tc>
          <w:tcPr>
            <w:tcW w:type="dxa" w:w="5472"/>
            <w:vAlign w:val="center"/>
          </w:tcPr>
          <w:p>
            <w:pPr>
              <w:spacing w:after="0" w:before="0"/>
            </w:pPr>
            <w:r/>
            <w:r>
              <w:rPr>
                <w:rFonts w:ascii="Aptos" w:hAnsi="Aptos"/>
                <w:b w:val="0"/>
                <w:sz w:val="17"/>
              </w:rPr>
              <w:t>Observation months</w:t>
            </w:r>
          </w:p>
        </w:tc>
        <w:tc>
          <w:tcPr>
            <w:tcW w:type="dxa" w:w="4608"/>
            <w:vAlign w:val="center"/>
          </w:tcPr>
          <w:p>
            <w:pPr>
              <w:spacing w:after="0" w:before="0"/>
            </w:pPr>
            <w:r/>
            <w:r>
              <w:rPr>
                <w:rFonts w:ascii="Aptos" w:hAnsi="Aptos"/>
                <w:b w:val="0"/>
                <w:sz w:val="17"/>
              </w:rPr>
              <w:t>48</w:t>
            </w:r>
          </w:p>
        </w:tc>
      </w:tr>
      <w:tr>
        <w:tc>
          <w:tcPr>
            <w:tcW w:type="dxa" w:w="5472"/>
            <w:vAlign w:val="center"/>
            <w:shd w:fill="F6F9FC"/>
          </w:tcPr>
          <w:p>
            <w:pPr>
              <w:spacing w:after="0" w:before="0"/>
            </w:pPr>
            <w:r/>
            <w:r>
              <w:rPr>
                <w:rFonts w:ascii="Aptos" w:hAnsi="Aptos"/>
                <w:b w:val="0"/>
                <w:sz w:val="17"/>
              </w:rPr>
              <w:t>Feature months per party</w:t>
            </w:r>
          </w:p>
        </w:tc>
        <w:tc>
          <w:tcPr>
            <w:tcW w:type="dxa" w:w="4608"/>
            <w:vAlign w:val="center"/>
            <w:shd w:fill="F6F9FC"/>
          </w:tcPr>
          <w:p>
            <w:pPr>
              <w:spacing w:after="0" w:before="0"/>
            </w:pPr>
            <w:r/>
            <w:r>
              <w:rPr>
                <w:rFonts w:ascii="Aptos" w:hAnsi="Aptos"/>
                <w:b w:val="0"/>
                <w:sz w:val="17"/>
              </w:rPr>
              <w:t>12</w:t>
            </w:r>
          </w:p>
        </w:tc>
      </w:tr>
      <w:tr>
        <w:tc>
          <w:tcPr>
            <w:tcW w:type="dxa" w:w="5472"/>
            <w:vAlign w:val="center"/>
          </w:tcPr>
          <w:p>
            <w:pPr>
              <w:spacing w:after="0" w:before="0"/>
            </w:pPr>
            <w:r/>
            <w:r>
              <w:rPr>
                <w:rFonts w:ascii="Aptos" w:hAnsi="Aptos"/>
                <w:b w:val="0"/>
                <w:sz w:val="17"/>
              </w:rPr>
              <w:t>Technical months per party</w:t>
            </w:r>
          </w:p>
        </w:tc>
        <w:tc>
          <w:tcPr>
            <w:tcW w:type="dxa" w:w="4608"/>
            <w:vAlign w:val="center"/>
          </w:tcPr>
          <w:p>
            <w:pPr>
              <w:spacing w:after="0" w:before="0"/>
            </w:pPr>
            <w:r/>
            <w:r>
              <w:rPr>
                <w:rFonts w:ascii="Aptos" w:hAnsi="Aptos"/>
                <w:b w:val="0"/>
                <w:sz w:val="17"/>
              </w:rPr>
              <w:t>13 including SEED</w:t>
            </w:r>
          </w:p>
        </w:tc>
      </w:tr>
      <w:tr>
        <w:tc>
          <w:tcPr>
            <w:tcW w:type="dxa" w:w="5472"/>
            <w:vAlign w:val="center"/>
            <w:shd w:fill="F6F9FC"/>
          </w:tcPr>
          <w:p>
            <w:pPr>
              <w:spacing w:after="0" w:before="0"/>
            </w:pPr>
            <w:r/>
            <w:r>
              <w:rPr>
                <w:rFonts w:ascii="Aptos" w:hAnsi="Aptos"/>
                <w:b w:val="0"/>
                <w:sz w:val="17"/>
              </w:rPr>
              <w:t>Party-month rows</w:t>
            </w:r>
          </w:p>
        </w:tc>
        <w:tc>
          <w:tcPr>
            <w:tcW w:type="dxa" w:w="4608"/>
            <w:vAlign w:val="center"/>
            <w:shd w:fill="F6F9FC"/>
          </w:tcPr>
          <w:p>
            <w:pPr>
              <w:spacing w:after="0" w:before="0"/>
            </w:pPr>
            <w:r/>
            <w:r>
              <w:rPr>
                <w:rFonts w:ascii="Aptos" w:hAnsi="Aptos"/>
                <w:b w:val="0"/>
                <w:sz w:val="17"/>
              </w:rPr>
              <w:t>8,263,068</w:t>
            </w:r>
          </w:p>
        </w:tc>
      </w:tr>
      <w:tr>
        <w:tc>
          <w:tcPr>
            <w:tcW w:type="dxa" w:w="5472"/>
            <w:vAlign w:val="center"/>
          </w:tcPr>
          <w:p>
            <w:pPr>
              <w:spacing w:after="0" w:before="0"/>
            </w:pPr>
            <w:r/>
            <w:r>
              <w:rPr>
                <w:rFonts w:ascii="Aptos" w:hAnsi="Aptos"/>
                <w:b w:val="0"/>
                <w:sz w:val="17"/>
              </w:rPr>
              <w:t>Point-in-time trade rows</w:t>
            </w:r>
          </w:p>
        </w:tc>
        <w:tc>
          <w:tcPr>
            <w:tcW w:type="dxa" w:w="4608"/>
            <w:vAlign w:val="center"/>
          </w:tcPr>
          <w:p>
            <w:pPr>
              <w:spacing w:after="0" w:before="0"/>
            </w:pPr>
            <w:r/>
            <w:r>
              <w:rPr>
                <w:rFonts w:ascii="Aptos" w:hAnsi="Aptos"/>
                <w:b w:val="0"/>
                <w:sz w:val="17"/>
              </w:rPr>
              <w:t>98,051,779</w:t>
            </w:r>
          </w:p>
        </w:tc>
      </w:tr>
      <w:tr>
        <w:tc>
          <w:tcPr>
            <w:tcW w:type="dxa" w:w="5472"/>
            <w:vAlign w:val="center"/>
            <w:shd w:fill="F6F9FC"/>
          </w:tcPr>
          <w:p>
            <w:pPr>
              <w:spacing w:after="0" w:before="0"/>
            </w:pPr>
            <w:r/>
            <w:r>
              <w:rPr>
                <w:rFonts w:ascii="Aptos" w:hAnsi="Aptos"/>
                <w:b w:val="0"/>
                <w:sz w:val="17"/>
              </w:rPr>
              <w:t>TRAIN 2022–2023</w:t>
            </w:r>
          </w:p>
        </w:tc>
        <w:tc>
          <w:tcPr>
            <w:tcW w:type="dxa" w:w="4608"/>
            <w:vAlign w:val="center"/>
            <w:shd w:fill="F6F9FC"/>
          </w:tcPr>
          <w:p>
            <w:pPr>
              <w:spacing w:after="0" w:before="0"/>
            </w:pPr>
            <w:r/>
            <w:r>
              <w:rPr>
                <w:rFonts w:ascii="Aptos" w:hAnsi="Aptos"/>
                <w:b w:val="0"/>
                <w:sz w:val="17"/>
              </w:rPr>
              <w:t>27,033 positives + 270,330 controls</w:t>
            </w:r>
          </w:p>
        </w:tc>
      </w:tr>
      <w:tr>
        <w:tc>
          <w:tcPr>
            <w:tcW w:type="dxa" w:w="5472"/>
            <w:vAlign w:val="center"/>
          </w:tcPr>
          <w:p>
            <w:pPr>
              <w:spacing w:after="0" w:before="0"/>
            </w:pPr>
            <w:r/>
            <w:r>
              <w:rPr>
                <w:rFonts w:ascii="Aptos" w:hAnsi="Aptos"/>
                <w:b w:val="0"/>
                <w:sz w:val="17"/>
              </w:rPr>
              <w:t>VALIDATION 2024</w:t>
            </w:r>
          </w:p>
        </w:tc>
        <w:tc>
          <w:tcPr>
            <w:tcW w:type="dxa" w:w="4608"/>
            <w:vAlign w:val="center"/>
          </w:tcPr>
          <w:p>
            <w:pPr>
              <w:spacing w:after="0" w:before="0"/>
            </w:pPr>
            <w:r/>
            <w:r>
              <w:rPr>
                <w:rFonts w:ascii="Aptos" w:hAnsi="Aptos"/>
                <w:b w:val="0"/>
                <w:sz w:val="17"/>
              </w:rPr>
              <w:t>23,557 positives + 235,570 controls</w:t>
            </w:r>
          </w:p>
        </w:tc>
      </w:tr>
      <w:tr>
        <w:tc>
          <w:tcPr>
            <w:tcW w:type="dxa" w:w="5472"/>
            <w:vAlign w:val="center"/>
            <w:shd w:fill="F6F9FC"/>
          </w:tcPr>
          <w:p>
            <w:pPr>
              <w:spacing w:after="0" w:before="0"/>
            </w:pPr>
            <w:r/>
            <w:r>
              <w:rPr>
                <w:rFonts w:ascii="Aptos" w:hAnsi="Aptos"/>
                <w:b w:val="0"/>
                <w:sz w:val="17"/>
              </w:rPr>
              <w:t>TEST 2025</w:t>
            </w:r>
          </w:p>
        </w:tc>
        <w:tc>
          <w:tcPr>
            <w:tcW w:type="dxa" w:w="4608"/>
            <w:vAlign w:val="center"/>
            <w:shd w:fill="F6F9FC"/>
          </w:tcPr>
          <w:p>
            <w:pPr>
              <w:spacing w:after="0" w:before="0"/>
            </w:pPr>
            <w:r/>
            <w:r>
              <w:rPr>
                <w:rFonts w:ascii="Aptos" w:hAnsi="Aptos"/>
                <w:b w:val="0"/>
                <w:sz w:val="17"/>
              </w:rPr>
              <w:t>12,009 positives + 120,090 controls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7E6"/>
          </w:tcPr>
          <w:p>
            <w:pPr>
              <w:spacing w:after="0"/>
            </w:pPr>
            <w:r/>
            <w:r>
              <w:rPr>
                <w:b/>
                <w:color w:val="8A5A00"/>
                <w:sz w:val="17"/>
              </w:rPr>
              <w:t xml:space="preserve">Reporting discipline: </w:t>
            </w:r>
            <w:r>
              <w:rPr>
                <w:sz w:val="17"/>
              </w:rPr>
              <w:t>The temporal split is an internal model-development control. It was intentionally omitted from the EDA and Feature Validation communication decks, but is included here because this document is a technical system specification.</w:t>
            </w:r>
          </w:p>
        </w:tc>
      </w:tr>
    </w:tbl>
    <w:p>
      <w:pPr>
        <w:spacing w:after="0"/>
      </w:pPr>
    </w:p>
    <w:p>
      <w:pPr>
        <w:pStyle w:val="Heading1"/>
      </w:pPr>
      <w:r>
        <w:t>19. Calculation reference and formula catalogue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315A7D"/>
          </w:tcPr>
          <w:p>
            <w:pPr>
              <w:spacing w:after="0" w:before="0"/>
            </w:pPr>
            <w:r/>
            <w:r>
              <w:rPr>
                <w:rFonts w:ascii="Aptos" w:hAnsi="Aptos"/>
                <w:b/>
                <w:color w:val="FFFFFF"/>
                <w:sz w:val="15"/>
              </w:rPr>
              <w:t>Calculation</w:t>
            </w:r>
          </w:p>
        </w:tc>
        <w:tc>
          <w:tcPr>
            <w:tcW w:type="dxa" w:w="4032"/>
            <w:vAlign w:val="center"/>
            <w:shd w:fill="315A7D"/>
          </w:tcPr>
          <w:p>
            <w:pPr>
              <w:spacing w:after="0" w:before="0"/>
            </w:pPr>
            <w:r/>
            <w:r>
              <w:rPr>
                <w:rFonts w:ascii="Aptos" w:hAnsi="Aptos"/>
                <w:b/>
                <w:color w:val="FFFFFF"/>
                <w:sz w:val="15"/>
              </w:rPr>
              <w:t>Formula</w:t>
            </w:r>
          </w:p>
        </w:tc>
        <w:tc>
          <w:tcPr>
            <w:tcW w:type="dxa" w:w="3888"/>
            <w:vAlign w:val="center"/>
            <w:shd w:fill="315A7D"/>
          </w:tcPr>
          <w:p>
            <w:pPr>
              <w:spacing w:after="0" w:before="0"/>
            </w:pPr>
            <w:r/>
            <w:r>
              <w:rPr>
                <w:rFonts w:ascii="Aptos" w:hAnsi="Aptos"/>
                <w:b/>
                <w:color w:val="FFFFFF"/>
                <w:sz w:val="15"/>
              </w:rPr>
              <w:t>Purpose</w:t>
            </w:r>
          </w:p>
        </w:tc>
      </w:tr>
      <w:tr>
        <w:tc>
          <w:tcPr>
            <w:tcW w:type="dxa" w:w="2592"/>
            <w:vAlign w:val="center"/>
          </w:tcPr>
          <w:p>
            <w:pPr>
              <w:spacing w:after="0" w:before="0"/>
            </w:pPr>
            <w:r/>
            <w:r>
              <w:rPr>
                <w:rFonts w:ascii="Aptos" w:hAnsi="Aptos"/>
                <w:b w:val="0"/>
                <w:sz w:val="15"/>
              </w:rPr>
              <w:t>Window change</w:t>
            </w:r>
          </w:p>
        </w:tc>
        <w:tc>
          <w:tcPr>
            <w:tcW w:type="dxa" w:w="4032"/>
            <w:vAlign w:val="center"/>
          </w:tcPr>
          <w:p>
            <w:pPr>
              <w:spacing w:after="0" w:before="0"/>
            </w:pPr>
            <w:r/>
            <w:r>
              <w:rPr>
                <w:rFonts w:ascii="Aptos" w:hAnsi="Aptos"/>
                <w:b w:val="0"/>
                <w:sz w:val="15"/>
              </w:rPr>
              <w:t>ΔX = mean(X)_Recent3 − mean(X)_Prior9</w:t>
            </w:r>
          </w:p>
        </w:tc>
        <w:tc>
          <w:tcPr>
            <w:tcW w:type="dxa" w:w="3888"/>
            <w:vAlign w:val="center"/>
          </w:tcPr>
          <w:p>
            <w:pPr>
              <w:spacing w:after="0" w:before="0"/>
            </w:pPr>
            <w:r/>
            <w:r>
              <w:rPr>
                <w:rFonts w:ascii="Aptos" w:hAnsi="Aptos"/>
                <w:b w:val="0"/>
                <w:sz w:val="15"/>
              </w:rPr>
              <w:t>Generic signed change used for active accounts, balance, past due, delinquency share and utilization.</w:t>
            </w:r>
          </w:p>
        </w:tc>
      </w:tr>
      <w:tr>
        <w:tc>
          <w:tcPr>
            <w:tcW w:type="dxa" w:w="2592"/>
            <w:vAlign w:val="center"/>
            <w:shd w:fill="F6F9FC"/>
          </w:tcPr>
          <w:p>
            <w:pPr>
              <w:spacing w:after="0" w:before="0"/>
            </w:pPr>
            <w:r/>
            <w:r>
              <w:rPr>
                <w:rFonts w:ascii="Aptos" w:hAnsi="Aptos"/>
                <w:b w:val="0"/>
                <w:sz w:val="15"/>
              </w:rPr>
              <w:t>Event acceleration</w:t>
            </w:r>
          </w:p>
        </w:tc>
        <w:tc>
          <w:tcPr>
            <w:tcW w:type="dxa" w:w="4032"/>
            <w:vAlign w:val="center"/>
            <w:shd w:fill="F6F9FC"/>
          </w:tcPr>
          <w:p>
            <w:pPr>
              <w:spacing w:after="0" w:before="0"/>
            </w:pPr>
            <w:r/>
            <w:r>
              <w:rPr>
                <w:rFonts w:ascii="Aptos" w:hAnsi="Aptos"/>
                <w:b w:val="0"/>
                <w:sz w:val="15"/>
              </w:rPr>
              <w:t>Accel(E) = ΣE_Recent/3 − ΣE_Prior/9</w:t>
            </w:r>
          </w:p>
        </w:tc>
        <w:tc>
          <w:tcPr>
            <w:tcW w:type="dxa" w:w="3888"/>
            <w:vAlign w:val="center"/>
            <w:shd w:fill="F6F9FC"/>
          </w:tcPr>
          <w:p>
            <w:pPr>
              <w:spacing w:after="0" w:before="0"/>
            </w:pPr>
            <w:r/>
            <w:r>
              <w:rPr>
                <w:rFonts w:ascii="Aptos" w:hAnsi="Aptos"/>
                <w:b w:val="0"/>
                <w:sz w:val="15"/>
              </w:rPr>
              <w:t>Normalizes sparse event counts by window length before differencing.</w:t>
            </w:r>
          </w:p>
        </w:tc>
      </w:tr>
      <w:tr>
        <w:tc>
          <w:tcPr>
            <w:tcW w:type="dxa" w:w="2592"/>
            <w:vAlign w:val="center"/>
          </w:tcPr>
          <w:p>
            <w:pPr>
              <w:spacing w:after="0" w:before="0"/>
            </w:pPr>
            <w:r/>
            <w:r>
              <w:rPr>
                <w:rFonts w:ascii="Aptos" w:hAnsi="Aptos"/>
                <w:b w:val="0"/>
                <w:sz w:val="15"/>
              </w:rPr>
              <w:t>Active changed flag</w:t>
            </w:r>
          </w:p>
        </w:tc>
        <w:tc>
          <w:tcPr>
            <w:tcW w:type="dxa" w:w="4032"/>
            <w:vAlign w:val="center"/>
          </w:tcPr>
          <w:p>
            <w:pPr>
              <w:spacing w:after="0" w:before="0"/>
            </w:pPr>
            <w:r/>
            <w:r>
              <w:rPr>
                <w:rFonts w:ascii="Aptos" w:hAnsi="Aptos"/>
                <w:b w:val="0"/>
                <w:sz w:val="15"/>
              </w:rPr>
              <w:t>1{ΔActive ≠ 0}</w:t>
            </w:r>
          </w:p>
        </w:tc>
        <w:tc>
          <w:tcPr>
            <w:tcW w:type="dxa" w:w="3888"/>
            <w:vAlign w:val="center"/>
          </w:tcPr>
          <w:p>
            <w:pPr>
              <w:spacing w:after="0" w:before="0"/>
            </w:pPr>
            <w:r/>
            <w:r>
              <w:rPr>
                <w:rFonts w:ascii="Aptos" w:hAnsi="Aptos"/>
                <w:b w:val="0"/>
                <w:sz w:val="15"/>
              </w:rPr>
              <w:t>Captures structural change regardless of direction.</w:t>
            </w:r>
          </w:p>
        </w:tc>
      </w:tr>
      <w:tr>
        <w:tc>
          <w:tcPr>
            <w:tcW w:type="dxa" w:w="2592"/>
            <w:vAlign w:val="center"/>
            <w:shd w:fill="F6F9FC"/>
          </w:tcPr>
          <w:p>
            <w:pPr>
              <w:spacing w:after="0" w:before="0"/>
            </w:pPr>
            <w:r/>
            <w:r>
              <w:rPr>
                <w:rFonts w:ascii="Aptos" w:hAnsi="Aptos"/>
                <w:b w:val="0"/>
                <w:sz w:val="15"/>
              </w:rPr>
              <w:t>Balance magnitude</w:t>
            </w:r>
          </w:p>
        </w:tc>
        <w:tc>
          <w:tcPr>
            <w:tcW w:type="dxa" w:w="4032"/>
            <w:vAlign w:val="center"/>
            <w:shd w:fill="F6F9FC"/>
          </w:tcPr>
          <w:p>
            <w:pPr>
              <w:spacing w:after="0" w:before="0"/>
            </w:pPr>
            <w:r/>
            <w:r>
              <w:rPr>
                <w:rFonts w:ascii="Aptos" w:hAnsi="Aptos"/>
                <w:b w:val="0"/>
                <w:sz w:val="15"/>
              </w:rPr>
              <w:t>ln(1 + |ΔBalance|)</w:t>
            </w:r>
          </w:p>
        </w:tc>
        <w:tc>
          <w:tcPr>
            <w:tcW w:type="dxa" w:w="3888"/>
            <w:vAlign w:val="center"/>
            <w:shd w:fill="F6F9FC"/>
          </w:tcPr>
          <w:p>
            <w:pPr>
              <w:spacing w:after="0" w:before="0"/>
            </w:pPr>
            <w:r/>
            <w:r>
              <w:rPr>
                <w:rFonts w:ascii="Aptos" w:hAnsi="Aptos"/>
                <w:b w:val="0"/>
                <w:sz w:val="15"/>
              </w:rPr>
              <w:t>Robust magnitude representation for U-shaped signed relationship.</w:t>
            </w:r>
          </w:p>
        </w:tc>
      </w:tr>
      <w:tr>
        <w:tc>
          <w:tcPr>
            <w:tcW w:type="dxa" w:w="2592"/>
            <w:vAlign w:val="center"/>
          </w:tcPr>
          <w:p>
            <w:pPr>
              <w:spacing w:after="0" w:before="0"/>
            </w:pPr>
            <w:r/>
            <w:r>
              <w:rPr>
                <w:rFonts w:ascii="Aptos" w:hAnsi="Aptos"/>
                <w:b w:val="0"/>
                <w:sz w:val="15"/>
              </w:rPr>
              <w:t>Average utilization</w:t>
            </w:r>
          </w:p>
        </w:tc>
        <w:tc>
          <w:tcPr>
            <w:tcW w:type="dxa" w:w="4032"/>
            <w:vAlign w:val="center"/>
          </w:tcPr>
          <w:p>
            <w:pPr>
              <w:spacing w:after="0" w:before="0"/>
            </w:pPr>
            <w:r/>
            <w:r>
              <w:rPr>
                <w:rFonts w:ascii="Aptos" w:hAnsi="Aptos"/>
                <w:b w:val="0"/>
                <w:sz w:val="15"/>
              </w:rPr>
              <w:t>mean_i(Balance_i / Limit_i)</w:t>
            </w:r>
          </w:p>
        </w:tc>
        <w:tc>
          <w:tcPr>
            <w:tcW w:type="dxa" w:w="3888"/>
            <w:vAlign w:val="center"/>
          </w:tcPr>
          <w:p>
            <w:pPr>
              <w:spacing w:after="0" w:before="0"/>
            </w:pPr>
            <w:r/>
            <w:r>
              <w:rPr>
                <w:rFonts w:ascii="Aptos" w:hAnsi="Aptos"/>
                <w:b w:val="0"/>
                <w:sz w:val="15"/>
              </w:rPr>
              <w:t>Equal weight across eligible accounts.</w:t>
            </w:r>
          </w:p>
        </w:tc>
      </w:tr>
      <w:tr>
        <w:tc>
          <w:tcPr>
            <w:tcW w:type="dxa" w:w="2592"/>
            <w:vAlign w:val="center"/>
            <w:shd w:fill="F6F9FC"/>
          </w:tcPr>
          <w:p>
            <w:pPr>
              <w:spacing w:after="0" w:before="0"/>
            </w:pPr>
            <w:r/>
            <w:r>
              <w:rPr>
                <w:rFonts w:ascii="Aptos" w:hAnsi="Aptos"/>
                <w:b w:val="0"/>
                <w:sz w:val="15"/>
              </w:rPr>
              <w:t>Weighted utilization</w:t>
            </w:r>
          </w:p>
        </w:tc>
        <w:tc>
          <w:tcPr>
            <w:tcW w:type="dxa" w:w="4032"/>
            <w:vAlign w:val="center"/>
            <w:shd w:fill="F6F9FC"/>
          </w:tcPr>
          <w:p>
            <w:pPr>
              <w:spacing w:after="0" w:before="0"/>
            </w:pPr>
            <w:r/>
            <w:r>
              <w:rPr>
                <w:rFonts w:ascii="Aptos" w:hAnsi="Aptos"/>
                <w:b w:val="0"/>
                <w:sz w:val="15"/>
              </w:rPr>
              <w:t>Σ Balance_i / Σ Limit_i</w:t>
            </w:r>
          </w:p>
        </w:tc>
        <w:tc>
          <w:tcPr>
            <w:tcW w:type="dxa" w:w="3888"/>
            <w:vAlign w:val="center"/>
            <w:shd w:fill="F6F9FC"/>
          </w:tcPr>
          <w:p>
            <w:pPr>
              <w:spacing w:after="0" w:before="0"/>
            </w:pPr>
            <w:r/>
            <w:r>
              <w:rPr>
                <w:rFonts w:ascii="Aptos" w:hAnsi="Aptos"/>
                <w:b w:val="0"/>
                <w:sz w:val="15"/>
              </w:rPr>
              <w:t>Weights account utilization by credit limit / exposure.</w:t>
            </w:r>
          </w:p>
        </w:tc>
      </w:tr>
      <w:tr>
        <w:tc>
          <w:tcPr>
            <w:tcW w:type="dxa" w:w="2592"/>
            <w:vAlign w:val="center"/>
          </w:tcPr>
          <w:p>
            <w:pPr>
              <w:spacing w:after="0" w:before="0"/>
            </w:pPr>
            <w:r/>
            <w:r>
              <w:rPr>
                <w:rFonts w:ascii="Aptos" w:hAnsi="Aptos"/>
                <w:b w:val="0"/>
                <w:sz w:val="15"/>
              </w:rPr>
              <w:t>Delinquency share</w:t>
            </w:r>
          </w:p>
        </w:tc>
        <w:tc>
          <w:tcPr>
            <w:tcW w:type="dxa" w:w="4032"/>
            <w:vAlign w:val="center"/>
          </w:tcPr>
          <w:p>
            <w:pPr>
              <w:spacing w:after="0" w:before="0"/>
            </w:pPr>
            <w:r/>
            <w:r>
              <w:rPr>
                <w:rFonts w:ascii="Aptos" w:hAnsi="Aptos"/>
                <w:b w:val="0"/>
                <w:sz w:val="15"/>
              </w:rPr>
              <w:t>Delinquent active accounts / Rated active accounts</w:t>
            </w:r>
          </w:p>
        </w:tc>
        <w:tc>
          <w:tcPr>
            <w:tcW w:type="dxa" w:w="3888"/>
            <w:vAlign w:val="center"/>
          </w:tcPr>
          <w:p>
            <w:pPr>
              <w:spacing w:after="0" w:before="0"/>
            </w:pPr>
            <w:r/>
            <w:r>
              <w:rPr>
                <w:rFonts w:ascii="Aptos" w:hAnsi="Aptos"/>
                <w:b w:val="0"/>
                <w:sz w:val="15"/>
              </w:rPr>
              <w:t>Monthly concentration of delinquent active accounts.</w:t>
            </w:r>
          </w:p>
        </w:tc>
      </w:tr>
      <w:tr>
        <w:tc>
          <w:tcPr>
            <w:tcW w:type="dxa" w:w="2592"/>
            <w:vAlign w:val="center"/>
            <w:shd w:fill="F6F9FC"/>
          </w:tcPr>
          <w:p>
            <w:pPr>
              <w:spacing w:after="0" w:before="0"/>
            </w:pPr>
            <w:r/>
            <w:r>
              <w:rPr>
                <w:rFonts w:ascii="Aptos" w:hAnsi="Aptos"/>
                <w:b w:val="0"/>
                <w:sz w:val="15"/>
              </w:rPr>
              <w:t>Z-score</w:t>
            </w:r>
          </w:p>
        </w:tc>
        <w:tc>
          <w:tcPr>
            <w:tcW w:type="dxa" w:w="4032"/>
            <w:vAlign w:val="center"/>
            <w:shd w:fill="F6F9FC"/>
          </w:tcPr>
          <w:p>
            <w:pPr>
              <w:spacing w:after="0" w:before="0"/>
            </w:pPr>
            <w:r/>
            <w:r>
              <w:rPr>
                <w:rFonts w:ascii="Aptos" w:hAnsi="Aptos"/>
                <w:b w:val="0"/>
                <w:sz w:val="15"/>
              </w:rPr>
              <w:t>(mean_Recent − mean_Prior) / (SD_Prior / √3)</w:t>
            </w:r>
          </w:p>
        </w:tc>
        <w:tc>
          <w:tcPr>
            <w:tcW w:type="dxa" w:w="3888"/>
            <w:vAlign w:val="center"/>
            <w:shd w:fill="F6F9FC"/>
          </w:tcPr>
          <w:p>
            <w:pPr>
              <w:spacing w:after="0" w:before="0"/>
            </w:pPr>
            <w:r/>
            <w:r>
              <w:rPr>
                <w:rFonts w:ascii="Aptos" w:hAnsi="Aptos"/>
                <w:b w:val="0"/>
                <w:sz w:val="15"/>
              </w:rPr>
              <w:t>Within-party standardized recent deviation.</w:t>
            </w:r>
          </w:p>
        </w:tc>
      </w:tr>
      <w:tr>
        <w:tc>
          <w:tcPr>
            <w:tcW w:type="dxa" w:w="2592"/>
            <w:vAlign w:val="center"/>
          </w:tcPr>
          <w:p>
            <w:pPr>
              <w:spacing w:after="0" w:before="0"/>
            </w:pPr>
            <w:r/>
            <w:r>
              <w:rPr>
                <w:rFonts w:ascii="Aptos" w:hAnsi="Aptos"/>
                <w:b w:val="0"/>
                <w:sz w:val="15"/>
              </w:rPr>
              <w:t>Availability-aware model value</w:t>
            </w:r>
          </w:p>
        </w:tc>
        <w:tc>
          <w:tcPr>
            <w:tcW w:type="dxa" w:w="4032"/>
            <w:vAlign w:val="center"/>
          </w:tcPr>
          <w:p>
            <w:pPr>
              <w:spacing w:after="0" w:before="0"/>
            </w:pPr>
            <w:r/>
            <w:r>
              <w:rPr>
                <w:rFonts w:ascii="Aptos" w:hAnsi="Aptos"/>
                <w:b w:val="0"/>
                <w:sz w:val="15"/>
              </w:rPr>
              <w:t>model_value = coalesce(raw_feature, 0); availability flag retained separately</w:t>
            </w:r>
          </w:p>
        </w:tc>
        <w:tc>
          <w:tcPr>
            <w:tcW w:type="dxa" w:w="3888"/>
            <w:vAlign w:val="center"/>
          </w:tcPr>
          <w:p>
            <w:pPr>
              <w:spacing w:after="0" w:before="0"/>
            </w:pPr>
            <w:r/>
            <w:r>
              <w:rPr>
                <w:rFonts w:ascii="Aptos" w:hAnsi="Aptos"/>
                <w:b w:val="0"/>
                <w:sz w:val="15"/>
              </w:rPr>
              <w:t>Allows model to distinguish unavailable from a true observed zero.</w:t>
            </w:r>
          </w:p>
        </w:tc>
      </w:tr>
      <w:tr>
        <w:tc>
          <w:tcPr>
            <w:tcW w:type="dxa" w:w="2592"/>
            <w:vAlign w:val="center"/>
            <w:shd w:fill="F6F9FC"/>
          </w:tcPr>
          <w:p>
            <w:pPr>
              <w:spacing w:after="0" w:before="0"/>
            </w:pPr>
            <w:r/>
            <w:r>
              <w:rPr>
                <w:rFonts w:ascii="Aptos" w:hAnsi="Aptos"/>
                <w:b w:val="0"/>
                <w:sz w:val="15"/>
              </w:rPr>
              <w:t>Lift</w:t>
            </w:r>
          </w:p>
        </w:tc>
        <w:tc>
          <w:tcPr>
            <w:tcW w:type="dxa" w:w="4032"/>
            <w:vAlign w:val="center"/>
            <w:shd w:fill="F6F9FC"/>
          </w:tcPr>
          <w:p>
            <w:pPr>
              <w:spacing w:after="0" w:before="0"/>
            </w:pPr>
            <w:r/>
            <w:r>
              <w:rPr>
                <w:rFonts w:ascii="Aptos" w:hAnsi="Aptos"/>
                <w:b w:val="0"/>
                <w:sz w:val="15"/>
              </w:rPr>
              <w:t>group event rate / analytical baseline event rate</w:t>
            </w:r>
          </w:p>
        </w:tc>
        <w:tc>
          <w:tcPr>
            <w:tcW w:type="dxa" w:w="3888"/>
            <w:vAlign w:val="center"/>
            <w:shd w:fill="F6F9FC"/>
          </w:tcPr>
          <w:p>
            <w:pPr>
              <w:spacing w:after="0" w:before="0"/>
            </w:pPr>
            <w:r/>
            <w:r>
              <w:rPr>
                <w:rFonts w:ascii="Aptos" w:hAnsi="Aptos"/>
                <w:b w:val="0"/>
                <w:sz w:val="15"/>
              </w:rPr>
              <w:t>Descriptive feature-validation measure; baseline reflects 1:10 sample design.</w:t>
            </w:r>
          </w:p>
        </w:tc>
      </w:tr>
    </w:tbl>
    <w:p>
      <w:pPr>
        <w:spacing w:after="20"/>
      </w:pPr>
    </w:p>
    <w:p>
      <w:pPr>
        <w:pStyle w:val="Heading1"/>
      </w:pPr>
      <w:r>
        <w:t>20. Table-by-table technical dictionary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160"/>
            <w:vAlign w:val="center"/>
            <w:shd w:fill="315A7D"/>
          </w:tcPr>
          <w:p>
            <w:pPr>
              <w:spacing w:after="0" w:before="0"/>
            </w:pPr>
            <w:r/>
            <w:r>
              <w:rPr>
                <w:rFonts w:ascii="Aptos" w:hAnsi="Aptos"/>
                <w:b/>
                <w:color w:val="FFFFFF"/>
                <w:sz w:val="13"/>
              </w:rPr>
              <w:t>Table</w:t>
            </w:r>
          </w:p>
        </w:tc>
        <w:tc>
          <w:tcPr>
            <w:tcW w:type="dxa" w:w="1296"/>
            <w:vAlign w:val="center"/>
            <w:shd w:fill="315A7D"/>
          </w:tcPr>
          <w:p>
            <w:pPr>
              <w:spacing w:after="0" w:before="0"/>
            </w:pPr>
            <w:r/>
            <w:r>
              <w:rPr>
                <w:rFonts w:ascii="Aptos" w:hAnsi="Aptos"/>
                <w:b/>
                <w:color w:val="FFFFFF"/>
                <w:sz w:val="13"/>
              </w:rPr>
              <w:t>Layer</w:t>
            </w:r>
          </w:p>
        </w:tc>
        <w:tc>
          <w:tcPr>
            <w:tcW w:type="dxa" w:w="1440"/>
            <w:vAlign w:val="center"/>
            <w:shd w:fill="315A7D"/>
          </w:tcPr>
          <w:p>
            <w:pPr>
              <w:spacing w:after="0" w:before="0"/>
            </w:pPr>
            <w:r/>
            <w:r>
              <w:rPr>
                <w:rFonts w:ascii="Aptos" w:hAnsi="Aptos"/>
                <w:b/>
                <w:color w:val="FFFFFF"/>
                <w:sz w:val="13"/>
              </w:rPr>
              <w:t>Grain</w:t>
            </w:r>
          </w:p>
        </w:tc>
        <w:tc>
          <w:tcPr>
            <w:tcW w:type="dxa" w:w="1728"/>
            <w:vAlign w:val="center"/>
            <w:shd w:fill="315A7D"/>
          </w:tcPr>
          <w:p>
            <w:pPr>
              <w:spacing w:after="0" w:before="0"/>
            </w:pPr>
            <w:r/>
            <w:r>
              <w:rPr>
                <w:rFonts w:ascii="Aptos" w:hAnsi="Aptos"/>
                <w:b/>
                <w:color w:val="FFFFFF"/>
                <w:sz w:val="13"/>
              </w:rPr>
              <w:t>Purpose</w:t>
            </w:r>
          </w:p>
        </w:tc>
        <w:tc>
          <w:tcPr>
            <w:tcW w:type="dxa" w:w="2160"/>
            <w:vAlign w:val="center"/>
            <w:shd w:fill="315A7D"/>
          </w:tcPr>
          <w:p>
            <w:pPr>
              <w:spacing w:after="0" w:before="0"/>
            </w:pPr>
            <w:r/>
            <w:r>
              <w:rPr>
                <w:rFonts w:ascii="Aptos" w:hAnsi="Aptos"/>
                <w:b/>
                <w:color w:val="FFFFFF"/>
                <w:sz w:val="13"/>
              </w:rPr>
              <w:t>Key information</w:t>
            </w:r>
          </w:p>
        </w:tc>
        <w:tc>
          <w:tcPr>
            <w:tcW w:type="dxa" w:w="2160"/>
            <w:vAlign w:val="center"/>
            <w:shd w:fill="315A7D"/>
          </w:tcPr>
          <w:p>
            <w:pPr>
              <w:spacing w:after="0" w:before="0"/>
            </w:pPr>
            <w:r/>
            <w:r>
              <w:rPr>
                <w:rFonts w:ascii="Aptos" w:hAnsi="Aptos"/>
                <w:b/>
                <w:color w:val="FFFFFF"/>
                <w:sz w:val="13"/>
              </w:rPr>
              <w:t>Notes</w:t>
            </w:r>
          </w:p>
        </w:tc>
      </w:tr>
      <w:tr>
        <w:tc>
          <w:tcPr>
            <w:tcW w:type="dxa" w:w="2160"/>
            <w:vAlign w:val="center"/>
          </w:tcPr>
          <w:p>
            <w:pPr>
              <w:spacing w:after="0" w:before="0"/>
            </w:pPr>
            <w:r/>
            <w:r>
              <w:rPr>
                <w:rFonts w:ascii="Aptos" w:hAnsi="Aptos"/>
                <w:b w:val="0"/>
                <w:sz w:val="13"/>
              </w:rPr>
              <w:t>bc3.security_alert</w:t>
            </w:r>
          </w:p>
        </w:tc>
        <w:tc>
          <w:tcPr>
            <w:tcW w:type="dxa" w:w="1296"/>
            <w:vAlign w:val="center"/>
          </w:tcPr>
          <w:p>
            <w:pPr>
              <w:spacing w:after="0" w:before="0"/>
            </w:pPr>
            <w:r/>
            <w:r>
              <w:rPr>
                <w:rFonts w:ascii="Aptos" w:hAnsi="Aptos"/>
                <w:b w:val="0"/>
                <w:sz w:val="13"/>
              </w:rPr>
              <w:t>Raw alert source</w:t>
            </w:r>
          </w:p>
        </w:tc>
        <w:tc>
          <w:tcPr>
            <w:tcW w:type="dxa" w:w="1440"/>
            <w:vAlign w:val="center"/>
          </w:tcPr>
          <w:p>
            <w:pPr>
              <w:spacing w:after="0" w:before="0"/>
            </w:pPr>
            <w:r/>
            <w:r>
              <w:rPr>
                <w:rFonts w:ascii="Aptos" w:hAnsi="Aptos"/>
                <w:b w:val="0"/>
                <w:sz w:val="13"/>
              </w:rPr>
              <w:t>Alert/event record</w:t>
            </w:r>
          </w:p>
        </w:tc>
        <w:tc>
          <w:tcPr>
            <w:tcW w:type="dxa" w:w="1728"/>
            <w:vAlign w:val="center"/>
          </w:tcPr>
          <w:p>
            <w:pPr>
              <w:spacing w:after="0" w:before="0"/>
            </w:pPr>
            <w:r/>
            <w:r>
              <w:rPr>
                <w:rFonts w:ascii="Aptos" w:hAnsi="Aptos"/>
                <w:b w:val="0"/>
                <w:sz w:val="13"/>
              </w:rPr>
              <w:t>Outcome derivation</w:t>
            </w:r>
          </w:p>
        </w:tc>
        <w:tc>
          <w:tcPr>
            <w:tcW w:type="dxa" w:w="2160"/>
            <w:vAlign w:val="center"/>
          </w:tcPr>
          <w:p>
            <w:pPr>
              <w:spacing w:after="0" w:before="0"/>
            </w:pPr>
            <w:r/>
            <w:r>
              <w:rPr>
                <w:rFonts w:ascii="Aptos" w:hAnsi="Aptos"/>
                <w:b w:val="0"/>
                <w:sz w:val="13"/>
              </w:rPr>
              <w:t>party_id, crat_dte, alert type</w:t>
            </w:r>
          </w:p>
        </w:tc>
        <w:tc>
          <w:tcPr>
            <w:tcW w:type="dxa" w:w="2160"/>
            <w:vAlign w:val="center"/>
          </w:tcPr>
          <w:p>
            <w:pPr>
              <w:spacing w:after="0" w:before="0"/>
            </w:pPr>
            <w:r/>
            <w:r>
              <w:rPr>
                <w:rFonts w:ascii="Aptos" w:hAnsi="Aptos"/>
                <w:b w:val="0"/>
                <w:sz w:val="13"/>
              </w:rPr>
              <w:t>Raw repeated alert activity; not model-ready.</w:t>
            </w:r>
          </w:p>
        </w:tc>
      </w:tr>
      <w:tr>
        <w:tc>
          <w:tcPr>
            <w:tcW w:type="dxa" w:w="2160"/>
            <w:vAlign w:val="center"/>
            <w:shd w:fill="F6F9FC"/>
          </w:tcPr>
          <w:p>
            <w:pPr>
              <w:spacing w:after="0" w:before="0"/>
            </w:pPr>
            <w:r/>
            <w:r>
              <w:rPr>
                <w:rFonts w:ascii="Aptos" w:hAnsi="Aptos"/>
                <w:b w:val="0"/>
                <w:sz w:val="13"/>
              </w:rPr>
              <w:t>bc3.person_restricted</w:t>
            </w:r>
          </w:p>
        </w:tc>
        <w:tc>
          <w:tcPr>
            <w:tcW w:type="dxa" w:w="1296"/>
            <w:vAlign w:val="center"/>
            <w:shd w:fill="F6F9FC"/>
          </w:tcPr>
          <w:p>
            <w:pPr>
              <w:spacing w:after="0" w:before="0"/>
            </w:pPr>
            <w:r/>
            <w:r>
              <w:rPr>
                <w:rFonts w:ascii="Aptos" w:hAnsi="Aptos"/>
                <w:b w:val="0"/>
                <w:sz w:val="13"/>
              </w:rPr>
              <w:t>Raw party source</w:t>
            </w:r>
          </w:p>
        </w:tc>
        <w:tc>
          <w:tcPr>
            <w:tcW w:type="dxa" w:w="1440"/>
            <w:vAlign w:val="center"/>
            <w:shd w:fill="F6F9FC"/>
          </w:tcPr>
          <w:p>
            <w:pPr>
              <w:spacing w:after="0" w:before="0"/>
            </w:pPr>
            <w:r/>
            <w:r>
              <w:rPr>
                <w:rFonts w:ascii="Aptos" w:hAnsi="Aptos"/>
                <w:b w:val="0"/>
                <w:sz w:val="13"/>
              </w:rPr>
              <w:t>party × source date</w:t>
            </w:r>
          </w:p>
        </w:tc>
        <w:tc>
          <w:tcPr>
            <w:tcW w:type="dxa" w:w="1728"/>
            <w:vAlign w:val="center"/>
            <w:shd w:fill="F6F9FC"/>
          </w:tcPr>
          <w:p>
            <w:pPr>
              <w:spacing w:after="0" w:before="0"/>
            </w:pPr>
            <w:r/>
            <w:r>
              <w:rPr>
                <w:rFonts w:ascii="Aptos" w:hAnsi="Aptos"/>
                <w:b w:val="0"/>
                <w:sz w:val="13"/>
              </w:rPr>
              <w:t>Source-history diagnostics</w:t>
            </w:r>
          </w:p>
        </w:tc>
        <w:tc>
          <w:tcPr>
            <w:tcW w:type="dxa" w:w="2160"/>
            <w:vAlign w:val="center"/>
            <w:shd w:fill="F6F9FC"/>
          </w:tcPr>
          <w:p>
            <w:pPr>
              <w:spacing w:after="0" w:before="0"/>
            </w:pPr>
            <w:r/>
            <w:r>
              <w:rPr>
                <w:rFonts w:ascii="Aptos" w:hAnsi="Aptos"/>
                <w:b w:val="0"/>
                <w:sz w:val="13"/>
              </w:rPr>
              <w:t>party_id, data_date</w:t>
            </w:r>
          </w:p>
        </w:tc>
        <w:tc>
          <w:tcPr>
            <w:tcW w:type="dxa" w:w="2160"/>
            <w:vAlign w:val="center"/>
            <w:shd w:fill="F6F9FC"/>
          </w:tcPr>
          <w:p>
            <w:pPr>
              <w:spacing w:after="0" w:before="0"/>
            </w:pPr>
            <w:r/>
            <w:r>
              <w:rPr>
                <w:rFonts w:ascii="Aptos" w:hAnsi="Aptos"/>
                <w:b w:val="0"/>
                <w:sz w:val="13"/>
              </w:rPr>
              <w:t>Not a true tenure table.</w:t>
            </w:r>
          </w:p>
        </w:tc>
      </w:tr>
      <w:tr>
        <w:tc>
          <w:tcPr>
            <w:tcW w:type="dxa" w:w="2160"/>
            <w:vAlign w:val="center"/>
          </w:tcPr>
          <w:p>
            <w:pPr>
              <w:spacing w:after="0" w:before="0"/>
            </w:pPr>
            <w:r/>
            <w:r>
              <w:rPr>
                <w:rFonts w:ascii="Aptos" w:hAnsi="Aptos"/>
                <w:b w:val="0"/>
                <w:sz w:val="13"/>
              </w:rPr>
              <w:t>trades</w:t>
            </w:r>
          </w:p>
        </w:tc>
        <w:tc>
          <w:tcPr>
            <w:tcW w:type="dxa" w:w="1296"/>
            <w:vAlign w:val="center"/>
          </w:tcPr>
          <w:p>
            <w:pPr>
              <w:spacing w:after="0" w:before="0"/>
            </w:pPr>
            <w:r/>
            <w:r>
              <w:rPr>
                <w:rFonts w:ascii="Aptos" w:hAnsi="Aptos"/>
                <w:b w:val="0"/>
                <w:sz w:val="13"/>
              </w:rPr>
              <w:t>Raw trade source</w:t>
            </w:r>
          </w:p>
        </w:tc>
        <w:tc>
          <w:tcPr>
            <w:tcW w:type="dxa" w:w="1440"/>
            <w:vAlign w:val="center"/>
          </w:tcPr>
          <w:p>
            <w:pPr>
              <w:spacing w:after="0" w:before="0"/>
            </w:pPr>
            <w:r/>
            <w:r>
              <w:rPr>
                <w:rFonts w:ascii="Aptos" w:hAnsi="Aptos"/>
                <w:b w:val="0"/>
                <w:sz w:val="13"/>
              </w:rPr>
              <w:t>party × account × snapshot</w:t>
            </w:r>
          </w:p>
        </w:tc>
        <w:tc>
          <w:tcPr>
            <w:tcW w:type="dxa" w:w="1728"/>
            <w:vAlign w:val="center"/>
          </w:tcPr>
          <w:p>
            <w:pPr>
              <w:spacing w:after="0" w:before="0"/>
            </w:pPr>
            <w:r/>
            <w:r>
              <w:rPr>
                <w:rFonts w:ascii="Aptos" w:hAnsi="Aptos"/>
                <w:b w:val="0"/>
                <w:sz w:val="13"/>
              </w:rPr>
              <w:t>Behavioral source</w:t>
            </w:r>
          </w:p>
        </w:tc>
        <w:tc>
          <w:tcPr>
            <w:tcW w:type="dxa" w:w="2160"/>
            <w:vAlign w:val="center"/>
          </w:tcPr>
          <w:p>
            <w:pPr>
              <w:spacing w:after="0" w:before="0"/>
            </w:pPr>
            <w:r/>
            <w:r>
              <w:rPr>
                <w:rFonts w:ascii="Aptos" w:hAnsi="Aptos"/>
                <w:b w:val="0"/>
                <w:sz w:val="13"/>
              </w:rPr>
              <w:t>party/account, MOP, balance, limit, past due, dates</w:t>
            </w:r>
          </w:p>
        </w:tc>
        <w:tc>
          <w:tcPr>
            <w:tcW w:type="dxa" w:w="2160"/>
            <w:vAlign w:val="center"/>
          </w:tcPr>
          <w:p>
            <w:pPr>
              <w:spacing w:after="0" w:before="0"/>
            </w:pPr>
            <w:r/>
            <w:r>
              <w:rPr>
                <w:rFonts w:ascii="Aptos" w:hAnsi="Aptos"/>
                <w:b w:val="0"/>
                <w:sz w:val="13"/>
              </w:rPr>
              <w:t>Very large; requires cohort/time filtering.</w:t>
            </w:r>
          </w:p>
        </w:tc>
      </w:tr>
      <w:tr>
        <w:tc>
          <w:tcPr>
            <w:tcW w:type="dxa" w:w="2160"/>
            <w:vAlign w:val="center"/>
            <w:shd w:fill="F6F9FC"/>
          </w:tcPr>
          <w:p>
            <w:pPr>
              <w:spacing w:after="0" w:before="0"/>
            </w:pPr>
            <w:r/>
            <w:r>
              <w:rPr>
                <w:rFonts w:ascii="Aptos" w:hAnsi="Aptos"/>
                <w:b w:val="0"/>
                <w:sz w:val="13"/>
              </w:rPr>
              <w:t>bu_frd.party_first_valid_alert_all</w:t>
            </w:r>
          </w:p>
        </w:tc>
        <w:tc>
          <w:tcPr>
            <w:tcW w:type="dxa" w:w="1296"/>
            <w:vAlign w:val="center"/>
            <w:shd w:fill="F6F9FC"/>
          </w:tcPr>
          <w:p>
            <w:pPr>
              <w:spacing w:after="0" w:before="0"/>
            </w:pPr>
            <w:r/>
            <w:r>
              <w:rPr>
                <w:rFonts w:ascii="Aptos" w:hAnsi="Aptos"/>
                <w:b w:val="0"/>
                <w:sz w:val="13"/>
              </w:rPr>
              <w:t>Derived outcome</w:t>
            </w:r>
          </w:p>
        </w:tc>
        <w:tc>
          <w:tcPr>
            <w:tcW w:type="dxa" w:w="1440"/>
            <w:vAlign w:val="center"/>
            <w:shd w:fill="F6F9FC"/>
          </w:tcPr>
          <w:p>
            <w:pPr>
              <w:spacing w:after="0" w:before="0"/>
            </w:pPr>
            <w:r/>
            <w:r>
              <w:rPr>
                <w:rFonts w:ascii="Aptos" w:hAnsi="Aptos"/>
                <w:b w:val="0"/>
                <w:sz w:val="13"/>
              </w:rPr>
              <w:t>party</w:t>
            </w:r>
          </w:p>
        </w:tc>
        <w:tc>
          <w:tcPr>
            <w:tcW w:type="dxa" w:w="1728"/>
            <w:vAlign w:val="center"/>
            <w:shd w:fill="F6F9FC"/>
          </w:tcPr>
          <w:p>
            <w:pPr>
              <w:spacing w:after="0" w:before="0"/>
            </w:pPr>
            <w:r/>
            <w:r>
              <w:rPr>
                <w:rFonts w:ascii="Aptos" w:hAnsi="Aptos"/>
                <w:b w:val="0"/>
                <w:sz w:val="13"/>
              </w:rPr>
              <w:t>First qualifying event</w:t>
            </w:r>
          </w:p>
        </w:tc>
        <w:tc>
          <w:tcPr>
            <w:tcW w:type="dxa" w:w="2160"/>
            <w:vAlign w:val="center"/>
            <w:shd w:fill="F6F9FC"/>
          </w:tcPr>
          <w:p>
            <w:pPr>
              <w:spacing w:after="0" w:before="0"/>
            </w:pPr>
            <w:r/>
            <w:r>
              <w:rPr>
                <w:rFonts w:ascii="Aptos" w:hAnsi="Aptos"/>
                <w:b w:val="0"/>
                <w:sz w:val="13"/>
              </w:rPr>
              <w:t>party_id, first alert date</w:t>
            </w:r>
          </w:p>
        </w:tc>
        <w:tc>
          <w:tcPr>
            <w:tcW w:type="dxa" w:w="2160"/>
            <w:vAlign w:val="center"/>
            <w:shd w:fill="F6F9FC"/>
          </w:tcPr>
          <w:p>
            <w:pPr>
              <w:spacing w:after="0" w:before="0"/>
            </w:pPr>
            <w:r/>
            <w:r>
              <w:rPr>
                <w:rFonts w:ascii="Aptos" w:hAnsi="Aptos"/>
                <w:b w:val="0"/>
                <w:sz w:val="13"/>
              </w:rPr>
              <w:t>Authoritative first-event outcome source.</w:t>
            </w:r>
          </w:p>
        </w:tc>
      </w:tr>
      <w:tr>
        <w:tc>
          <w:tcPr>
            <w:tcW w:type="dxa" w:w="2160"/>
            <w:vAlign w:val="center"/>
          </w:tcPr>
          <w:p>
            <w:pPr>
              <w:spacing w:after="0" w:before="0"/>
            </w:pPr>
            <w:r/>
            <w:r>
              <w:rPr>
                <w:rFonts w:ascii="Aptos" w:hAnsi="Aptos"/>
                <w:b w:val="0"/>
                <w:sz w:val="13"/>
              </w:rPr>
              <w:t>bu_frd.model_cohort_behavioral_final_3m_2022_2025</w:t>
            </w:r>
          </w:p>
        </w:tc>
        <w:tc>
          <w:tcPr>
            <w:tcW w:type="dxa" w:w="1296"/>
            <w:vAlign w:val="center"/>
          </w:tcPr>
          <w:p>
            <w:pPr>
              <w:spacing w:after="0" w:before="0"/>
            </w:pPr>
            <w:r/>
            <w:r>
              <w:rPr>
                <w:rFonts w:ascii="Aptos" w:hAnsi="Aptos"/>
                <w:b w:val="0"/>
                <w:sz w:val="13"/>
              </w:rPr>
              <w:t>Cohort</w:t>
            </w:r>
          </w:p>
        </w:tc>
        <w:tc>
          <w:tcPr>
            <w:tcW w:type="dxa" w:w="1440"/>
            <w:vAlign w:val="center"/>
          </w:tcPr>
          <w:p>
            <w:pPr>
              <w:spacing w:after="0" w:before="0"/>
            </w:pPr>
            <w:r/>
            <w:r>
              <w:rPr>
                <w:rFonts w:ascii="Aptos" w:hAnsi="Aptos"/>
                <w:b w:val="0"/>
                <w:sz w:val="13"/>
              </w:rPr>
              <w:t>party + observation date</w:t>
            </w:r>
          </w:p>
        </w:tc>
        <w:tc>
          <w:tcPr>
            <w:tcW w:type="dxa" w:w="1728"/>
            <w:vAlign w:val="center"/>
          </w:tcPr>
          <w:p>
            <w:pPr>
              <w:spacing w:after="0" w:before="0"/>
            </w:pPr>
            <w:r/>
            <w:r>
              <w:rPr>
                <w:rFonts w:ascii="Aptos" w:hAnsi="Aptos"/>
                <w:b w:val="0"/>
                <w:sz w:val="13"/>
              </w:rPr>
              <w:t>Positive/control analytical cohort</w:t>
            </w:r>
          </w:p>
        </w:tc>
        <w:tc>
          <w:tcPr>
            <w:tcW w:type="dxa" w:w="2160"/>
            <w:vAlign w:val="center"/>
          </w:tcPr>
          <w:p>
            <w:pPr>
              <w:spacing w:after="0" w:before="0"/>
            </w:pPr>
            <w:r/>
            <w:r>
              <w:rPr>
                <w:rFonts w:ascii="Aptos" w:hAnsi="Aptos"/>
                <w:b w:val="0"/>
                <w:sz w:val="13"/>
              </w:rPr>
              <w:t>party_id, observation_date, label_3m</w:t>
            </w:r>
          </w:p>
        </w:tc>
        <w:tc>
          <w:tcPr>
            <w:tcW w:type="dxa" w:w="2160"/>
            <w:vAlign w:val="center"/>
          </w:tcPr>
          <w:p>
            <w:pPr>
              <w:spacing w:after="0" w:before="0"/>
            </w:pPr>
            <w:r/>
            <w:r>
              <w:rPr>
                <w:rFonts w:ascii="Aptos" w:hAnsi="Aptos"/>
                <w:b w:val="0"/>
                <w:sz w:val="13"/>
              </w:rPr>
              <w:t>1:10 sampled controls.</w:t>
            </w:r>
          </w:p>
        </w:tc>
      </w:tr>
      <w:tr>
        <w:tc>
          <w:tcPr>
            <w:tcW w:type="dxa" w:w="2160"/>
            <w:vAlign w:val="center"/>
            <w:shd w:fill="F6F9FC"/>
          </w:tcPr>
          <w:p>
            <w:pPr>
              <w:spacing w:after="0" w:before="0"/>
            </w:pPr>
            <w:r/>
            <w:r>
              <w:rPr>
                <w:rFonts w:ascii="Aptos" w:hAnsi="Aptos"/>
                <w:b w:val="0"/>
                <w:sz w:val="13"/>
              </w:rPr>
              <w:t>bu_frd.model_cohort_month_keys_3m_2022_2025_v2</w:t>
            </w:r>
          </w:p>
        </w:tc>
        <w:tc>
          <w:tcPr>
            <w:tcW w:type="dxa" w:w="1296"/>
            <w:vAlign w:val="center"/>
            <w:shd w:fill="F6F9FC"/>
          </w:tcPr>
          <w:p>
            <w:pPr>
              <w:spacing w:after="0" w:before="0"/>
            </w:pPr>
            <w:r/>
            <w:r>
              <w:rPr>
                <w:rFonts w:ascii="Aptos" w:hAnsi="Aptos"/>
                <w:b w:val="0"/>
                <w:sz w:val="13"/>
              </w:rPr>
              <w:t>Temporal expansion</w:t>
            </w:r>
          </w:p>
        </w:tc>
        <w:tc>
          <w:tcPr>
            <w:tcW w:type="dxa" w:w="1440"/>
            <w:vAlign w:val="center"/>
            <w:shd w:fill="F6F9FC"/>
          </w:tcPr>
          <w:p>
            <w:pPr>
              <w:spacing w:after="0" w:before="0"/>
            </w:pPr>
            <w:r/>
            <w:r>
              <w:rPr>
                <w:rFonts w:ascii="Aptos" w:hAnsi="Aptos"/>
                <w:b w:val="0"/>
                <w:sz w:val="13"/>
              </w:rPr>
              <w:t>party + relative month</w:t>
            </w:r>
          </w:p>
        </w:tc>
        <w:tc>
          <w:tcPr>
            <w:tcW w:type="dxa" w:w="1728"/>
            <w:vAlign w:val="center"/>
            <w:shd w:fill="F6F9FC"/>
          </w:tcPr>
          <w:p>
            <w:pPr>
              <w:spacing w:after="0" w:before="0"/>
            </w:pPr>
            <w:r/>
            <w:r>
              <w:rPr>
                <w:rFonts w:ascii="Aptos" w:hAnsi="Aptos"/>
                <w:b w:val="0"/>
                <w:sz w:val="13"/>
              </w:rPr>
              <w:t>Generate SEED/PRIOR/RECENT month keys</w:t>
            </w:r>
          </w:p>
        </w:tc>
        <w:tc>
          <w:tcPr>
            <w:tcW w:type="dxa" w:w="2160"/>
            <w:vAlign w:val="center"/>
            <w:shd w:fill="F6F9FC"/>
          </w:tcPr>
          <w:p>
            <w:pPr>
              <w:spacing w:after="0" w:before="0"/>
            </w:pPr>
            <w:r/>
            <w:r>
              <w:rPr>
                <w:rFonts w:ascii="Aptos" w:hAnsi="Aptos"/>
                <w:b w:val="0"/>
                <w:sz w:val="13"/>
              </w:rPr>
              <w:t>feature_month, month_offset, window</w:t>
            </w:r>
          </w:p>
        </w:tc>
        <w:tc>
          <w:tcPr>
            <w:tcW w:type="dxa" w:w="2160"/>
            <w:vAlign w:val="center"/>
            <w:shd w:fill="F6F9FC"/>
          </w:tcPr>
          <w:p>
            <w:pPr>
              <w:spacing w:after="0" w:before="0"/>
            </w:pPr>
            <w:r/>
            <w:r>
              <w:rPr>
                <w:rFonts w:ascii="Aptos" w:hAnsi="Aptos"/>
                <w:b w:val="0"/>
                <w:sz w:val="13"/>
              </w:rPr>
              <w:t>13 technical month keys.</w:t>
            </w:r>
          </w:p>
        </w:tc>
      </w:tr>
      <w:tr>
        <w:tc>
          <w:tcPr>
            <w:tcW w:type="dxa" w:w="2160"/>
            <w:vAlign w:val="center"/>
          </w:tcPr>
          <w:p>
            <w:pPr>
              <w:spacing w:after="0" w:before="0"/>
            </w:pPr>
            <w:r/>
            <w:r>
              <w:rPr>
                <w:rFonts w:ascii="Aptos" w:hAnsi="Aptos"/>
                <w:b w:val="0"/>
                <w:sz w:val="13"/>
              </w:rPr>
              <w:t>bu_frd.model_trades_behavioral_final_13m_2022_2025</w:t>
            </w:r>
          </w:p>
        </w:tc>
        <w:tc>
          <w:tcPr>
            <w:tcW w:type="dxa" w:w="1296"/>
            <w:vAlign w:val="center"/>
          </w:tcPr>
          <w:p>
            <w:pPr>
              <w:spacing w:after="0" w:before="0"/>
            </w:pPr>
            <w:r/>
            <w:r>
              <w:rPr>
                <w:rFonts w:ascii="Aptos" w:hAnsi="Aptos"/>
                <w:b w:val="0"/>
                <w:sz w:val="13"/>
              </w:rPr>
              <w:t>Filtered trades</w:t>
            </w:r>
          </w:p>
        </w:tc>
        <w:tc>
          <w:tcPr>
            <w:tcW w:type="dxa" w:w="1440"/>
            <w:vAlign w:val="center"/>
          </w:tcPr>
          <w:p>
            <w:pPr>
              <w:spacing w:after="0" w:before="0"/>
            </w:pPr>
            <w:r/>
            <w:r>
              <w:rPr>
                <w:rFonts w:ascii="Aptos" w:hAnsi="Aptos"/>
                <w:b w:val="0"/>
                <w:sz w:val="13"/>
              </w:rPr>
              <w:t>party × account × month</w:t>
            </w:r>
          </w:p>
        </w:tc>
        <w:tc>
          <w:tcPr>
            <w:tcW w:type="dxa" w:w="1728"/>
            <w:vAlign w:val="center"/>
          </w:tcPr>
          <w:p>
            <w:pPr>
              <w:spacing w:after="0" w:before="0"/>
            </w:pPr>
            <w:r/>
            <w:r>
              <w:rPr>
                <w:rFonts w:ascii="Aptos" w:hAnsi="Aptos"/>
                <w:b w:val="0"/>
                <w:sz w:val="13"/>
              </w:rPr>
              <w:t>Point-in-time behavioral history</w:t>
            </w:r>
          </w:p>
        </w:tc>
        <w:tc>
          <w:tcPr>
            <w:tcW w:type="dxa" w:w="2160"/>
            <w:vAlign w:val="center"/>
          </w:tcPr>
          <w:p>
            <w:pPr>
              <w:spacing w:after="0" w:before="0"/>
            </w:pPr>
            <w:r/>
            <w:r>
              <w:rPr>
                <w:rFonts w:ascii="Aptos" w:hAnsi="Aptos"/>
                <w:b w:val="0"/>
                <w:sz w:val="13"/>
              </w:rPr>
              <w:t>trade fields + feature month/window</w:t>
            </w:r>
          </w:p>
        </w:tc>
        <w:tc>
          <w:tcPr>
            <w:tcW w:type="dxa" w:w="2160"/>
            <w:vAlign w:val="center"/>
          </w:tcPr>
          <w:p>
            <w:pPr>
              <w:spacing w:after="0" w:before="0"/>
            </w:pPr>
            <w:r/>
            <w:r>
              <w:rPr>
                <w:rFonts w:ascii="Aptos" w:hAnsi="Aptos"/>
                <w:b w:val="0"/>
                <w:sz w:val="13"/>
              </w:rPr>
              <w:t>98.05M rows.</w:t>
            </w:r>
          </w:p>
        </w:tc>
      </w:tr>
      <w:tr>
        <w:tc>
          <w:tcPr>
            <w:tcW w:type="dxa" w:w="2160"/>
            <w:vAlign w:val="center"/>
            <w:shd w:fill="F6F9FC"/>
          </w:tcPr>
          <w:p>
            <w:pPr>
              <w:spacing w:after="0" w:before="0"/>
            </w:pPr>
            <w:r/>
            <w:r>
              <w:rPr>
                <w:rFonts w:ascii="Aptos" w:hAnsi="Aptos"/>
                <w:b w:val="0"/>
                <w:sz w:val="13"/>
              </w:rPr>
              <w:t>bu_frd.model_trades_transition_13m_2022_2025</w:t>
            </w:r>
          </w:p>
        </w:tc>
        <w:tc>
          <w:tcPr>
            <w:tcW w:type="dxa" w:w="1296"/>
            <w:vAlign w:val="center"/>
            <w:shd w:fill="F6F9FC"/>
          </w:tcPr>
          <w:p>
            <w:pPr>
              <w:spacing w:after="0" w:before="0"/>
            </w:pPr>
            <w:r/>
            <w:r>
              <w:rPr>
                <w:rFonts w:ascii="Aptos" w:hAnsi="Aptos"/>
                <w:b w:val="0"/>
                <w:sz w:val="13"/>
              </w:rPr>
              <w:t>Transitions</w:t>
            </w:r>
          </w:p>
        </w:tc>
        <w:tc>
          <w:tcPr>
            <w:tcW w:type="dxa" w:w="1440"/>
            <w:vAlign w:val="center"/>
            <w:shd w:fill="F6F9FC"/>
          </w:tcPr>
          <w:p>
            <w:pPr>
              <w:spacing w:after="0" w:before="0"/>
            </w:pPr>
            <w:r/>
            <w:r>
              <w:rPr>
                <w:rFonts w:ascii="Aptos" w:hAnsi="Aptos"/>
                <w:b w:val="0"/>
                <w:sz w:val="13"/>
              </w:rPr>
              <w:t>party × account × month</w:t>
            </w:r>
          </w:p>
        </w:tc>
        <w:tc>
          <w:tcPr>
            <w:tcW w:type="dxa" w:w="1728"/>
            <w:vAlign w:val="center"/>
            <w:shd w:fill="F6F9FC"/>
          </w:tcPr>
          <w:p>
            <w:pPr>
              <w:spacing w:after="0" w:before="0"/>
            </w:pPr>
            <w:r/>
            <w:r>
              <w:rPr>
                <w:rFonts w:ascii="Aptos" w:hAnsi="Aptos"/>
                <w:b w:val="0"/>
                <w:sz w:val="13"/>
              </w:rPr>
              <w:t>MOP normalization / transitions</w:t>
            </w:r>
          </w:p>
        </w:tc>
        <w:tc>
          <w:tcPr>
            <w:tcW w:type="dxa" w:w="2160"/>
            <w:vAlign w:val="center"/>
            <w:shd w:fill="F6F9FC"/>
          </w:tcPr>
          <w:p>
            <w:pPr>
              <w:spacing w:after="0" w:before="0"/>
            </w:pPr>
            <w:r/>
            <w:r>
              <w:rPr>
                <w:rFonts w:ascii="Aptos" w:hAnsi="Aptos"/>
                <w:b w:val="0"/>
                <w:sz w:val="13"/>
              </w:rPr>
              <w:t>normalized MOP + transition flags</w:t>
            </w:r>
          </w:p>
        </w:tc>
        <w:tc>
          <w:tcPr>
            <w:tcW w:type="dxa" w:w="2160"/>
            <w:vAlign w:val="center"/>
            <w:shd w:fill="F6F9FC"/>
          </w:tcPr>
          <w:p>
            <w:pPr>
              <w:spacing w:after="0" w:before="0"/>
            </w:pPr>
            <w:r/>
            <w:r>
              <w:rPr>
                <w:rFonts w:ascii="Aptos" w:hAnsi="Aptos"/>
                <w:b w:val="0"/>
                <w:sz w:val="13"/>
              </w:rPr>
              <w:t>Feeds monthly event counts.</w:t>
            </w:r>
          </w:p>
        </w:tc>
      </w:tr>
      <w:tr>
        <w:tc>
          <w:tcPr>
            <w:tcW w:type="dxa" w:w="2160"/>
            <w:vAlign w:val="center"/>
          </w:tcPr>
          <w:p>
            <w:pPr>
              <w:spacing w:after="0" w:before="0"/>
            </w:pPr>
            <w:r/>
            <w:r>
              <w:rPr>
                <w:rFonts w:ascii="Aptos" w:hAnsi="Aptos"/>
                <w:b w:val="0"/>
                <w:sz w:val="13"/>
              </w:rPr>
              <w:t>bu_frd.model_party_behavior_monthly_2022_2025</w:t>
            </w:r>
          </w:p>
        </w:tc>
        <w:tc>
          <w:tcPr>
            <w:tcW w:type="dxa" w:w="1296"/>
            <w:vAlign w:val="center"/>
          </w:tcPr>
          <w:p>
            <w:pPr>
              <w:spacing w:after="0" w:before="0"/>
            </w:pPr>
            <w:r/>
            <w:r>
              <w:rPr>
                <w:rFonts w:ascii="Aptos" w:hAnsi="Aptos"/>
                <w:b w:val="0"/>
                <w:sz w:val="13"/>
              </w:rPr>
              <w:t>Monthly behavior</w:t>
            </w:r>
          </w:p>
        </w:tc>
        <w:tc>
          <w:tcPr>
            <w:tcW w:type="dxa" w:w="1440"/>
            <w:vAlign w:val="center"/>
          </w:tcPr>
          <w:p>
            <w:pPr>
              <w:spacing w:after="0" w:before="0"/>
            </w:pPr>
            <w:r/>
            <w:r>
              <w:rPr>
                <w:rFonts w:ascii="Aptos" w:hAnsi="Aptos"/>
                <w:b w:val="0"/>
                <w:sz w:val="13"/>
              </w:rPr>
              <w:t>party × feature month</w:t>
            </w:r>
          </w:p>
        </w:tc>
        <w:tc>
          <w:tcPr>
            <w:tcW w:type="dxa" w:w="1728"/>
            <w:vAlign w:val="center"/>
          </w:tcPr>
          <w:p>
            <w:pPr>
              <w:spacing w:after="0" w:before="0"/>
            </w:pPr>
            <w:r/>
            <w:r>
              <w:rPr>
                <w:rFonts w:ascii="Aptos" w:hAnsi="Aptos"/>
                <w:b w:val="0"/>
                <w:sz w:val="13"/>
              </w:rPr>
              <w:t>Monthly account/exposure/behavior aggregation</w:t>
            </w:r>
          </w:p>
        </w:tc>
        <w:tc>
          <w:tcPr>
            <w:tcW w:type="dxa" w:w="2160"/>
            <w:vAlign w:val="center"/>
          </w:tcPr>
          <w:p>
            <w:pPr>
              <w:spacing w:after="0" w:before="0"/>
            </w:pPr>
            <w:r/>
            <w:r>
              <w:rPr>
                <w:rFonts w:ascii="Aptos" w:hAnsi="Aptos"/>
                <w:b w:val="0"/>
                <w:sz w:val="13"/>
              </w:rPr>
              <w:t>accounts, balances, past due, delinquency, utilization, transition counts</w:t>
            </w:r>
          </w:p>
        </w:tc>
        <w:tc>
          <w:tcPr>
            <w:tcW w:type="dxa" w:w="2160"/>
            <w:vAlign w:val="center"/>
          </w:tcPr>
          <w:p>
            <w:pPr>
              <w:spacing w:after="0" w:before="0"/>
            </w:pPr>
            <w:r/>
            <w:r>
              <w:rPr>
                <w:rFonts w:ascii="Aptos" w:hAnsi="Aptos"/>
                <w:b w:val="0"/>
                <w:sz w:val="13"/>
              </w:rPr>
              <w:t>12 rows per party.</w:t>
            </w:r>
          </w:p>
        </w:tc>
      </w:tr>
      <w:tr>
        <w:tc>
          <w:tcPr>
            <w:tcW w:type="dxa" w:w="2160"/>
            <w:vAlign w:val="center"/>
            <w:shd w:fill="F6F9FC"/>
          </w:tcPr>
          <w:p>
            <w:pPr>
              <w:spacing w:after="0" w:before="0"/>
            </w:pPr>
            <w:r/>
            <w:r>
              <w:rPr>
                <w:rFonts w:ascii="Aptos" w:hAnsi="Aptos"/>
                <w:b w:val="0"/>
                <w:sz w:val="13"/>
              </w:rPr>
              <w:t>bu_frd.model_party_utilization_monthly_2022_2025</w:t>
            </w:r>
          </w:p>
        </w:tc>
        <w:tc>
          <w:tcPr>
            <w:tcW w:type="dxa" w:w="1296"/>
            <w:vAlign w:val="center"/>
            <w:shd w:fill="F6F9FC"/>
          </w:tcPr>
          <w:p>
            <w:pPr>
              <w:spacing w:after="0" w:before="0"/>
            </w:pPr>
            <w:r/>
            <w:r>
              <w:rPr>
                <w:rFonts w:ascii="Aptos" w:hAnsi="Aptos"/>
                <w:b w:val="0"/>
                <w:sz w:val="13"/>
              </w:rPr>
              <w:t>Monthly utilization</w:t>
            </w:r>
          </w:p>
        </w:tc>
        <w:tc>
          <w:tcPr>
            <w:tcW w:type="dxa" w:w="1440"/>
            <w:vAlign w:val="center"/>
            <w:shd w:fill="F6F9FC"/>
          </w:tcPr>
          <w:p>
            <w:pPr>
              <w:spacing w:after="0" w:before="0"/>
            </w:pPr>
            <w:r/>
            <w:r>
              <w:rPr>
                <w:rFonts w:ascii="Aptos" w:hAnsi="Aptos"/>
                <w:b w:val="0"/>
                <w:sz w:val="13"/>
              </w:rPr>
              <w:t>party × feature month</w:t>
            </w:r>
          </w:p>
        </w:tc>
        <w:tc>
          <w:tcPr>
            <w:tcW w:type="dxa" w:w="1728"/>
            <w:vAlign w:val="center"/>
            <w:shd w:fill="F6F9FC"/>
          </w:tcPr>
          <w:p>
            <w:pPr>
              <w:spacing w:after="0" w:before="0"/>
            </w:pPr>
            <w:r/>
            <w:r>
              <w:rPr>
                <w:rFonts w:ascii="Aptos" w:hAnsi="Aptos"/>
                <w:b w:val="0"/>
                <w:sz w:val="13"/>
              </w:rPr>
              <w:t>Consistent avg/weighted utilization</w:t>
            </w:r>
          </w:p>
        </w:tc>
        <w:tc>
          <w:tcPr>
            <w:tcW w:type="dxa" w:w="2160"/>
            <w:vAlign w:val="center"/>
            <w:shd w:fill="F6F9FC"/>
          </w:tcPr>
          <w:p>
            <w:pPr>
              <w:spacing w:after="0" w:before="0"/>
            </w:pPr>
            <w:r/>
            <w:r>
              <w:rPr>
                <w:rFonts w:ascii="Aptos" w:hAnsi="Aptos"/>
                <w:b w:val="0"/>
                <w:sz w:val="13"/>
              </w:rPr>
              <w:t>avg utilization, weighted utilization, eligible counts</w:t>
            </w:r>
          </w:p>
        </w:tc>
        <w:tc>
          <w:tcPr>
            <w:tcW w:type="dxa" w:w="2160"/>
            <w:vAlign w:val="center"/>
            <w:shd w:fill="F6F9FC"/>
          </w:tcPr>
          <w:p>
            <w:pPr>
              <w:spacing w:after="0" w:before="0"/>
            </w:pPr>
            <w:r/>
            <w:r>
              <w:rPr>
                <w:rFonts w:ascii="Aptos" w:hAnsi="Aptos"/>
                <w:b w:val="0"/>
                <w:sz w:val="13"/>
              </w:rPr>
              <w:t>Same eligibility universe.</w:t>
            </w:r>
          </w:p>
        </w:tc>
      </w:tr>
      <w:tr>
        <w:tc>
          <w:tcPr>
            <w:tcW w:type="dxa" w:w="2160"/>
            <w:vAlign w:val="center"/>
          </w:tcPr>
          <w:p>
            <w:pPr>
              <w:spacing w:after="0" w:before="0"/>
            </w:pPr>
            <w:r/>
            <w:r>
              <w:rPr>
                <w:rFonts w:ascii="Aptos" w:hAnsi="Aptos"/>
                <w:b w:val="0"/>
                <w:sz w:val="13"/>
              </w:rPr>
              <w:t>bu_frd.model_party_behavior_windows_2022_2025</w:t>
            </w:r>
          </w:p>
        </w:tc>
        <w:tc>
          <w:tcPr>
            <w:tcW w:type="dxa" w:w="1296"/>
            <w:vAlign w:val="center"/>
          </w:tcPr>
          <w:p>
            <w:pPr>
              <w:spacing w:after="0" w:before="0"/>
            </w:pPr>
            <w:r/>
            <w:r>
              <w:rPr>
                <w:rFonts w:ascii="Aptos" w:hAnsi="Aptos"/>
                <w:b w:val="0"/>
                <w:sz w:val="13"/>
              </w:rPr>
              <w:t>Window aggregation</w:t>
            </w:r>
          </w:p>
        </w:tc>
        <w:tc>
          <w:tcPr>
            <w:tcW w:type="dxa" w:w="1440"/>
            <w:vAlign w:val="center"/>
          </w:tcPr>
          <w:p>
            <w:pPr>
              <w:spacing w:after="0" w:before="0"/>
            </w:pPr>
            <w:r/>
            <w:r>
              <w:rPr>
                <w:rFonts w:ascii="Aptos" w:hAnsi="Aptos"/>
                <w:b w:val="0"/>
                <w:sz w:val="13"/>
              </w:rPr>
              <w:t>party + observation date</w:t>
            </w:r>
          </w:p>
        </w:tc>
        <w:tc>
          <w:tcPr>
            <w:tcW w:type="dxa" w:w="1728"/>
            <w:vAlign w:val="center"/>
          </w:tcPr>
          <w:p>
            <w:pPr>
              <w:spacing w:after="0" w:before="0"/>
            </w:pPr>
            <w:r/>
            <w:r>
              <w:rPr>
                <w:rFonts w:ascii="Aptos" w:hAnsi="Aptos"/>
                <w:b w:val="0"/>
                <w:sz w:val="13"/>
              </w:rPr>
              <w:t>PRIOR/RECENT summaries</w:t>
            </w:r>
          </w:p>
        </w:tc>
        <w:tc>
          <w:tcPr>
            <w:tcW w:type="dxa" w:w="2160"/>
            <w:vAlign w:val="center"/>
          </w:tcPr>
          <w:p>
            <w:pPr>
              <w:spacing w:after="0" w:before="0"/>
            </w:pPr>
            <w:r/>
            <w:r>
              <w:rPr>
                <w:rFonts w:ascii="Aptos" w:hAnsi="Aptos"/>
                <w:b w:val="0"/>
                <w:sz w:val="13"/>
              </w:rPr>
              <w:t>means, counts, SD, coverage</w:t>
            </w:r>
          </w:p>
        </w:tc>
        <w:tc>
          <w:tcPr>
            <w:tcW w:type="dxa" w:w="2160"/>
            <w:vAlign w:val="center"/>
          </w:tcPr>
          <w:p>
            <w:pPr>
              <w:spacing w:after="0" w:before="0"/>
            </w:pPr>
            <w:r/>
            <w:r>
              <w:rPr>
                <w:rFonts w:ascii="Aptos" w:hAnsi="Aptos"/>
                <w:b w:val="0"/>
                <w:sz w:val="13"/>
              </w:rPr>
              <w:t>Input to Current and Z formulas.</w:t>
            </w:r>
          </w:p>
        </w:tc>
      </w:tr>
      <w:tr>
        <w:tc>
          <w:tcPr>
            <w:tcW w:type="dxa" w:w="2160"/>
            <w:vAlign w:val="center"/>
            <w:shd w:fill="F6F9FC"/>
          </w:tcPr>
          <w:p>
            <w:pPr>
              <w:spacing w:after="0" w:before="0"/>
            </w:pPr>
            <w:r/>
            <w:r>
              <w:rPr>
                <w:rFonts w:ascii="Aptos" w:hAnsi="Aptos"/>
                <w:b w:val="0"/>
                <w:sz w:val="13"/>
              </w:rPr>
              <w:t>bu_frd.model_behavior_features_current_2022_2025</w:t>
            </w:r>
          </w:p>
        </w:tc>
        <w:tc>
          <w:tcPr>
            <w:tcW w:type="dxa" w:w="1296"/>
            <w:vAlign w:val="center"/>
            <w:shd w:fill="F6F9FC"/>
          </w:tcPr>
          <w:p>
            <w:pPr>
              <w:spacing w:after="0" w:before="0"/>
            </w:pPr>
            <w:r/>
            <w:r>
              <w:rPr>
                <w:rFonts w:ascii="Aptos" w:hAnsi="Aptos"/>
                <w:b w:val="0"/>
                <w:sz w:val="13"/>
              </w:rPr>
              <w:t>Feature layer</w:t>
            </w:r>
          </w:p>
        </w:tc>
        <w:tc>
          <w:tcPr>
            <w:tcW w:type="dxa" w:w="1440"/>
            <w:vAlign w:val="center"/>
            <w:shd w:fill="F6F9FC"/>
          </w:tcPr>
          <w:p>
            <w:pPr>
              <w:spacing w:after="0" w:before="0"/>
            </w:pPr>
            <w:r/>
            <w:r>
              <w:rPr>
                <w:rFonts w:ascii="Aptos" w:hAnsi="Aptos"/>
                <w:b w:val="0"/>
                <w:sz w:val="13"/>
              </w:rPr>
              <w:t>party + observation date</w:t>
            </w:r>
          </w:p>
        </w:tc>
        <w:tc>
          <w:tcPr>
            <w:tcW w:type="dxa" w:w="1728"/>
            <w:vAlign w:val="center"/>
            <w:shd w:fill="F6F9FC"/>
          </w:tcPr>
          <w:p>
            <w:pPr>
              <w:spacing w:after="0" w:before="0"/>
            </w:pPr>
            <w:r/>
            <w:r>
              <w:rPr>
                <w:rFonts w:ascii="Aptos" w:hAnsi="Aptos"/>
                <w:b w:val="0"/>
                <w:sz w:val="13"/>
              </w:rPr>
              <w:t>Current Formula</w:t>
            </w:r>
          </w:p>
        </w:tc>
        <w:tc>
          <w:tcPr>
            <w:tcW w:type="dxa" w:w="2160"/>
            <w:vAlign w:val="center"/>
            <w:shd w:fill="F6F9FC"/>
          </w:tcPr>
          <w:p>
            <w:pPr>
              <w:spacing w:after="0" w:before="0"/>
            </w:pPr>
            <w:r/>
            <w:r>
              <w:rPr>
                <w:rFonts w:ascii="Aptos" w:hAnsi="Aptos"/>
                <w:b w:val="0"/>
                <w:sz w:val="13"/>
              </w:rPr>
              <w:t>signed changes, accelerations, availability</w:t>
            </w:r>
          </w:p>
        </w:tc>
        <w:tc>
          <w:tcPr>
            <w:tcW w:type="dxa" w:w="2160"/>
            <w:vAlign w:val="center"/>
            <w:shd w:fill="F6F9FC"/>
          </w:tcPr>
          <w:p>
            <w:pPr>
              <w:spacing w:after="0" w:before="0"/>
            </w:pPr>
            <w:r/>
            <w:r>
              <w:rPr>
                <w:rFonts w:ascii="Aptos" w:hAnsi="Aptos"/>
                <w:b w:val="0"/>
                <w:sz w:val="13"/>
              </w:rPr>
              <w:t>Primary behavioral representation.</w:t>
            </w:r>
          </w:p>
        </w:tc>
      </w:tr>
      <w:tr>
        <w:tc>
          <w:tcPr>
            <w:tcW w:type="dxa" w:w="2160"/>
            <w:vAlign w:val="center"/>
          </w:tcPr>
          <w:p>
            <w:pPr>
              <w:spacing w:after="0" w:before="0"/>
            </w:pPr>
            <w:r/>
            <w:r>
              <w:rPr>
                <w:rFonts w:ascii="Aptos" w:hAnsi="Aptos"/>
                <w:b w:val="0"/>
                <w:sz w:val="13"/>
              </w:rPr>
              <w:t>bu_frd.model_behavior_features_z_2022_2025</w:t>
            </w:r>
          </w:p>
        </w:tc>
        <w:tc>
          <w:tcPr>
            <w:tcW w:type="dxa" w:w="1296"/>
            <w:vAlign w:val="center"/>
          </w:tcPr>
          <w:p>
            <w:pPr>
              <w:spacing w:after="0" w:before="0"/>
            </w:pPr>
            <w:r/>
            <w:r>
              <w:rPr>
                <w:rFonts w:ascii="Aptos" w:hAnsi="Aptos"/>
                <w:b w:val="0"/>
                <w:sz w:val="13"/>
              </w:rPr>
              <w:t>Feature layer</w:t>
            </w:r>
          </w:p>
        </w:tc>
        <w:tc>
          <w:tcPr>
            <w:tcW w:type="dxa" w:w="1440"/>
            <w:vAlign w:val="center"/>
          </w:tcPr>
          <w:p>
            <w:pPr>
              <w:spacing w:after="0" w:before="0"/>
            </w:pPr>
            <w:r/>
            <w:r>
              <w:rPr>
                <w:rFonts w:ascii="Aptos" w:hAnsi="Aptos"/>
                <w:b w:val="0"/>
                <w:sz w:val="13"/>
              </w:rPr>
              <w:t>party + observation date</w:t>
            </w:r>
          </w:p>
        </w:tc>
        <w:tc>
          <w:tcPr>
            <w:tcW w:type="dxa" w:w="1728"/>
            <w:vAlign w:val="center"/>
          </w:tcPr>
          <w:p>
            <w:pPr>
              <w:spacing w:after="0" w:before="0"/>
            </w:pPr>
            <w:r/>
            <w:r>
              <w:rPr>
                <w:rFonts w:ascii="Aptos" w:hAnsi="Aptos"/>
                <w:b w:val="0"/>
                <w:sz w:val="13"/>
              </w:rPr>
              <w:t>Z candidates</w:t>
            </w:r>
          </w:p>
        </w:tc>
        <w:tc>
          <w:tcPr>
            <w:tcW w:type="dxa" w:w="2160"/>
            <w:vAlign w:val="center"/>
          </w:tcPr>
          <w:p>
            <w:pPr>
              <w:spacing w:after="0" w:before="0"/>
            </w:pPr>
            <w:r/>
            <w:r>
              <w:rPr>
                <w:rFonts w:ascii="Aptos" w:hAnsi="Aptos"/>
                <w:b w:val="0"/>
                <w:sz w:val="13"/>
              </w:rPr>
              <w:t>standardized changes + eligibility</w:t>
            </w:r>
          </w:p>
        </w:tc>
        <w:tc>
          <w:tcPr>
            <w:tcW w:type="dxa" w:w="2160"/>
            <w:vAlign w:val="center"/>
          </w:tcPr>
          <w:p>
            <w:pPr>
              <w:spacing w:after="0" w:before="0"/>
            </w:pPr>
            <w:r/>
            <w:r>
              <w:rPr>
                <w:rFonts w:ascii="Aptos" w:hAnsi="Aptos"/>
                <w:b w:val="0"/>
                <w:sz w:val="13"/>
              </w:rPr>
              <w:t>Contains candidates later rejected/selected.</w:t>
            </w:r>
          </w:p>
        </w:tc>
      </w:tr>
      <w:tr>
        <w:tc>
          <w:tcPr>
            <w:tcW w:type="dxa" w:w="2160"/>
            <w:vAlign w:val="center"/>
            <w:shd w:fill="F6F9FC"/>
          </w:tcPr>
          <w:p>
            <w:pPr>
              <w:spacing w:after="0" w:before="0"/>
            </w:pPr>
            <w:r/>
            <w:r>
              <w:rPr>
                <w:rFonts w:ascii="Aptos" w:hAnsi="Aptos"/>
                <w:b w:val="0"/>
                <w:sz w:val="13"/>
              </w:rPr>
              <w:t>bu_frd.model_behavior_features_selected_2022_2025</w:t>
            </w:r>
          </w:p>
        </w:tc>
        <w:tc>
          <w:tcPr>
            <w:tcW w:type="dxa" w:w="1296"/>
            <w:vAlign w:val="center"/>
            <w:shd w:fill="F6F9FC"/>
          </w:tcPr>
          <w:p>
            <w:pPr>
              <w:spacing w:after="0" w:before="0"/>
            </w:pPr>
            <w:r/>
            <w:r>
              <w:rPr>
                <w:rFonts w:ascii="Aptos" w:hAnsi="Aptos"/>
                <w:b w:val="0"/>
                <w:sz w:val="13"/>
              </w:rPr>
              <w:t>Feature selection</w:t>
            </w:r>
          </w:p>
        </w:tc>
        <w:tc>
          <w:tcPr>
            <w:tcW w:type="dxa" w:w="1440"/>
            <w:vAlign w:val="center"/>
            <w:shd w:fill="F6F9FC"/>
          </w:tcPr>
          <w:p>
            <w:pPr>
              <w:spacing w:after="0" w:before="0"/>
            </w:pPr>
            <w:r/>
            <w:r>
              <w:rPr>
                <w:rFonts w:ascii="Aptos" w:hAnsi="Aptos"/>
                <w:b w:val="0"/>
                <w:sz w:val="13"/>
              </w:rPr>
              <w:t>party + observation date</w:t>
            </w:r>
          </w:p>
        </w:tc>
        <w:tc>
          <w:tcPr>
            <w:tcW w:type="dxa" w:w="1728"/>
            <w:vAlign w:val="center"/>
            <w:shd w:fill="F6F9FC"/>
          </w:tcPr>
          <w:p>
            <w:pPr>
              <w:spacing w:after="0" w:before="0"/>
            </w:pPr>
            <w:r/>
            <w:r>
              <w:rPr>
                <w:rFonts w:ascii="Aptos" w:hAnsi="Aptos"/>
                <w:b w:val="0"/>
                <w:sz w:val="13"/>
              </w:rPr>
              <w:t>Freeze viable Z challengers</w:t>
            </w:r>
          </w:p>
        </w:tc>
        <w:tc>
          <w:tcPr>
            <w:tcW w:type="dxa" w:w="2160"/>
            <w:vAlign w:val="center"/>
            <w:shd w:fill="F6F9FC"/>
          </w:tcPr>
          <w:p>
            <w:pPr>
              <w:spacing w:after="0" w:before="0"/>
            </w:pPr>
            <w:r/>
            <w:r>
              <w:rPr>
                <w:rFonts w:ascii="Aptos" w:hAnsi="Aptos"/>
                <w:b w:val="0"/>
                <w:sz w:val="13"/>
              </w:rPr>
              <w:t>active/avg util/weighted util Z + flags</w:t>
            </w:r>
          </w:p>
        </w:tc>
        <w:tc>
          <w:tcPr>
            <w:tcW w:type="dxa" w:w="2160"/>
            <w:vAlign w:val="center"/>
            <w:shd w:fill="F6F9FC"/>
          </w:tcPr>
          <w:p>
            <w:pPr>
              <w:spacing w:after="0" w:before="0"/>
            </w:pPr>
            <w:r/>
            <w:r>
              <w:rPr>
                <w:rFonts w:ascii="Aptos" w:hAnsi="Aptos"/>
                <w:b w:val="0"/>
                <w:sz w:val="13"/>
              </w:rPr>
              <w:t>Balance Z excluded.</w:t>
            </w:r>
          </w:p>
        </w:tc>
      </w:tr>
      <w:tr>
        <w:tc>
          <w:tcPr>
            <w:tcW w:type="dxa" w:w="2160"/>
            <w:vAlign w:val="center"/>
          </w:tcPr>
          <w:p>
            <w:pPr>
              <w:spacing w:after="0" w:before="0"/>
            </w:pPr>
            <w:r/>
            <w:r>
              <w:rPr>
                <w:rFonts w:ascii="Aptos" w:hAnsi="Aptos"/>
                <w:b w:val="0"/>
                <w:sz w:val="13"/>
              </w:rPr>
              <w:t>bu_frd.model_behavior_features_transformed_2022_2025</w:t>
            </w:r>
          </w:p>
        </w:tc>
        <w:tc>
          <w:tcPr>
            <w:tcW w:type="dxa" w:w="1296"/>
            <w:vAlign w:val="center"/>
          </w:tcPr>
          <w:p>
            <w:pPr>
              <w:spacing w:after="0" w:before="0"/>
            </w:pPr>
            <w:r/>
            <w:r>
              <w:rPr>
                <w:rFonts w:ascii="Aptos" w:hAnsi="Aptos"/>
                <w:b w:val="0"/>
                <w:sz w:val="13"/>
              </w:rPr>
              <w:t>Feature transformation</w:t>
            </w:r>
          </w:p>
        </w:tc>
        <w:tc>
          <w:tcPr>
            <w:tcW w:type="dxa" w:w="1440"/>
            <w:vAlign w:val="center"/>
          </w:tcPr>
          <w:p>
            <w:pPr>
              <w:spacing w:after="0" w:before="0"/>
            </w:pPr>
            <w:r/>
            <w:r>
              <w:rPr>
                <w:rFonts w:ascii="Aptos" w:hAnsi="Aptos"/>
                <w:b w:val="0"/>
                <w:sz w:val="13"/>
              </w:rPr>
              <w:t>party + observation date</w:t>
            </w:r>
          </w:p>
        </w:tc>
        <w:tc>
          <w:tcPr>
            <w:tcW w:type="dxa" w:w="1728"/>
            <w:vAlign w:val="center"/>
          </w:tcPr>
          <w:p>
            <w:pPr>
              <w:spacing w:after="0" w:before="0"/>
            </w:pPr>
            <w:r/>
            <w:r>
              <w:rPr>
                <w:rFonts w:ascii="Aptos" w:hAnsi="Aptos"/>
                <w:b w:val="0"/>
                <w:sz w:val="13"/>
              </w:rPr>
              <w:t>Nonlinear / magnitude features</w:t>
            </w:r>
          </w:p>
        </w:tc>
        <w:tc>
          <w:tcPr>
            <w:tcW w:type="dxa" w:w="2160"/>
            <w:vAlign w:val="center"/>
          </w:tcPr>
          <w:p>
            <w:pPr>
              <w:spacing w:after="0" w:before="0"/>
            </w:pPr>
            <w:r/>
            <w:r>
              <w:rPr>
                <w:rFonts w:ascii="Aptos" w:hAnsi="Aptos"/>
                <w:b w:val="0"/>
                <w:sz w:val="13"/>
              </w:rPr>
              <w:t>changed flag, abs active change, logabs balance</w:t>
            </w:r>
          </w:p>
        </w:tc>
        <w:tc>
          <w:tcPr>
            <w:tcW w:type="dxa" w:w="2160"/>
            <w:vAlign w:val="center"/>
          </w:tcPr>
          <w:p>
            <w:pPr>
              <w:spacing w:after="0" w:before="0"/>
            </w:pPr>
            <w:r/>
            <w:r>
              <w:rPr>
                <w:rFonts w:ascii="Aptos" w:hAnsi="Aptos"/>
                <w:b w:val="0"/>
                <w:sz w:val="13"/>
              </w:rPr>
              <w:t>Built from Current features.</w:t>
            </w:r>
          </w:p>
        </w:tc>
      </w:tr>
      <w:tr>
        <w:tc>
          <w:tcPr>
            <w:tcW w:type="dxa" w:w="2160"/>
            <w:vAlign w:val="center"/>
            <w:shd w:fill="F6F9FC"/>
          </w:tcPr>
          <w:p>
            <w:pPr>
              <w:spacing w:after="0" w:before="0"/>
            </w:pPr>
            <w:r/>
            <w:r>
              <w:rPr>
                <w:rFonts w:ascii="Aptos" w:hAnsi="Aptos"/>
                <w:b w:val="0"/>
                <w:sz w:val="13"/>
              </w:rPr>
              <w:t>bu_frd.model_features_ab_final_2022_2025</w:t>
            </w:r>
          </w:p>
        </w:tc>
        <w:tc>
          <w:tcPr>
            <w:tcW w:type="dxa" w:w="1296"/>
            <w:vAlign w:val="center"/>
            <w:shd w:fill="F6F9FC"/>
          </w:tcPr>
          <w:p>
            <w:pPr>
              <w:spacing w:after="0" w:before="0"/>
            </w:pPr>
            <w:r/>
            <w:r>
              <w:rPr>
                <w:rFonts w:ascii="Aptos" w:hAnsi="Aptos"/>
                <w:b w:val="0"/>
                <w:sz w:val="13"/>
              </w:rPr>
              <w:t>Final analytical table</w:t>
            </w:r>
          </w:p>
        </w:tc>
        <w:tc>
          <w:tcPr>
            <w:tcW w:type="dxa" w:w="1440"/>
            <w:vAlign w:val="center"/>
            <w:shd w:fill="F6F9FC"/>
          </w:tcPr>
          <w:p>
            <w:pPr>
              <w:spacing w:after="0" w:before="0"/>
            </w:pPr>
            <w:r/>
            <w:r>
              <w:rPr>
                <w:rFonts w:ascii="Aptos" w:hAnsi="Aptos"/>
                <w:b w:val="0"/>
                <w:sz w:val="13"/>
              </w:rPr>
              <w:t>party + observation date</w:t>
            </w:r>
          </w:p>
        </w:tc>
        <w:tc>
          <w:tcPr>
            <w:tcW w:type="dxa" w:w="1728"/>
            <w:vAlign w:val="center"/>
            <w:shd w:fill="F6F9FC"/>
          </w:tcPr>
          <w:p>
            <w:pPr>
              <w:spacing w:after="0" w:before="0"/>
            </w:pPr>
            <w:r/>
            <w:r>
              <w:rPr>
                <w:rFonts w:ascii="Aptos" w:hAnsi="Aptos"/>
                <w:b w:val="0"/>
                <w:sz w:val="13"/>
              </w:rPr>
              <w:t>Model-ready A/B features</w:t>
            </w:r>
          </w:p>
        </w:tc>
        <w:tc>
          <w:tcPr>
            <w:tcW w:type="dxa" w:w="2160"/>
            <w:vAlign w:val="center"/>
            <w:shd w:fill="F6F9FC"/>
          </w:tcPr>
          <w:p>
            <w:pPr>
              <w:spacing w:after="0" w:before="0"/>
            </w:pPr>
            <w:r/>
            <w:r>
              <w:rPr>
                <w:rFonts w:ascii="Aptos" w:hAnsi="Aptos"/>
                <w:b w:val="0"/>
                <w:sz w:val="13"/>
              </w:rPr>
              <w:t>outcome + Current + transformed + availability + selected Z</w:t>
            </w:r>
          </w:p>
        </w:tc>
        <w:tc>
          <w:tcPr>
            <w:tcW w:type="dxa" w:w="2160"/>
            <w:vAlign w:val="center"/>
            <w:shd w:fill="F6F9FC"/>
          </w:tcPr>
          <w:p>
            <w:pPr>
              <w:spacing w:after="0" w:before="0"/>
            </w:pPr>
            <w:r/>
            <w:r>
              <w:rPr>
                <w:rFonts w:ascii="Aptos" w:hAnsi="Aptos"/>
                <w:b w:val="0"/>
                <w:sz w:val="13"/>
              </w:rPr>
              <w:t>688,589 rows; one party each.</w:t>
            </w:r>
          </w:p>
        </w:tc>
      </w:tr>
    </w:tbl>
    <w:p>
      <w:pPr>
        <w:spacing w:after="20"/>
      </w:pPr>
    </w:p>
    <w:p>
      <w:pPr>
        <w:pStyle w:val="Heading1"/>
      </w:pPr>
      <w:r>
        <w:t>21. Limitations, controls and reproducibility notes</w:t>
      </w:r>
    </w:p>
    <w:p>
      <w:pPr>
        <w:pStyle w:val="ListBullet"/>
        <w:spacing w:after="30"/>
      </w:pPr>
      <w:r>
        <w:t>The target is an observed qualifying fraud alert, not confirmed fraud loss. Conclusions should use “positive/event” language rather than “victim/non-victim.”</w:t>
      </w:r>
    </w:p>
    <w:p>
      <w:pPr>
        <w:pStyle w:val="ListBullet"/>
        <w:spacing w:after="30"/>
      </w:pPr>
      <w:r>
        <w:t>The analytical 1:10 sampling ratio changes class prevalence. Ranking metrics and lift remain useful, but raw logistic probabilities require calibration to operational prevalence.</w:t>
      </w:r>
    </w:p>
    <w:p>
      <w:pPr>
        <w:pStyle w:val="ListBullet"/>
        <w:spacing w:after="30"/>
      </w:pPr>
      <w:r>
        <w:t>Availability/coverage is itself predictive. This likely captures credit-file depth and observability in addition to behavioral change; it should not be interpreted causally.</w:t>
      </w:r>
    </w:p>
    <w:p>
      <w:pPr>
        <w:pStyle w:val="ListBullet"/>
        <w:spacing w:after="30"/>
      </w:pPr>
      <w:r>
        <w:t>person_restricted.data_date is a source-history date, not customer tenure. Left-censoring is material and true tenure is not recoverable from the current source.</w:t>
      </w:r>
    </w:p>
    <w:p>
      <w:pPr>
        <w:pStyle w:val="ListBullet"/>
        <w:spacing w:after="30"/>
      </w:pPr>
      <w:r>
        <w:t>Multiple behavioral relationships are nonlinear. Logistic regression is a strong interpretable baseline, but a later nonlinear challenger can be justified after the A/B logistic design is closed.</w:t>
      </w:r>
    </w:p>
    <w:p>
      <w:pPr>
        <w:pStyle w:val="ListBullet"/>
        <w:spacing w:after="30"/>
      </w:pPr>
      <w:r>
        <w:t>Feature-validation summaries produced for communication across the full analytical population must not be used retrospectively to tune features using TEST-period information. Feature/model decisions should remain frozen based on development data.</w:t>
      </w:r>
    </w:p>
    <w:p>
      <w:pPr>
        <w:pStyle w:val="ListBullet"/>
        <w:spacing w:after="30"/>
      </w:pPr>
      <w:r>
        <w:t>For exact reproduction, low-level SQL predicates not preserved in this report (notably the complete active-account predicate and exact adverse-state set implementation) should be taken from the original transformation SQL rather than inferred from field names.</w:t>
      </w:r>
    </w:p>
    <w:p>
      <w:pPr>
        <w:pStyle w:val="Heading2"/>
      </w:pPr>
      <w:r>
        <w:t>21.1 Recommended reproducibility package</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315A7D"/>
          </w:tcPr>
          <w:p>
            <w:pPr>
              <w:spacing w:after="0" w:before="0"/>
            </w:pPr>
            <w:r/>
            <w:r>
              <w:rPr>
                <w:rFonts w:ascii="Aptos" w:hAnsi="Aptos"/>
                <w:b/>
                <w:color w:val="FFFFFF"/>
                <w:sz w:val="16"/>
              </w:rPr>
              <w:t>Artifact</w:t>
            </w:r>
          </w:p>
        </w:tc>
        <w:tc>
          <w:tcPr>
            <w:tcW w:type="dxa" w:w="6624"/>
            <w:vAlign w:val="center"/>
            <w:shd w:fill="315A7D"/>
          </w:tcPr>
          <w:p>
            <w:pPr>
              <w:spacing w:after="0" w:before="0"/>
            </w:pPr>
            <w:r/>
            <w:r>
              <w:rPr>
                <w:rFonts w:ascii="Aptos" w:hAnsi="Aptos"/>
                <w:b/>
                <w:color w:val="FFFFFF"/>
                <w:sz w:val="16"/>
              </w:rPr>
              <w:t>Why retain it</w:t>
            </w:r>
          </w:p>
        </w:tc>
      </w:tr>
      <w:tr>
        <w:tc>
          <w:tcPr>
            <w:tcW w:type="dxa" w:w="3456"/>
            <w:vAlign w:val="center"/>
          </w:tcPr>
          <w:p>
            <w:pPr>
              <w:spacing w:after="0" w:before="0"/>
            </w:pPr>
            <w:r/>
            <w:r>
              <w:rPr>
                <w:rFonts w:ascii="Aptos" w:hAnsi="Aptos"/>
                <w:b w:val="0"/>
                <w:sz w:val="16"/>
              </w:rPr>
              <w:t>Outcome table</w:t>
            </w:r>
          </w:p>
        </w:tc>
        <w:tc>
          <w:tcPr>
            <w:tcW w:type="dxa" w:w="6624"/>
            <w:vAlign w:val="center"/>
          </w:tcPr>
          <w:p>
            <w:pPr>
              <w:spacing w:after="0" w:before="0"/>
            </w:pPr>
            <w:r/>
            <w:r>
              <w:rPr>
                <w:rFonts w:ascii="Aptos" w:hAnsi="Aptos"/>
                <w:b w:val="0"/>
                <w:sz w:val="16"/>
              </w:rPr>
              <w:t>Reconstruct first-event labels.</w:t>
            </w:r>
          </w:p>
        </w:tc>
      </w:tr>
      <w:tr>
        <w:tc>
          <w:tcPr>
            <w:tcW w:type="dxa" w:w="3456"/>
            <w:vAlign w:val="center"/>
            <w:shd w:fill="F6F9FC"/>
          </w:tcPr>
          <w:p>
            <w:pPr>
              <w:spacing w:after="0" w:before="0"/>
            </w:pPr>
            <w:r/>
            <w:r>
              <w:rPr>
                <w:rFonts w:ascii="Aptos" w:hAnsi="Aptos"/>
                <w:b w:val="0"/>
                <w:sz w:val="16"/>
              </w:rPr>
              <w:t>Final cohort</w:t>
            </w:r>
          </w:p>
        </w:tc>
        <w:tc>
          <w:tcPr>
            <w:tcW w:type="dxa" w:w="6624"/>
            <w:vAlign w:val="center"/>
            <w:shd w:fill="F6F9FC"/>
          </w:tcPr>
          <w:p>
            <w:pPr>
              <w:spacing w:after="0" w:before="0"/>
            </w:pPr>
            <w:r/>
            <w:r>
              <w:rPr>
                <w:rFonts w:ascii="Aptos" w:hAnsi="Aptos"/>
                <w:b w:val="0"/>
                <w:sz w:val="16"/>
              </w:rPr>
              <w:t>Reproduce party/observation selection and sample composition.</w:t>
            </w:r>
          </w:p>
        </w:tc>
      </w:tr>
      <w:tr>
        <w:tc>
          <w:tcPr>
            <w:tcW w:type="dxa" w:w="3456"/>
            <w:vAlign w:val="center"/>
          </w:tcPr>
          <w:p>
            <w:pPr>
              <w:spacing w:after="0" w:before="0"/>
            </w:pPr>
            <w:r/>
            <w:r>
              <w:rPr>
                <w:rFonts w:ascii="Aptos" w:hAnsi="Aptos"/>
                <w:b w:val="0"/>
                <w:sz w:val="16"/>
              </w:rPr>
              <w:t>Month-key table</w:t>
            </w:r>
          </w:p>
        </w:tc>
        <w:tc>
          <w:tcPr>
            <w:tcW w:type="dxa" w:w="6624"/>
            <w:vAlign w:val="center"/>
          </w:tcPr>
          <w:p>
            <w:pPr>
              <w:spacing w:after="0" w:before="0"/>
            </w:pPr>
            <w:r/>
            <w:r>
              <w:rPr>
                <w:rFonts w:ascii="Aptos" w:hAnsi="Aptos"/>
                <w:b w:val="0"/>
                <w:sz w:val="16"/>
              </w:rPr>
              <w:t>Reproduce SEED/PRIOR/RECENT temporal alignment.</w:t>
            </w:r>
          </w:p>
        </w:tc>
      </w:tr>
      <w:tr>
        <w:tc>
          <w:tcPr>
            <w:tcW w:type="dxa" w:w="3456"/>
            <w:vAlign w:val="center"/>
            <w:shd w:fill="F6F9FC"/>
          </w:tcPr>
          <w:p>
            <w:pPr>
              <w:spacing w:after="0" w:before="0"/>
            </w:pPr>
            <w:r/>
            <w:r>
              <w:rPr>
                <w:rFonts w:ascii="Aptos" w:hAnsi="Aptos"/>
                <w:b w:val="0"/>
                <w:sz w:val="16"/>
              </w:rPr>
              <w:t>13-month PIT trades</w:t>
            </w:r>
          </w:p>
        </w:tc>
        <w:tc>
          <w:tcPr>
            <w:tcW w:type="dxa" w:w="6624"/>
            <w:vAlign w:val="center"/>
            <w:shd w:fill="F6F9FC"/>
          </w:tcPr>
          <w:p>
            <w:pPr>
              <w:spacing w:after="0" w:before="0"/>
            </w:pPr>
            <w:r/>
            <w:r>
              <w:rPr>
                <w:rFonts w:ascii="Aptos" w:hAnsi="Aptos"/>
                <w:b w:val="0"/>
                <w:sz w:val="16"/>
              </w:rPr>
              <w:t>Reproduce account-level inputs without rescanning the full trade source.</w:t>
            </w:r>
          </w:p>
        </w:tc>
      </w:tr>
      <w:tr>
        <w:tc>
          <w:tcPr>
            <w:tcW w:type="dxa" w:w="3456"/>
            <w:vAlign w:val="center"/>
          </w:tcPr>
          <w:p>
            <w:pPr>
              <w:spacing w:after="0" w:before="0"/>
            </w:pPr>
            <w:r/>
            <w:r>
              <w:rPr>
                <w:rFonts w:ascii="Aptos" w:hAnsi="Aptos"/>
                <w:b w:val="0"/>
                <w:sz w:val="16"/>
              </w:rPr>
              <w:t>Transition table</w:t>
            </w:r>
          </w:p>
        </w:tc>
        <w:tc>
          <w:tcPr>
            <w:tcW w:type="dxa" w:w="6624"/>
            <w:vAlign w:val="center"/>
          </w:tcPr>
          <w:p>
            <w:pPr>
              <w:spacing w:after="0" w:before="0"/>
            </w:pPr>
            <w:r/>
            <w:r>
              <w:rPr>
                <w:rFonts w:ascii="Aptos" w:hAnsi="Aptos"/>
                <w:b w:val="0"/>
                <w:sz w:val="16"/>
              </w:rPr>
              <w:t>Reproduce MOP-derived event logic.</w:t>
            </w:r>
          </w:p>
        </w:tc>
      </w:tr>
      <w:tr>
        <w:tc>
          <w:tcPr>
            <w:tcW w:type="dxa" w:w="3456"/>
            <w:vAlign w:val="center"/>
            <w:shd w:fill="F6F9FC"/>
          </w:tcPr>
          <w:p>
            <w:pPr>
              <w:spacing w:after="0" w:before="0"/>
            </w:pPr>
            <w:r/>
            <w:r>
              <w:rPr>
                <w:rFonts w:ascii="Aptos" w:hAnsi="Aptos"/>
                <w:b w:val="0"/>
                <w:sz w:val="16"/>
              </w:rPr>
              <w:t>Party-month behavior and utilization</w:t>
            </w:r>
          </w:p>
        </w:tc>
        <w:tc>
          <w:tcPr>
            <w:tcW w:type="dxa" w:w="6624"/>
            <w:vAlign w:val="center"/>
            <w:shd w:fill="F6F9FC"/>
          </w:tcPr>
          <w:p>
            <w:pPr>
              <w:spacing w:after="0" w:before="0"/>
            </w:pPr>
            <w:r/>
            <w:r>
              <w:rPr>
                <w:rFonts w:ascii="Aptos" w:hAnsi="Aptos"/>
                <w:b w:val="0"/>
                <w:sz w:val="16"/>
              </w:rPr>
              <w:t>Reproduce monthly aggregates.</w:t>
            </w:r>
          </w:p>
        </w:tc>
      </w:tr>
      <w:tr>
        <w:tc>
          <w:tcPr>
            <w:tcW w:type="dxa" w:w="3456"/>
            <w:vAlign w:val="center"/>
          </w:tcPr>
          <w:p>
            <w:pPr>
              <w:spacing w:after="0" w:before="0"/>
            </w:pPr>
            <w:r/>
            <w:r>
              <w:rPr>
                <w:rFonts w:ascii="Aptos" w:hAnsi="Aptos"/>
                <w:b w:val="0"/>
                <w:sz w:val="16"/>
              </w:rPr>
              <w:t>Behavior windows</w:t>
            </w:r>
          </w:p>
        </w:tc>
        <w:tc>
          <w:tcPr>
            <w:tcW w:type="dxa" w:w="6624"/>
            <w:vAlign w:val="center"/>
          </w:tcPr>
          <w:p>
            <w:pPr>
              <w:spacing w:after="0" w:before="0"/>
            </w:pPr>
            <w:r/>
            <w:r>
              <w:rPr>
                <w:rFonts w:ascii="Aptos" w:hAnsi="Aptos"/>
                <w:b w:val="0"/>
                <w:sz w:val="16"/>
              </w:rPr>
              <w:t>Reproduce Current and Z formulas.</w:t>
            </w:r>
          </w:p>
        </w:tc>
      </w:tr>
      <w:tr>
        <w:tc>
          <w:tcPr>
            <w:tcW w:type="dxa" w:w="3456"/>
            <w:vAlign w:val="center"/>
            <w:shd w:fill="F6F9FC"/>
          </w:tcPr>
          <w:p>
            <w:pPr>
              <w:spacing w:after="0" w:before="0"/>
            </w:pPr>
            <w:r/>
            <w:r>
              <w:rPr>
                <w:rFonts w:ascii="Aptos" w:hAnsi="Aptos"/>
                <w:b w:val="0"/>
                <w:sz w:val="16"/>
              </w:rPr>
              <w:t>Final feature table</w:t>
            </w:r>
          </w:p>
        </w:tc>
        <w:tc>
          <w:tcPr>
            <w:tcW w:type="dxa" w:w="6624"/>
            <w:vAlign w:val="center"/>
            <w:shd w:fill="F6F9FC"/>
          </w:tcPr>
          <w:p>
            <w:pPr>
              <w:spacing w:after="0" w:before="0"/>
            </w:pPr>
            <w:r/>
            <w:r>
              <w:rPr>
                <w:rFonts w:ascii="Aptos" w:hAnsi="Aptos"/>
                <w:b w:val="0"/>
                <w:sz w:val="16"/>
              </w:rPr>
              <w:t>Exact input to A/B model development.</w:t>
            </w:r>
          </w:p>
        </w:tc>
      </w:tr>
      <w:tr>
        <w:tc>
          <w:tcPr>
            <w:tcW w:type="dxa" w:w="3456"/>
            <w:vAlign w:val="center"/>
          </w:tcPr>
          <w:p>
            <w:pPr>
              <w:spacing w:after="0" w:before="0"/>
            </w:pPr>
            <w:r/>
            <w:r>
              <w:rPr>
                <w:rFonts w:ascii="Aptos" w:hAnsi="Aptos"/>
                <w:b w:val="0"/>
                <w:sz w:val="16"/>
              </w:rPr>
              <w:t>Transformation SQL / notebooks</w:t>
            </w:r>
          </w:p>
        </w:tc>
        <w:tc>
          <w:tcPr>
            <w:tcW w:type="dxa" w:w="6624"/>
            <w:vAlign w:val="center"/>
          </w:tcPr>
          <w:p>
            <w:pPr>
              <w:spacing w:after="0" w:before="0"/>
            </w:pPr>
            <w:r/>
            <w:r>
              <w:rPr>
                <w:rFonts w:ascii="Aptos" w:hAnsi="Aptos"/>
                <w:b w:val="0"/>
                <w:sz w:val="16"/>
              </w:rPr>
              <w:t>Resolve any implementation detail not fully captured by semantic documentation.</w:t>
            </w:r>
          </w:p>
        </w:tc>
      </w:tr>
    </w:tbl>
    <w:p>
      <w:pPr>
        <w:spacing w:after="20"/>
      </w:pPr>
    </w:p>
    <w:p>
      <w:r>
        <w:br w:type="page"/>
      </w:r>
    </w:p>
    <w:p>
      <w:pPr>
        <w:pStyle w:val="Heading1"/>
      </w:pPr>
      <w:r>
        <w:t>Appendix A. Raw trades column inventory</w:t>
      </w:r>
    </w:p>
    <w:p>
      <w:r>
        <w:t>The following source columns were provided from the trades schema. The report preserves source names. Columns explicitly used in validated feature construction are marked as CORE; others remain source/context fields and may support audit or source filtering.</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315A7D"/>
          </w:tcPr>
          <w:p>
            <w:pPr>
              <w:spacing w:after="0" w:before="0"/>
            </w:pPr>
            <w:r/>
            <w:r>
              <w:rPr>
                <w:rFonts w:ascii="Aptos" w:hAnsi="Aptos"/>
                <w:b/>
                <w:color w:val="FFFFFF"/>
                <w:sz w:val="14"/>
              </w:rPr>
              <w:t>Column</w:t>
            </w:r>
          </w:p>
        </w:tc>
        <w:tc>
          <w:tcPr>
            <w:tcW w:type="dxa" w:w="3456"/>
            <w:vAlign w:val="center"/>
            <w:shd w:fill="315A7D"/>
          </w:tcPr>
          <w:p>
            <w:pPr>
              <w:spacing w:after="0" w:before="0"/>
            </w:pPr>
            <w:r/>
            <w:r>
              <w:rPr>
                <w:rFonts w:ascii="Aptos" w:hAnsi="Aptos"/>
                <w:b/>
                <w:color w:val="FFFFFF"/>
                <w:sz w:val="14"/>
              </w:rPr>
              <w:t>Functional group</w:t>
            </w:r>
          </w:p>
        </w:tc>
        <w:tc>
          <w:tcPr>
            <w:tcW w:type="dxa" w:w="2880"/>
            <w:vAlign w:val="center"/>
            <w:shd w:fill="315A7D"/>
          </w:tcPr>
          <w:p>
            <w:pPr>
              <w:spacing w:after="0" w:before="0"/>
            </w:pPr>
            <w:r/>
            <w:r>
              <w:rPr>
                <w:rFonts w:ascii="Aptos" w:hAnsi="Aptos"/>
                <w:b/>
                <w:color w:val="FFFFFF"/>
                <w:sz w:val="14"/>
              </w:rPr>
              <w:t>Project role</w:t>
            </w:r>
          </w:p>
        </w:tc>
      </w:tr>
      <w:tr>
        <w:tc>
          <w:tcPr>
            <w:tcW w:type="dxa" w:w="3744"/>
            <w:vAlign w:val="center"/>
          </w:tcPr>
          <w:p>
            <w:pPr>
              <w:spacing w:after="0" w:before="0"/>
            </w:pPr>
            <w:r/>
            <w:r>
              <w:rPr>
                <w:rFonts w:ascii="Aptos" w:hAnsi="Aptos"/>
                <w:b w:val="0"/>
                <w:sz w:val="14"/>
              </w:rPr>
              <w:t>party_id</w:t>
            </w:r>
          </w:p>
        </w:tc>
        <w:tc>
          <w:tcPr>
            <w:tcW w:type="dxa" w:w="3456"/>
            <w:vAlign w:val="center"/>
          </w:tcPr>
          <w:p>
            <w:pPr>
              <w:spacing w:after="0" w:before="0"/>
            </w:pPr>
            <w:r/>
            <w:r>
              <w:rPr>
                <w:rFonts w:ascii="Aptos" w:hAnsi="Aptos"/>
                <w:b w:val="0"/>
                <w:sz w:val="14"/>
              </w:rPr>
              <w:t>Identifier</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trades_seq_num</w:t>
            </w:r>
          </w:p>
        </w:tc>
        <w:tc>
          <w:tcPr>
            <w:tcW w:type="dxa" w:w="3456"/>
            <w:vAlign w:val="center"/>
            <w:shd w:fill="F6F9FC"/>
          </w:tcPr>
          <w:p>
            <w:pPr>
              <w:spacing w:after="0" w:before="0"/>
            </w:pPr>
            <w:r/>
            <w:r>
              <w:rPr>
                <w:rFonts w:ascii="Aptos" w:hAnsi="Aptos"/>
                <w:b w:val="0"/>
                <w:sz w:val="14"/>
              </w:rPr>
              <w:t>Source sequence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acct_id</w:t>
            </w:r>
          </w:p>
        </w:tc>
        <w:tc>
          <w:tcPr>
            <w:tcW w:type="dxa" w:w="3456"/>
            <w:vAlign w:val="center"/>
          </w:tcPr>
          <w:p>
            <w:pPr>
              <w:spacing w:after="0" w:before="0"/>
            </w:pPr>
            <w:r/>
            <w:r>
              <w:rPr>
                <w:rFonts w:ascii="Aptos" w:hAnsi="Aptos"/>
                <w:b w:val="0"/>
                <w:sz w:val="14"/>
              </w:rPr>
              <w:t>Account identifier</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acct_num</w:t>
            </w:r>
          </w:p>
        </w:tc>
        <w:tc>
          <w:tcPr>
            <w:tcW w:type="dxa" w:w="3456"/>
            <w:vAlign w:val="center"/>
            <w:shd w:fill="F6F9FC"/>
          </w:tcPr>
          <w:p>
            <w:pPr>
              <w:spacing w:after="0" w:before="0"/>
            </w:pPr>
            <w:r/>
            <w:r>
              <w:rPr>
                <w:rFonts w:ascii="Aptos" w:hAnsi="Aptos"/>
                <w:b w:val="0"/>
                <w:sz w:val="14"/>
              </w:rPr>
              <w:t>Account number</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acct_typ_cde</w:t>
            </w:r>
          </w:p>
        </w:tc>
        <w:tc>
          <w:tcPr>
            <w:tcW w:type="dxa" w:w="3456"/>
            <w:vAlign w:val="center"/>
          </w:tcPr>
          <w:p>
            <w:pPr>
              <w:spacing w:after="0" w:before="0"/>
            </w:pPr>
            <w:r/>
            <w:r>
              <w:rPr>
                <w:rFonts w:ascii="Aptos" w:hAnsi="Aptos"/>
                <w:b w:val="0"/>
                <w:sz w:val="14"/>
              </w:rPr>
              <w:t>Account type</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agcy_id_cde</w:t>
            </w:r>
          </w:p>
        </w:tc>
        <w:tc>
          <w:tcPr>
            <w:tcW w:type="dxa" w:w="3456"/>
            <w:vAlign w:val="center"/>
            <w:shd w:fill="F6F9FC"/>
          </w:tcPr>
          <w:p>
            <w:pPr>
              <w:spacing w:after="0" w:before="0"/>
            </w:pPr>
            <w:r/>
            <w:r>
              <w:rPr>
                <w:rFonts w:ascii="Aptos" w:hAnsi="Aptos"/>
                <w:b w:val="0"/>
                <w:sz w:val="14"/>
              </w:rPr>
              <w:t>Agency/source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bloon_payt_amt</w:t>
            </w:r>
          </w:p>
        </w:tc>
        <w:tc>
          <w:tcPr>
            <w:tcW w:type="dxa" w:w="3456"/>
            <w:vAlign w:val="center"/>
          </w:tcPr>
          <w:p>
            <w:pPr>
              <w:spacing w:after="0" w:before="0"/>
            </w:pPr>
            <w:r/>
            <w:r>
              <w:rPr>
                <w:rFonts w:ascii="Aptos" w:hAnsi="Aptos"/>
                <w:b w:val="0"/>
                <w:sz w:val="14"/>
              </w:rPr>
              <w:t>Balloon payment</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bloon_payt_due_dte</w:t>
            </w:r>
          </w:p>
        </w:tc>
        <w:tc>
          <w:tcPr>
            <w:tcW w:type="dxa" w:w="3456"/>
            <w:vAlign w:val="center"/>
            <w:shd w:fill="F6F9FC"/>
          </w:tcPr>
          <w:p>
            <w:pPr>
              <w:spacing w:after="0" w:before="0"/>
            </w:pPr>
            <w:r/>
            <w:r>
              <w:rPr>
                <w:rFonts w:ascii="Aptos" w:hAnsi="Aptos"/>
                <w:b w:val="0"/>
                <w:sz w:val="14"/>
              </w:rPr>
              <w:t>Balloon due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crdtr_cls_cde</w:t>
            </w:r>
          </w:p>
        </w:tc>
        <w:tc>
          <w:tcPr>
            <w:tcW w:type="dxa" w:w="3456"/>
            <w:vAlign w:val="center"/>
          </w:tcPr>
          <w:p>
            <w:pPr>
              <w:spacing w:after="0" w:before="0"/>
            </w:pPr>
            <w:r/>
            <w:r>
              <w:rPr>
                <w:rFonts w:ascii="Aptos" w:hAnsi="Aptos"/>
                <w:b w:val="0"/>
                <w:sz w:val="14"/>
              </w:rPr>
              <w:t>Creditor class</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defr_payt_strt_dte</w:t>
            </w:r>
          </w:p>
        </w:tc>
        <w:tc>
          <w:tcPr>
            <w:tcW w:type="dxa" w:w="3456"/>
            <w:vAlign w:val="center"/>
            <w:shd w:fill="F6F9FC"/>
          </w:tcPr>
          <w:p>
            <w:pPr>
              <w:spacing w:after="0" w:before="0"/>
            </w:pPr>
            <w:r/>
            <w:r>
              <w:rPr>
                <w:rFonts w:ascii="Aptos" w:hAnsi="Aptos"/>
                <w:b w:val="0"/>
                <w:sz w:val="14"/>
              </w:rPr>
              <w:t>Deferred-payment start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ecoa_cde</w:t>
            </w:r>
          </w:p>
        </w:tc>
        <w:tc>
          <w:tcPr>
            <w:tcW w:type="dxa" w:w="3456"/>
            <w:vAlign w:val="center"/>
          </w:tcPr>
          <w:p>
            <w:pPr>
              <w:spacing w:after="0" w:before="0"/>
            </w:pPr>
            <w:r/>
            <w:r>
              <w:rPr>
                <w:rFonts w:ascii="Aptos" w:hAnsi="Aptos"/>
                <w:b w:val="0"/>
                <w:sz w:val="14"/>
              </w:rPr>
              <w:t>ECOA code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end_dte</w:t>
            </w:r>
          </w:p>
        </w:tc>
        <w:tc>
          <w:tcPr>
            <w:tcW w:type="dxa" w:w="3456"/>
            <w:vAlign w:val="center"/>
            <w:shd w:fill="F6F9FC"/>
          </w:tcPr>
          <w:p>
            <w:pPr>
              <w:spacing w:after="0" w:before="0"/>
            </w:pPr>
            <w:r/>
            <w:r>
              <w:rPr>
                <w:rFonts w:ascii="Aptos" w:hAnsi="Aptos"/>
                <w:b w:val="0"/>
                <w:sz w:val="14"/>
              </w:rPr>
              <w:t>End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erl_maxdlq_rte_dte</w:t>
            </w:r>
          </w:p>
        </w:tc>
        <w:tc>
          <w:tcPr>
            <w:tcW w:type="dxa" w:w="3456"/>
            <w:vAlign w:val="center"/>
          </w:tcPr>
          <w:p>
            <w:pPr>
              <w:spacing w:after="0" w:before="0"/>
            </w:pPr>
            <w:r/>
            <w:r>
              <w:rPr>
                <w:rFonts w:ascii="Aptos" w:hAnsi="Aptos"/>
                <w:b w:val="0"/>
                <w:sz w:val="14"/>
              </w:rPr>
              <w:t>Earliest max-delinquency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erl_mxdlq_psdu_amt</w:t>
            </w:r>
          </w:p>
        </w:tc>
        <w:tc>
          <w:tcPr>
            <w:tcW w:type="dxa" w:w="3456"/>
            <w:vAlign w:val="center"/>
            <w:shd w:fill="F6F9FC"/>
          </w:tcPr>
          <w:p>
            <w:pPr>
              <w:spacing w:after="0" w:before="0"/>
            </w:pPr>
            <w:r/>
            <w:r>
              <w:rPr>
                <w:rFonts w:ascii="Aptos" w:hAnsi="Aptos"/>
                <w:b w:val="0"/>
                <w:sz w:val="14"/>
              </w:rPr>
              <w:t>Earliest max-delinquency past-due amount</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inp_seg_src_cde</w:t>
            </w:r>
          </w:p>
        </w:tc>
        <w:tc>
          <w:tcPr>
            <w:tcW w:type="dxa" w:w="3456"/>
            <w:vAlign w:val="center"/>
          </w:tcPr>
          <w:p>
            <w:pPr>
              <w:spacing w:after="0" w:before="0"/>
            </w:pPr>
            <w:r/>
            <w:r>
              <w:rPr>
                <w:rFonts w:ascii="Aptos" w:hAnsi="Aptos"/>
                <w:b w:val="0"/>
                <w:sz w:val="14"/>
              </w:rPr>
              <w:t>Input segment/source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kob_posn_1_cde</w:t>
            </w:r>
          </w:p>
        </w:tc>
        <w:tc>
          <w:tcPr>
            <w:tcW w:type="dxa" w:w="3456"/>
            <w:vAlign w:val="center"/>
            <w:shd w:fill="F6F9FC"/>
          </w:tcPr>
          <w:p>
            <w:pPr>
              <w:spacing w:after="0" w:before="0"/>
            </w:pPr>
            <w:r/>
            <w:r>
              <w:rPr>
                <w:rFonts w:ascii="Aptos" w:hAnsi="Aptos"/>
                <w:b w:val="0"/>
                <w:sz w:val="14"/>
              </w:rPr>
              <w:t>KOB position code 1</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kob_posn_2_cde</w:t>
            </w:r>
          </w:p>
        </w:tc>
        <w:tc>
          <w:tcPr>
            <w:tcW w:type="dxa" w:w="3456"/>
            <w:vAlign w:val="center"/>
          </w:tcPr>
          <w:p>
            <w:pPr>
              <w:spacing w:after="0" w:before="0"/>
            </w:pPr>
            <w:r/>
            <w:r>
              <w:rPr>
                <w:rFonts w:ascii="Aptos" w:hAnsi="Aptos"/>
                <w:b w:val="0"/>
                <w:sz w:val="14"/>
              </w:rPr>
              <w:t>KOB position code 2</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legis_prhib_cde</w:t>
            </w:r>
          </w:p>
        </w:tc>
        <w:tc>
          <w:tcPr>
            <w:tcW w:type="dxa" w:w="3456"/>
            <w:vAlign w:val="center"/>
            <w:shd w:fill="F6F9FC"/>
          </w:tcPr>
          <w:p>
            <w:pPr>
              <w:spacing w:after="0" w:before="0"/>
            </w:pPr>
            <w:r/>
            <w:r>
              <w:rPr>
                <w:rFonts w:ascii="Aptos" w:hAnsi="Aptos"/>
                <w:b w:val="0"/>
                <w:sz w:val="14"/>
              </w:rPr>
              <w:t>Legislative prohibition code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max_delq_amt</w:t>
            </w:r>
          </w:p>
        </w:tc>
        <w:tc>
          <w:tcPr>
            <w:tcW w:type="dxa" w:w="3456"/>
            <w:vAlign w:val="center"/>
          </w:tcPr>
          <w:p>
            <w:pPr>
              <w:spacing w:after="0" w:before="0"/>
            </w:pPr>
            <w:r/>
            <w:r>
              <w:rPr>
                <w:rFonts w:ascii="Aptos" w:hAnsi="Aptos"/>
                <w:b w:val="0"/>
                <w:sz w:val="14"/>
              </w:rPr>
              <w:t>Maximum delinquency amount</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max_delq_dte</w:t>
            </w:r>
          </w:p>
        </w:tc>
        <w:tc>
          <w:tcPr>
            <w:tcW w:type="dxa" w:w="3456"/>
            <w:vAlign w:val="center"/>
            <w:shd w:fill="F6F9FC"/>
          </w:tcPr>
          <w:p>
            <w:pPr>
              <w:spacing w:after="0" w:before="0"/>
            </w:pPr>
            <w:r/>
            <w:r>
              <w:rPr>
                <w:rFonts w:ascii="Aptos" w:hAnsi="Aptos"/>
                <w:b w:val="0"/>
                <w:sz w:val="14"/>
              </w:rPr>
              <w:t>Maximum delinquency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max_delq_rte_cde</w:t>
            </w:r>
          </w:p>
        </w:tc>
        <w:tc>
          <w:tcPr>
            <w:tcW w:type="dxa" w:w="3456"/>
            <w:vAlign w:val="center"/>
          </w:tcPr>
          <w:p>
            <w:pPr>
              <w:spacing w:after="0" w:before="0"/>
            </w:pPr>
            <w:r/>
            <w:r>
              <w:rPr>
                <w:rFonts w:ascii="Aptos" w:hAnsi="Aptos"/>
                <w:b w:val="0"/>
                <w:sz w:val="14"/>
              </w:rPr>
              <w:t>Maximum delinquency rating</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mortg_id_num</w:t>
            </w:r>
          </w:p>
        </w:tc>
        <w:tc>
          <w:tcPr>
            <w:tcW w:type="dxa" w:w="3456"/>
            <w:vAlign w:val="center"/>
            <w:shd w:fill="F6F9FC"/>
          </w:tcPr>
          <w:p>
            <w:pPr>
              <w:spacing w:after="0" w:before="0"/>
            </w:pPr>
            <w:r/>
            <w:r>
              <w:rPr>
                <w:rFonts w:ascii="Aptos" w:hAnsi="Aptos"/>
                <w:b w:val="0"/>
                <w:sz w:val="14"/>
              </w:rPr>
              <w:t>Mortgage identifier</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open_dte</w:t>
            </w:r>
          </w:p>
        </w:tc>
        <w:tc>
          <w:tcPr>
            <w:tcW w:type="dxa" w:w="3456"/>
            <w:vAlign w:val="center"/>
          </w:tcPr>
          <w:p>
            <w:pPr>
              <w:spacing w:after="0" w:before="0"/>
            </w:pPr>
            <w:r/>
            <w:r>
              <w:rPr>
                <w:rFonts w:ascii="Aptos" w:hAnsi="Aptos"/>
                <w:b w:val="0"/>
                <w:sz w:val="14"/>
              </w:rPr>
              <w:t>Open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orgn_chrg_off_amt</w:t>
            </w:r>
          </w:p>
        </w:tc>
        <w:tc>
          <w:tcPr>
            <w:tcW w:type="dxa" w:w="3456"/>
            <w:vAlign w:val="center"/>
            <w:shd w:fill="F6F9FC"/>
          </w:tcPr>
          <w:p>
            <w:pPr>
              <w:spacing w:after="0" w:before="0"/>
            </w:pPr>
            <w:r/>
            <w:r>
              <w:rPr>
                <w:rFonts w:ascii="Aptos" w:hAnsi="Aptos"/>
                <w:b w:val="0"/>
                <w:sz w:val="14"/>
              </w:rPr>
              <w:t>Original charge-off amount</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orgn_cint_nme</w:t>
            </w:r>
          </w:p>
        </w:tc>
        <w:tc>
          <w:tcPr>
            <w:tcW w:type="dxa" w:w="3456"/>
            <w:vAlign w:val="center"/>
          </w:tcPr>
          <w:p>
            <w:pPr>
              <w:spacing w:after="0" w:before="0"/>
            </w:pPr>
            <w:r/>
            <w:r>
              <w:rPr>
                <w:rFonts w:ascii="Aptos" w:hAnsi="Aptos"/>
                <w:b w:val="0"/>
                <w:sz w:val="14"/>
              </w:rPr>
              <w:t>Original creditor name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payt_schd_mth_cnt</w:t>
            </w:r>
          </w:p>
        </w:tc>
        <w:tc>
          <w:tcPr>
            <w:tcW w:type="dxa" w:w="3456"/>
            <w:vAlign w:val="center"/>
            <w:shd w:fill="F6F9FC"/>
          </w:tcPr>
          <w:p>
            <w:pPr>
              <w:spacing w:after="0" w:before="0"/>
            </w:pPr>
            <w:r/>
            <w:r>
              <w:rPr>
                <w:rFonts w:ascii="Aptos" w:hAnsi="Aptos"/>
                <w:b w:val="0"/>
                <w:sz w:val="14"/>
              </w:rPr>
              <w:t>Payment-schedule month count</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porf_sale_ind_cde</w:t>
            </w:r>
          </w:p>
        </w:tc>
        <w:tc>
          <w:tcPr>
            <w:tcW w:type="dxa" w:w="3456"/>
            <w:vAlign w:val="center"/>
          </w:tcPr>
          <w:p>
            <w:pPr>
              <w:spacing w:after="0" w:before="0"/>
            </w:pPr>
            <w:r/>
            <w:r>
              <w:rPr>
                <w:rFonts w:ascii="Aptos" w:hAnsi="Aptos"/>
                <w:b w:val="0"/>
                <w:sz w:val="14"/>
              </w:rPr>
              <w:t>Portfolio-sale indicator</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port_sale_nme</w:t>
            </w:r>
          </w:p>
        </w:tc>
        <w:tc>
          <w:tcPr>
            <w:tcW w:type="dxa" w:w="3456"/>
            <w:vAlign w:val="center"/>
            <w:shd w:fill="F6F9FC"/>
          </w:tcPr>
          <w:p>
            <w:pPr>
              <w:spacing w:after="0" w:before="0"/>
            </w:pPr>
            <w:r/>
            <w:r>
              <w:rPr>
                <w:rFonts w:ascii="Aptos" w:hAnsi="Aptos"/>
                <w:b w:val="0"/>
                <w:sz w:val="14"/>
              </w:rPr>
              <w:t>Portfolio-sale name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porf_typ_cde</w:t>
            </w:r>
          </w:p>
        </w:tc>
        <w:tc>
          <w:tcPr>
            <w:tcW w:type="dxa" w:w="3456"/>
            <w:vAlign w:val="center"/>
          </w:tcPr>
          <w:p>
            <w:pPr>
              <w:spacing w:after="0" w:before="0"/>
            </w:pPr>
            <w:r/>
            <w:r>
              <w:rPr>
                <w:rFonts w:ascii="Aptos" w:hAnsi="Aptos"/>
                <w:b w:val="0"/>
                <w:sz w:val="14"/>
              </w:rPr>
              <w:t>Portfolio type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rem_frst_rpt_dte</w:t>
            </w:r>
          </w:p>
        </w:tc>
        <w:tc>
          <w:tcPr>
            <w:tcW w:type="dxa" w:w="3456"/>
            <w:vAlign w:val="center"/>
            <w:shd w:fill="F6F9FC"/>
          </w:tcPr>
          <w:p>
            <w:pPr>
              <w:spacing w:after="0" w:before="0"/>
            </w:pPr>
            <w:r/>
            <w:r>
              <w:rPr>
                <w:rFonts w:ascii="Aptos" w:hAnsi="Aptos"/>
                <w:b w:val="0"/>
                <w:sz w:val="14"/>
              </w:rPr>
              <w:t>Remark first-report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rsub_base_cde</w:t>
            </w:r>
          </w:p>
        </w:tc>
        <w:tc>
          <w:tcPr>
            <w:tcW w:type="dxa" w:w="3456"/>
            <w:vAlign w:val="center"/>
          </w:tcPr>
          <w:p>
            <w:pPr>
              <w:spacing w:after="0" w:before="0"/>
            </w:pPr>
            <w:r/>
            <w:r>
              <w:rPr>
                <w:rFonts w:ascii="Aptos" w:hAnsi="Aptos"/>
                <w:b w:val="0"/>
                <w:sz w:val="14"/>
              </w:rPr>
              <w:t>Subscriber base code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rsub_sfx_cde</w:t>
            </w:r>
          </w:p>
        </w:tc>
        <w:tc>
          <w:tcPr>
            <w:tcW w:type="dxa" w:w="3456"/>
            <w:vAlign w:val="center"/>
            <w:shd w:fill="F6F9FC"/>
          </w:tcPr>
          <w:p>
            <w:pPr>
              <w:spacing w:after="0" w:before="0"/>
            </w:pPr>
            <w:r/>
            <w:r>
              <w:rPr>
                <w:rFonts w:ascii="Aptos" w:hAnsi="Aptos"/>
                <w:b w:val="0"/>
                <w:sz w:val="14"/>
              </w:rPr>
              <w:t>Subscriber suffix</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scnd_agcy_acct_num</w:t>
            </w:r>
          </w:p>
        </w:tc>
        <w:tc>
          <w:tcPr>
            <w:tcW w:type="dxa" w:w="3456"/>
            <w:vAlign w:val="center"/>
          </w:tcPr>
          <w:p>
            <w:pPr>
              <w:spacing w:after="0" w:before="0"/>
            </w:pPr>
            <w:r/>
            <w:r>
              <w:rPr>
                <w:rFonts w:ascii="Aptos" w:hAnsi="Aptos"/>
                <w:b w:val="0"/>
                <w:sz w:val="14"/>
              </w:rPr>
              <w:t>Second agency account number</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terms_freq_cde</w:t>
            </w:r>
          </w:p>
        </w:tc>
        <w:tc>
          <w:tcPr>
            <w:tcW w:type="dxa" w:w="3456"/>
            <w:vAlign w:val="center"/>
            <w:shd w:fill="F6F9FC"/>
          </w:tcPr>
          <w:p>
            <w:pPr>
              <w:spacing w:after="0" w:before="0"/>
            </w:pPr>
            <w:r/>
            <w:r>
              <w:rPr>
                <w:rFonts w:ascii="Aptos" w:hAnsi="Aptos"/>
                <w:b w:val="0"/>
                <w:sz w:val="14"/>
              </w:rPr>
              <w:t>Terms frequency</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acct_mop_cde</w:t>
            </w:r>
          </w:p>
        </w:tc>
        <w:tc>
          <w:tcPr>
            <w:tcW w:type="dxa" w:w="3456"/>
            <w:vAlign w:val="center"/>
          </w:tcPr>
          <w:p>
            <w:pPr>
              <w:spacing w:after="0" w:before="0"/>
            </w:pPr>
            <w:r/>
            <w:r>
              <w:rPr>
                <w:rFonts w:ascii="Aptos" w:hAnsi="Aptos"/>
                <w:b w:val="0"/>
                <w:sz w:val="14"/>
              </w:rPr>
              <w:t>MOP / payment status</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affil_rem_cde</w:t>
            </w:r>
          </w:p>
        </w:tc>
        <w:tc>
          <w:tcPr>
            <w:tcW w:type="dxa" w:w="3456"/>
            <w:vAlign w:val="center"/>
            <w:shd w:fill="F6F9FC"/>
          </w:tcPr>
          <w:p>
            <w:pPr>
              <w:spacing w:after="0" w:before="0"/>
            </w:pPr>
            <w:r/>
            <w:r>
              <w:rPr>
                <w:rFonts w:ascii="Aptos" w:hAnsi="Aptos"/>
                <w:b w:val="0"/>
                <w:sz w:val="14"/>
              </w:rPr>
              <w:t>Affiliate remark code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clsd_dte</w:t>
            </w:r>
          </w:p>
        </w:tc>
        <w:tc>
          <w:tcPr>
            <w:tcW w:type="dxa" w:w="3456"/>
            <w:vAlign w:val="center"/>
          </w:tcPr>
          <w:p>
            <w:pPr>
              <w:spacing w:after="0" w:before="0"/>
            </w:pPr>
            <w:r/>
            <w:r>
              <w:rPr>
                <w:rFonts w:ascii="Aptos" w:hAnsi="Aptos"/>
                <w:b w:val="0"/>
                <w:sz w:val="14"/>
              </w:rPr>
              <w:t>Closed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cmpinc_rem_cde</w:t>
            </w:r>
          </w:p>
        </w:tc>
        <w:tc>
          <w:tcPr>
            <w:tcW w:type="dxa" w:w="3456"/>
            <w:vAlign w:val="center"/>
            <w:shd w:fill="F6F9FC"/>
          </w:tcPr>
          <w:p>
            <w:pPr>
              <w:spacing w:after="0" w:before="0"/>
            </w:pPr>
            <w:r/>
            <w:r>
              <w:rPr>
                <w:rFonts w:ascii="Aptos" w:hAnsi="Aptos"/>
                <w:b w:val="0"/>
                <w:sz w:val="14"/>
              </w:rPr>
              <w:t>Compliance remark code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cmplrem_frsrpt_dte</w:t>
            </w:r>
          </w:p>
        </w:tc>
        <w:tc>
          <w:tcPr>
            <w:tcW w:type="dxa" w:w="3456"/>
            <w:vAlign w:val="center"/>
          </w:tcPr>
          <w:p>
            <w:pPr>
              <w:spacing w:after="0" w:before="0"/>
            </w:pPr>
            <w:r/>
            <w:r>
              <w:rPr>
                <w:rFonts w:ascii="Aptos" w:hAnsi="Aptos"/>
                <w:b w:val="0"/>
                <w:sz w:val="14"/>
              </w:rPr>
              <w:t>Compliance remark first-report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cr_lmt_amt</w:t>
            </w:r>
          </w:p>
        </w:tc>
        <w:tc>
          <w:tcPr>
            <w:tcW w:type="dxa" w:w="3456"/>
            <w:vAlign w:val="center"/>
            <w:shd w:fill="F6F9FC"/>
          </w:tcPr>
          <w:p>
            <w:pPr>
              <w:spacing w:after="0" w:before="0"/>
            </w:pPr>
            <w:r/>
            <w:r>
              <w:rPr>
                <w:rFonts w:ascii="Aptos" w:hAnsi="Aptos"/>
                <w:b w:val="0"/>
                <w:sz w:val="14"/>
              </w:rPr>
              <w:t>Credit limit</w:t>
            </w:r>
          </w:p>
        </w:tc>
        <w:tc>
          <w:tcPr>
            <w:tcW w:type="dxa" w:w="2880"/>
            <w:vAlign w:val="center"/>
            <w:shd w:fill="F6F9FC"/>
          </w:tcPr>
          <w:p>
            <w:pPr>
              <w:spacing w:after="0" w:before="0"/>
            </w:pPr>
            <w:r/>
            <w:r>
              <w:rPr>
                <w:rFonts w:ascii="Aptos" w:hAnsi="Aptos"/>
                <w:b w:val="0"/>
                <w:sz w:val="14"/>
              </w:rPr>
              <w:t>CORE</w:t>
            </w:r>
          </w:p>
        </w:tc>
      </w:tr>
      <w:tr>
        <w:tc>
          <w:tcPr>
            <w:tcW w:type="dxa" w:w="3744"/>
            <w:vAlign w:val="center"/>
          </w:tcPr>
          <w:p>
            <w:pPr>
              <w:spacing w:after="0" w:before="0"/>
            </w:pPr>
            <w:r/>
            <w:r>
              <w:rPr>
                <w:rFonts w:ascii="Aptos" w:hAnsi="Aptos"/>
                <w:b w:val="0"/>
                <w:sz w:val="14"/>
              </w:rPr>
              <w:t>curr_bal_amt</w:t>
            </w:r>
          </w:p>
        </w:tc>
        <w:tc>
          <w:tcPr>
            <w:tcW w:type="dxa" w:w="3456"/>
            <w:vAlign w:val="center"/>
          </w:tcPr>
          <w:p>
            <w:pPr>
              <w:spacing w:after="0" w:before="0"/>
            </w:pPr>
            <w:r/>
            <w:r>
              <w:rPr>
                <w:rFonts w:ascii="Aptos" w:hAnsi="Aptos"/>
                <w:b w:val="0"/>
                <w:sz w:val="14"/>
              </w:rPr>
              <w:t>Current balance</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eff_dte</w:t>
            </w:r>
          </w:p>
        </w:tc>
        <w:tc>
          <w:tcPr>
            <w:tcW w:type="dxa" w:w="3456"/>
            <w:vAlign w:val="center"/>
            <w:shd w:fill="F6F9FC"/>
          </w:tcPr>
          <w:p>
            <w:pPr>
              <w:spacing w:after="0" w:before="0"/>
            </w:pPr>
            <w:r/>
            <w:r>
              <w:rPr>
                <w:rFonts w:ascii="Aptos" w:hAnsi="Aptos"/>
                <w:b w:val="0"/>
                <w:sz w:val="14"/>
              </w:rPr>
              <w:t>Effective/verified date</w:t>
            </w:r>
          </w:p>
        </w:tc>
        <w:tc>
          <w:tcPr>
            <w:tcW w:type="dxa" w:w="2880"/>
            <w:vAlign w:val="center"/>
            <w:shd w:fill="F6F9FC"/>
          </w:tcPr>
          <w:p>
            <w:pPr>
              <w:spacing w:after="0" w:before="0"/>
            </w:pPr>
            <w:r/>
            <w:r>
              <w:rPr>
                <w:rFonts w:ascii="Aptos" w:hAnsi="Aptos"/>
                <w:b w:val="0"/>
                <w:sz w:val="14"/>
              </w:rPr>
              <w:t>CORE</w:t>
            </w:r>
          </w:p>
        </w:tc>
      </w:tr>
      <w:tr>
        <w:tc>
          <w:tcPr>
            <w:tcW w:type="dxa" w:w="3744"/>
            <w:vAlign w:val="center"/>
          </w:tcPr>
          <w:p>
            <w:pPr>
              <w:spacing w:after="0" w:before="0"/>
            </w:pPr>
            <w:r/>
            <w:r>
              <w:rPr>
                <w:rFonts w:ascii="Aptos" w:hAnsi="Aptos"/>
                <w:b w:val="0"/>
                <w:sz w:val="14"/>
              </w:rPr>
              <w:t>gnre_rem_cde</w:t>
            </w:r>
          </w:p>
        </w:tc>
        <w:tc>
          <w:tcPr>
            <w:tcW w:type="dxa" w:w="3456"/>
            <w:vAlign w:val="center"/>
          </w:tcPr>
          <w:p>
            <w:pPr>
              <w:spacing w:after="0" w:before="0"/>
            </w:pPr>
            <w:r/>
            <w:r>
              <w:rPr>
                <w:rFonts w:ascii="Aptos" w:hAnsi="Aptos"/>
                <w:b w:val="0"/>
                <w:sz w:val="14"/>
              </w:rPr>
              <w:t>General remark code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gnrcrem_frsrpt_dte</w:t>
            </w:r>
          </w:p>
        </w:tc>
        <w:tc>
          <w:tcPr>
            <w:tcW w:type="dxa" w:w="3456"/>
            <w:vAlign w:val="center"/>
            <w:shd w:fill="F6F9FC"/>
          </w:tcPr>
          <w:p>
            <w:pPr>
              <w:spacing w:after="0" w:before="0"/>
            </w:pPr>
            <w:r/>
            <w:r>
              <w:rPr>
                <w:rFonts w:ascii="Aptos" w:hAnsi="Aptos"/>
                <w:b w:val="0"/>
                <w:sz w:val="14"/>
              </w:rPr>
              <w:t>General remark first-report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high_cr_amt</w:t>
            </w:r>
          </w:p>
        </w:tc>
        <w:tc>
          <w:tcPr>
            <w:tcW w:type="dxa" w:w="3456"/>
            <w:vAlign w:val="center"/>
          </w:tcPr>
          <w:p>
            <w:pPr>
              <w:spacing w:after="0" w:before="0"/>
            </w:pPr>
            <w:r/>
            <w:r>
              <w:rPr>
                <w:rFonts w:ascii="Aptos" w:hAnsi="Aptos"/>
                <w:b w:val="0"/>
                <w:sz w:val="14"/>
              </w:rPr>
              <w:t>High credit amount</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paid_out_dte</w:t>
            </w:r>
          </w:p>
        </w:tc>
        <w:tc>
          <w:tcPr>
            <w:tcW w:type="dxa" w:w="3456"/>
            <w:vAlign w:val="center"/>
            <w:shd w:fill="F6F9FC"/>
          </w:tcPr>
          <w:p>
            <w:pPr>
              <w:spacing w:after="0" w:before="0"/>
            </w:pPr>
            <w:r/>
            <w:r>
              <w:rPr>
                <w:rFonts w:ascii="Aptos" w:hAnsi="Aptos"/>
                <w:b w:val="0"/>
                <w:sz w:val="14"/>
              </w:rPr>
              <w:t>Paid-out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past_due_amt</w:t>
            </w:r>
          </w:p>
        </w:tc>
        <w:tc>
          <w:tcPr>
            <w:tcW w:type="dxa" w:w="3456"/>
            <w:vAlign w:val="center"/>
          </w:tcPr>
          <w:p>
            <w:pPr>
              <w:spacing w:after="0" w:before="0"/>
            </w:pPr>
            <w:r/>
            <w:r>
              <w:rPr>
                <w:rFonts w:ascii="Aptos" w:hAnsi="Aptos"/>
                <w:b w:val="0"/>
                <w:sz w:val="14"/>
              </w:rPr>
              <w:t>Past-due amount</w:t>
            </w:r>
          </w:p>
        </w:tc>
        <w:tc>
          <w:tcPr>
            <w:tcW w:type="dxa" w:w="2880"/>
            <w:vAlign w:val="center"/>
          </w:tcPr>
          <w:p>
            <w:pPr>
              <w:spacing w:after="0" w:before="0"/>
            </w:pPr>
            <w:r/>
            <w:r>
              <w:rPr>
                <w:rFonts w:ascii="Aptos" w:hAnsi="Aptos"/>
                <w:b w:val="0"/>
                <w:sz w:val="14"/>
              </w:rPr>
              <w:t>CORE</w:t>
            </w:r>
          </w:p>
        </w:tc>
      </w:tr>
      <w:tr>
        <w:tc>
          <w:tcPr>
            <w:tcW w:type="dxa" w:w="3744"/>
            <w:vAlign w:val="center"/>
            <w:shd w:fill="F6F9FC"/>
          </w:tcPr>
          <w:p>
            <w:pPr>
              <w:spacing w:after="0" w:before="0"/>
            </w:pPr>
            <w:r/>
            <w:r>
              <w:rPr>
                <w:rFonts w:ascii="Aptos" w:hAnsi="Aptos"/>
                <w:b w:val="0"/>
                <w:sz w:val="14"/>
              </w:rPr>
              <w:t>payt_amt</w:t>
            </w:r>
          </w:p>
        </w:tc>
        <w:tc>
          <w:tcPr>
            <w:tcW w:type="dxa" w:w="3456"/>
            <w:vAlign w:val="center"/>
            <w:shd w:fill="F6F9FC"/>
          </w:tcPr>
          <w:p>
            <w:pPr>
              <w:spacing w:after="0" w:before="0"/>
            </w:pPr>
            <w:r/>
            <w:r>
              <w:rPr>
                <w:rFonts w:ascii="Aptos" w:hAnsi="Aptos"/>
                <w:b w:val="0"/>
                <w:sz w:val="14"/>
              </w:rPr>
              <w:t>Payment amount</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payt_dte</w:t>
            </w:r>
          </w:p>
        </w:tc>
        <w:tc>
          <w:tcPr>
            <w:tcW w:type="dxa" w:w="3456"/>
            <w:vAlign w:val="center"/>
          </w:tcPr>
          <w:p>
            <w:pPr>
              <w:spacing w:after="0" w:before="0"/>
            </w:pPr>
            <w:r/>
            <w:r>
              <w:rPr>
                <w:rFonts w:ascii="Aptos" w:hAnsi="Aptos"/>
                <w:b w:val="0"/>
                <w:sz w:val="14"/>
              </w:rPr>
              <w:t>Payment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payt_due_amt</w:t>
            </w:r>
          </w:p>
        </w:tc>
        <w:tc>
          <w:tcPr>
            <w:tcW w:type="dxa" w:w="3456"/>
            <w:vAlign w:val="center"/>
            <w:shd w:fill="F6F9FC"/>
          </w:tcPr>
          <w:p>
            <w:pPr>
              <w:spacing w:after="0" w:before="0"/>
            </w:pPr>
            <w:r/>
            <w:r>
              <w:rPr>
                <w:rFonts w:ascii="Aptos" w:hAnsi="Aptos"/>
                <w:b w:val="0"/>
                <w:sz w:val="14"/>
              </w:rPr>
              <w:t>Payment due amount</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payt_pttrn_txt</w:t>
            </w:r>
          </w:p>
        </w:tc>
        <w:tc>
          <w:tcPr>
            <w:tcW w:type="dxa" w:w="3456"/>
            <w:vAlign w:val="center"/>
          </w:tcPr>
          <w:p>
            <w:pPr>
              <w:spacing w:after="0" w:before="0"/>
            </w:pPr>
            <w:r/>
            <w:r>
              <w:rPr>
                <w:rFonts w:ascii="Aptos" w:hAnsi="Aptos"/>
                <w:b w:val="0"/>
                <w:sz w:val="14"/>
              </w:rPr>
              <w:t>Payment pattern text</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payt_typ_cde</w:t>
            </w:r>
          </w:p>
        </w:tc>
        <w:tc>
          <w:tcPr>
            <w:tcW w:type="dxa" w:w="3456"/>
            <w:vAlign w:val="center"/>
            <w:shd w:fill="F6F9FC"/>
          </w:tcPr>
          <w:p>
            <w:pPr>
              <w:spacing w:after="0" w:before="0"/>
            </w:pPr>
            <w:r/>
            <w:r>
              <w:rPr>
                <w:rFonts w:ascii="Aptos" w:hAnsi="Aptos"/>
                <w:b w:val="0"/>
                <w:sz w:val="14"/>
              </w:rPr>
              <w:t>Payment type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rte_rem_cde</w:t>
            </w:r>
          </w:p>
        </w:tc>
        <w:tc>
          <w:tcPr>
            <w:tcW w:type="dxa" w:w="3456"/>
            <w:vAlign w:val="center"/>
          </w:tcPr>
          <w:p>
            <w:pPr>
              <w:spacing w:after="0" w:before="0"/>
            </w:pPr>
            <w:r/>
            <w:r>
              <w:rPr>
                <w:rFonts w:ascii="Aptos" w:hAnsi="Aptos"/>
                <w:b w:val="0"/>
                <w:sz w:val="14"/>
              </w:rPr>
              <w:t>Rate remark code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rte_rem_frsrpt_dte</w:t>
            </w:r>
          </w:p>
        </w:tc>
        <w:tc>
          <w:tcPr>
            <w:tcW w:type="dxa" w:w="3456"/>
            <w:vAlign w:val="center"/>
            <w:shd w:fill="F6F9FC"/>
          </w:tcPr>
          <w:p>
            <w:pPr>
              <w:spacing w:after="0" w:before="0"/>
            </w:pPr>
            <w:r/>
            <w:r>
              <w:rPr>
                <w:rFonts w:ascii="Aptos" w:hAnsi="Aptos"/>
                <w:b w:val="0"/>
                <w:sz w:val="14"/>
              </w:rPr>
              <w:t>Rate remark first-report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acct_verf_cde</w:t>
            </w:r>
          </w:p>
        </w:tc>
        <w:tc>
          <w:tcPr>
            <w:tcW w:type="dxa" w:w="3456"/>
            <w:vAlign w:val="center"/>
          </w:tcPr>
          <w:p>
            <w:pPr>
              <w:spacing w:after="0" w:before="0"/>
            </w:pPr>
            <w:r/>
            <w:r>
              <w:rPr>
                <w:rFonts w:ascii="Aptos" w:hAnsi="Aptos"/>
                <w:b w:val="0"/>
                <w:sz w:val="14"/>
              </w:rPr>
              <w:t>Account verification code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acct_rte_prfl_cde</w:t>
            </w:r>
          </w:p>
        </w:tc>
        <w:tc>
          <w:tcPr>
            <w:tcW w:type="dxa" w:w="3456"/>
            <w:vAlign w:val="center"/>
            <w:shd w:fill="F6F9FC"/>
          </w:tcPr>
          <w:p>
            <w:pPr>
              <w:spacing w:after="0" w:before="0"/>
            </w:pPr>
            <w:r/>
            <w:r>
              <w:rPr>
                <w:rFonts w:ascii="Aptos" w:hAnsi="Aptos"/>
                <w:b w:val="0"/>
                <w:sz w:val="14"/>
              </w:rPr>
              <w:t>Account rating profile code</w:t>
            </w:r>
          </w:p>
        </w:tc>
        <w:tc>
          <w:tcPr>
            <w:tcW w:type="dxa" w:w="2880"/>
            <w:vAlign w:val="center"/>
            <w:shd w:fill="F6F9FC"/>
          </w:tcPr>
          <w:p>
            <w:pPr>
              <w:spacing w:after="0" w:before="0"/>
            </w:pPr>
            <w:r/>
            <w:r>
              <w:rPr>
                <w:rFonts w:ascii="Aptos" w:hAnsi="Aptos"/>
                <w:b w:val="0"/>
                <w:sz w:val="14"/>
              </w:rPr>
              <w:t>Potential rule input</w:t>
            </w:r>
          </w:p>
        </w:tc>
      </w:tr>
      <w:tr>
        <w:tc>
          <w:tcPr>
            <w:tcW w:type="dxa" w:w="3744"/>
            <w:vAlign w:val="center"/>
          </w:tcPr>
          <w:p>
            <w:pPr>
              <w:spacing w:after="0" w:before="0"/>
            </w:pPr>
            <w:r/>
            <w:r>
              <w:rPr>
                <w:rFonts w:ascii="Aptos" w:hAnsi="Aptos"/>
                <w:b w:val="0"/>
                <w:sz w:val="14"/>
              </w:rPr>
              <w:t>end_dte_age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rem_frst_rpt_dte_age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open_dte_age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defr_payt_strt_dte_age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bloon_payt_strt_dte_age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max_delq_dte_age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erl_max_delq_rte_dte_age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eff_dte_age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cmpl_rem_frst_rpt_dte_age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gnrc_rem_frst_rpt_dte_age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rte_rem_frst_rpt_dte_age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cls_dte_age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paid_out_dte_age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payt_dte_age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frst_delq_dte</w:t>
            </w:r>
          </w:p>
        </w:tc>
        <w:tc>
          <w:tcPr>
            <w:tcW w:type="dxa" w:w="3456"/>
            <w:vAlign w:val="center"/>
          </w:tcPr>
          <w:p>
            <w:pPr>
              <w:spacing w:after="0" w:before="0"/>
            </w:pPr>
            <w:r/>
            <w:r>
              <w:rPr>
                <w:rFonts w:ascii="Aptos" w:hAnsi="Aptos"/>
                <w:b w:val="0"/>
                <w:sz w:val="14"/>
              </w:rPr>
              <w:t>First delinquency date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frst_rpt_dte</w:t>
            </w:r>
          </w:p>
        </w:tc>
        <w:tc>
          <w:tcPr>
            <w:tcW w:type="dxa" w:w="3456"/>
            <w:vAlign w:val="center"/>
            <w:shd w:fill="F6F9FC"/>
          </w:tcPr>
          <w:p>
            <w:pPr>
              <w:spacing w:after="0" w:before="0"/>
            </w:pPr>
            <w:r/>
            <w:r>
              <w:rPr>
                <w:rFonts w:ascii="Aptos" w:hAnsi="Aptos"/>
                <w:b w:val="0"/>
                <w:sz w:val="14"/>
              </w:rPr>
              <w:t>First report date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acat_upd_tsp</w:t>
            </w:r>
          </w:p>
        </w:tc>
        <w:tc>
          <w:tcPr>
            <w:tcW w:type="dxa" w:w="3456"/>
            <w:vAlign w:val="center"/>
          </w:tcPr>
          <w:p>
            <w:pPr>
              <w:spacing w:after="0" w:before="0"/>
            </w:pPr>
            <w:r/>
            <w:r>
              <w:rPr>
                <w:rFonts w:ascii="Aptos" w:hAnsi="Aptos"/>
                <w:b w:val="0"/>
                <w:sz w:val="14"/>
              </w:rPr>
              <w:t>Account update timestamp</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frst_rpt_dte_age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frst_delq_dte_age</w:t>
            </w:r>
          </w:p>
        </w:tc>
        <w:tc>
          <w:tcPr>
            <w:tcW w:type="dxa" w:w="3456"/>
            <w:vAlign w:val="center"/>
          </w:tcPr>
          <w:p>
            <w:pPr>
              <w:spacing w:after="0" w:before="0"/>
            </w:pPr>
            <w:r/>
            <w:r>
              <w:rPr>
                <w:rFonts w:ascii="Aptos" w:hAnsi="Aptos"/>
                <w:b w:val="0"/>
                <w:sz w:val="14"/>
              </w:rPr>
              <w:t>Derived source age</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acat_upd_tsp_age</w:t>
            </w:r>
          </w:p>
        </w:tc>
        <w:tc>
          <w:tcPr>
            <w:tcW w:type="dxa" w:w="3456"/>
            <w:vAlign w:val="center"/>
            <w:shd w:fill="F6F9FC"/>
          </w:tcPr>
          <w:p>
            <w:pPr>
              <w:spacing w:after="0" w:before="0"/>
            </w:pPr>
            <w:r/>
            <w:r>
              <w:rPr>
                <w:rFonts w:ascii="Aptos" w:hAnsi="Aptos"/>
                <w:b w:val="0"/>
                <w:sz w:val="14"/>
              </w:rPr>
              <w:t>Derived source age</w:t>
            </w:r>
          </w:p>
        </w:tc>
        <w:tc>
          <w:tcPr>
            <w:tcW w:type="dxa" w:w="2880"/>
            <w:vAlign w:val="center"/>
            <w:shd w:fill="F6F9FC"/>
          </w:tcPr>
          <w:p>
            <w:pPr>
              <w:spacing w:after="0" w:before="0"/>
            </w:pPr>
            <w:r/>
            <w:r>
              <w:rPr>
                <w:rFonts w:ascii="Aptos" w:hAnsi="Aptos"/>
                <w:b w:val="0"/>
                <w:sz w:val="14"/>
              </w:rPr>
              <w:t>Context</w:t>
            </w:r>
          </w:p>
        </w:tc>
      </w:tr>
      <w:tr>
        <w:tc>
          <w:tcPr>
            <w:tcW w:type="dxa" w:w="3744"/>
            <w:vAlign w:val="center"/>
          </w:tcPr>
          <w:p>
            <w:pPr>
              <w:spacing w:after="0" w:before="0"/>
            </w:pPr>
            <w:r/>
            <w:r>
              <w:rPr>
                <w:rFonts w:ascii="Aptos" w:hAnsi="Aptos"/>
                <w:b w:val="0"/>
                <w:sz w:val="14"/>
              </w:rPr>
              <w:t>acat_upd_tsp_age_dys</w:t>
            </w:r>
          </w:p>
        </w:tc>
        <w:tc>
          <w:tcPr>
            <w:tcW w:type="dxa" w:w="3456"/>
            <w:vAlign w:val="center"/>
          </w:tcPr>
          <w:p>
            <w:pPr>
              <w:spacing w:after="0" w:before="0"/>
            </w:pPr>
            <w:r/>
            <w:r>
              <w:rPr>
                <w:rFonts w:ascii="Aptos" w:hAnsi="Aptos"/>
                <w:b w:val="0"/>
                <w:sz w:val="14"/>
              </w:rPr>
              <w:t>Derived source age in days</w:t>
            </w:r>
          </w:p>
        </w:tc>
        <w:tc>
          <w:tcPr>
            <w:tcW w:type="dxa" w:w="2880"/>
            <w:vAlign w:val="center"/>
          </w:tcPr>
          <w:p>
            <w:pPr>
              <w:spacing w:after="0" w:before="0"/>
            </w:pPr>
            <w:r/>
            <w:r>
              <w:rPr>
                <w:rFonts w:ascii="Aptos" w:hAnsi="Aptos"/>
                <w:b w:val="0"/>
                <w:sz w:val="14"/>
              </w:rPr>
              <w:t>Context</w:t>
            </w:r>
          </w:p>
        </w:tc>
      </w:tr>
      <w:tr>
        <w:tc>
          <w:tcPr>
            <w:tcW w:type="dxa" w:w="3744"/>
            <w:vAlign w:val="center"/>
            <w:shd w:fill="F6F9FC"/>
          </w:tcPr>
          <w:p>
            <w:pPr>
              <w:spacing w:after="0" w:before="0"/>
            </w:pPr>
            <w:r/>
            <w:r>
              <w:rPr>
                <w:rFonts w:ascii="Aptos" w:hAnsi="Aptos"/>
                <w:b w:val="0"/>
                <w:sz w:val="14"/>
              </w:rPr>
              <w:t>data_date</w:t>
            </w:r>
          </w:p>
        </w:tc>
        <w:tc>
          <w:tcPr>
            <w:tcW w:type="dxa" w:w="3456"/>
            <w:vAlign w:val="center"/>
            <w:shd w:fill="F6F9FC"/>
          </w:tcPr>
          <w:p>
            <w:pPr>
              <w:spacing w:after="0" w:before="0"/>
            </w:pPr>
            <w:r/>
            <w:r>
              <w:rPr>
                <w:rFonts w:ascii="Aptos" w:hAnsi="Aptos"/>
                <w:b w:val="0"/>
                <w:sz w:val="14"/>
              </w:rPr>
              <w:t>Source snapshot / availability date</w:t>
            </w:r>
          </w:p>
        </w:tc>
        <w:tc>
          <w:tcPr>
            <w:tcW w:type="dxa" w:w="2880"/>
            <w:vAlign w:val="center"/>
            <w:shd w:fill="F6F9FC"/>
          </w:tcPr>
          <w:p>
            <w:pPr>
              <w:spacing w:after="0" w:before="0"/>
            </w:pPr>
            <w:r/>
            <w:r>
              <w:rPr>
                <w:rFonts w:ascii="Aptos" w:hAnsi="Aptos"/>
                <w:b w:val="0"/>
                <w:sz w:val="14"/>
              </w:rPr>
              <w:t>CORE</w:t>
            </w:r>
          </w:p>
        </w:tc>
      </w:tr>
    </w:tbl>
    <w:p>
      <w:pPr>
        <w:spacing w:after="20"/>
      </w:pPr>
    </w:p>
    <w:p>
      <w:r>
        <w:br w:type="page"/>
      </w:r>
    </w:p>
    <w:p>
      <w:pPr>
        <w:pStyle w:val="Heading1"/>
      </w:pPr>
      <w:r>
        <w:t>Appendix B. MOP mapping used in project development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315A7D"/>
          </w:tcPr>
          <w:p>
            <w:pPr>
              <w:spacing w:after="0" w:before="0"/>
            </w:pPr>
            <w:r/>
            <w:r>
              <w:rPr>
                <w:rFonts w:ascii="Aptos" w:hAnsi="Aptos"/>
                <w:b/>
                <w:color w:val="FFFFFF"/>
                <w:sz w:val="16"/>
              </w:rPr>
              <w:t>MOP code</w:t>
            </w:r>
          </w:p>
        </w:tc>
        <w:tc>
          <w:tcPr>
            <w:tcW w:type="dxa" w:w="7200"/>
            <w:vAlign w:val="center"/>
            <w:shd w:fill="315A7D"/>
          </w:tcPr>
          <w:p>
            <w:pPr>
              <w:spacing w:after="0" w:before="0"/>
            </w:pPr>
            <w:r/>
            <w:r>
              <w:rPr>
                <w:rFonts w:ascii="Aptos" w:hAnsi="Aptos"/>
                <w:b/>
                <w:color w:val="FFFFFF"/>
                <w:sz w:val="16"/>
              </w:rPr>
              <w:t>Normalized interpretation</w:t>
            </w:r>
          </w:p>
        </w:tc>
      </w:tr>
      <w:tr>
        <w:tc>
          <w:tcPr>
            <w:tcW w:type="dxa" w:w="2880"/>
            <w:vAlign w:val="center"/>
          </w:tcPr>
          <w:p>
            <w:pPr>
              <w:spacing w:after="0" w:before="0"/>
            </w:pPr>
            <w:r/>
            <w:r>
              <w:rPr>
                <w:rFonts w:ascii="Aptos" w:hAnsi="Aptos"/>
                <w:b w:val="0"/>
                <w:sz w:val="16"/>
              </w:rPr>
              <w:t>01</w:t>
            </w:r>
          </w:p>
        </w:tc>
        <w:tc>
          <w:tcPr>
            <w:tcW w:type="dxa" w:w="7200"/>
            <w:vAlign w:val="center"/>
          </w:tcPr>
          <w:p>
            <w:pPr>
              <w:spacing w:after="0" w:before="0"/>
            </w:pPr>
            <w:r/>
            <w:r>
              <w:rPr>
                <w:rFonts w:ascii="Aptos" w:hAnsi="Aptos"/>
                <w:b w:val="0"/>
                <w:sz w:val="16"/>
              </w:rPr>
              <w:t>Current</w:t>
            </w:r>
          </w:p>
        </w:tc>
      </w:tr>
      <w:tr>
        <w:tc>
          <w:tcPr>
            <w:tcW w:type="dxa" w:w="2880"/>
            <w:vAlign w:val="center"/>
            <w:shd w:fill="F6F9FC"/>
          </w:tcPr>
          <w:p>
            <w:pPr>
              <w:spacing w:after="0" w:before="0"/>
            </w:pPr>
            <w:r/>
            <w:r>
              <w:rPr>
                <w:rFonts w:ascii="Aptos" w:hAnsi="Aptos"/>
                <w:b w:val="0"/>
                <w:sz w:val="16"/>
              </w:rPr>
              <w:t>02</w:t>
            </w:r>
          </w:p>
        </w:tc>
        <w:tc>
          <w:tcPr>
            <w:tcW w:type="dxa" w:w="7200"/>
            <w:vAlign w:val="center"/>
            <w:shd w:fill="F6F9FC"/>
          </w:tcPr>
          <w:p>
            <w:pPr>
              <w:spacing w:after="0" w:before="0"/>
            </w:pPr>
            <w:r/>
            <w:r>
              <w:rPr>
                <w:rFonts w:ascii="Aptos" w:hAnsi="Aptos"/>
                <w:b w:val="0"/>
                <w:sz w:val="16"/>
              </w:rPr>
              <w:t>30 DPD</w:t>
            </w:r>
          </w:p>
        </w:tc>
      </w:tr>
      <w:tr>
        <w:tc>
          <w:tcPr>
            <w:tcW w:type="dxa" w:w="2880"/>
            <w:vAlign w:val="center"/>
          </w:tcPr>
          <w:p>
            <w:pPr>
              <w:spacing w:after="0" w:before="0"/>
            </w:pPr>
            <w:r/>
            <w:r>
              <w:rPr>
                <w:rFonts w:ascii="Aptos" w:hAnsi="Aptos"/>
                <w:b w:val="0"/>
                <w:sz w:val="16"/>
              </w:rPr>
              <w:t>03</w:t>
            </w:r>
          </w:p>
        </w:tc>
        <w:tc>
          <w:tcPr>
            <w:tcW w:type="dxa" w:w="7200"/>
            <w:vAlign w:val="center"/>
          </w:tcPr>
          <w:p>
            <w:pPr>
              <w:spacing w:after="0" w:before="0"/>
            </w:pPr>
            <w:r/>
            <w:r>
              <w:rPr>
                <w:rFonts w:ascii="Aptos" w:hAnsi="Aptos"/>
                <w:b w:val="0"/>
                <w:sz w:val="16"/>
              </w:rPr>
              <w:t>60 DPD</w:t>
            </w:r>
          </w:p>
        </w:tc>
      </w:tr>
      <w:tr>
        <w:tc>
          <w:tcPr>
            <w:tcW w:type="dxa" w:w="2880"/>
            <w:vAlign w:val="center"/>
            <w:shd w:fill="F6F9FC"/>
          </w:tcPr>
          <w:p>
            <w:pPr>
              <w:spacing w:after="0" w:before="0"/>
            </w:pPr>
            <w:r/>
            <w:r>
              <w:rPr>
                <w:rFonts w:ascii="Aptos" w:hAnsi="Aptos"/>
                <w:b w:val="0"/>
                <w:sz w:val="16"/>
              </w:rPr>
              <w:t>04</w:t>
            </w:r>
          </w:p>
        </w:tc>
        <w:tc>
          <w:tcPr>
            <w:tcW w:type="dxa" w:w="7200"/>
            <w:vAlign w:val="center"/>
            <w:shd w:fill="F6F9FC"/>
          </w:tcPr>
          <w:p>
            <w:pPr>
              <w:spacing w:after="0" w:before="0"/>
            </w:pPr>
            <w:r/>
            <w:r>
              <w:rPr>
                <w:rFonts w:ascii="Aptos" w:hAnsi="Aptos"/>
                <w:b w:val="0"/>
                <w:sz w:val="16"/>
              </w:rPr>
              <w:t>90 DPD</w:t>
            </w:r>
          </w:p>
        </w:tc>
      </w:tr>
      <w:tr>
        <w:tc>
          <w:tcPr>
            <w:tcW w:type="dxa" w:w="2880"/>
            <w:vAlign w:val="center"/>
          </w:tcPr>
          <w:p>
            <w:pPr>
              <w:spacing w:after="0" w:before="0"/>
            </w:pPr>
            <w:r/>
            <w:r>
              <w:rPr>
                <w:rFonts w:ascii="Aptos" w:hAnsi="Aptos"/>
                <w:b w:val="0"/>
                <w:sz w:val="16"/>
              </w:rPr>
              <w:t>05</w:t>
            </w:r>
          </w:p>
        </w:tc>
        <w:tc>
          <w:tcPr>
            <w:tcW w:type="dxa" w:w="7200"/>
            <w:vAlign w:val="center"/>
          </w:tcPr>
          <w:p>
            <w:pPr>
              <w:spacing w:after="0" w:before="0"/>
            </w:pPr>
            <w:r/>
            <w:r>
              <w:rPr>
                <w:rFonts w:ascii="Aptos" w:hAnsi="Aptos"/>
                <w:b w:val="0"/>
                <w:sz w:val="16"/>
              </w:rPr>
              <w:t>120+ DPD</w:t>
            </w:r>
          </w:p>
        </w:tc>
      </w:tr>
      <w:tr>
        <w:tc>
          <w:tcPr>
            <w:tcW w:type="dxa" w:w="2880"/>
            <w:vAlign w:val="center"/>
            <w:shd w:fill="F6F9FC"/>
          </w:tcPr>
          <w:p>
            <w:pPr>
              <w:spacing w:after="0" w:before="0"/>
            </w:pPr>
            <w:r/>
            <w:r>
              <w:rPr>
                <w:rFonts w:ascii="Aptos" w:hAnsi="Aptos"/>
                <w:b w:val="0"/>
                <w:sz w:val="16"/>
              </w:rPr>
              <w:t>06</w:t>
            </w:r>
          </w:p>
        </w:tc>
        <w:tc>
          <w:tcPr>
            <w:tcW w:type="dxa" w:w="7200"/>
            <w:vAlign w:val="center"/>
            <w:shd w:fill="F6F9FC"/>
          </w:tcPr>
          <w:p>
            <w:pPr>
              <w:spacing w:after="0" w:before="0"/>
            </w:pPr>
            <w:r/>
            <w:r>
              <w:rPr>
                <w:rFonts w:ascii="Aptos" w:hAnsi="Aptos"/>
                <w:b w:val="0"/>
                <w:sz w:val="16"/>
              </w:rPr>
              <w:t>150+ DPD</w:t>
            </w:r>
          </w:p>
        </w:tc>
      </w:tr>
      <w:tr>
        <w:tc>
          <w:tcPr>
            <w:tcW w:type="dxa" w:w="2880"/>
            <w:vAlign w:val="center"/>
          </w:tcPr>
          <w:p>
            <w:pPr>
              <w:spacing w:after="0" w:before="0"/>
            </w:pPr>
            <w:r/>
            <w:r>
              <w:rPr>
                <w:rFonts w:ascii="Aptos" w:hAnsi="Aptos"/>
                <w:b w:val="0"/>
                <w:sz w:val="16"/>
              </w:rPr>
              <w:t>8A</w:t>
            </w:r>
          </w:p>
        </w:tc>
        <w:tc>
          <w:tcPr>
            <w:tcW w:type="dxa" w:w="7200"/>
            <w:vAlign w:val="center"/>
          </w:tcPr>
          <w:p>
            <w:pPr>
              <w:spacing w:after="0" w:before="0"/>
            </w:pPr>
            <w:r/>
            <w:r>
              <w:rPr>
                <w:rFonts w:ascii="Aptos" w:hAnsi="Aptos"/>
                <w:b w:val="0"/>
                <w:sz w:val="16"/>
              </w:rPr>
              <w:t>Surrender</w:t>
            </w:r>
          </w:p>
        </w:tc>
      </w:tr>
      <w:tr>
        <w:tc>
          <w:tcPr>
            <w:tcW w:type="dxa" w:w="2880"/>
            <w:vAlign w:val="center"/>
            <w:shd w:fill="F6F9FC"/>
          </w:tcPr>
          <w:p>
            <w:pPr>
              <w:spacing w:after="0" w:before="0"/>
            </w:pPr>
            <w:r/>
            <w:r>
              <w:rPr>
                <w:rFonts w:ascii="Aptos" w:hAnsi="Aptos"/>
                <w:b w:val="0"/>
                <w:sz w:val="16"/>
              </w:rPr>
              <w:t>8B</w:t>
            </w:r>
          </w:p>
        </w:tc>
        <w:tc>
          <w:tcPr>
            <w:tcW w:type="dxa" w:w="7200"/>
            <w:vAlign w:val="center"/>
            <w:shd w:fill="F6F9FC"/>
          </w:tcPr>
          <w:p>
            <w:pPr>
              <w:spacing w:after="0" w:before="0"/>
            </w:pPr>
            <w:r/>
            <w:r>
              <w:rPr>
                <w:rFonts w:ascii="Aptos" w:hAnsi="Aptos"/>
                <w:b w:val="0"/>
                <w:sz w:val="16"/>
              </w:rPr>
              <w:t>Repossession</w:t>
            </w:r>
          </w:p>
        </w:tc>
      </w:tr>
      <w:tr>
        <w:tc>
          <w:tcPr>
            <w:tcW w:type="dxa" w:w="2880"/>
            <w:vAlign w:val="center"/>
          </w:tcPr>
          <w:p>
            <w:pPr>
              <w:spacing w:after="0" w:before="0"/>
            </w:pPr>
            <w:r/>
            <w:r>
              <w:rPr>
                <w:rFonts w:ascii="Aptos" w:hAnsi="Aptos"/>
                <w:b w:val="0"/>
                <w:sz w:val="16"/>
              </w:rPr>
              <w:t>8P</w:t>
            </w:r>
          </w:p>
        </w:tc>
        <w:tc>
          <w:tcPr>
            <w:tcW w:type="dxa" w:w="7200"/>
            <w:vAlign w:val="center"/>
          </w:tcPr>
          <w:p>
            <w:pPr>
              <w:spacing w:after="0" w:before="0"/>
            </w:pPr>
            <w:r/>
            <w:r>
              <w:rPr>
                <w:rFonts w:ascii="Aptos" w:hAnsi="Aptos"/>
                <w:b w:val="0"/>
                <w:sz w:val="16"/>
              </w:rPr>
              <w:t>Paid; was repossession</w:t>
            </w:r>
          </w:p>
        </w:tc>
      </w:tr>
      <w:tr>
        <w:tc>
          <w:tcPr>
            <w:tcW w:type="dxa" w:w="2880"/>
            <w:vAlign w:val="center"/>
            <w:shd w:fill="F6F9FC"/>
          </w:tcPr>
          <w:p>
            <w:pPr>
              <w:spacing w:after="0" w:before="0"/>
            </w:pPr>
            <w:r/>
            <w:r>
              <w:rPr>
                <w:rFonts w:ascii="Aptos" w:hAnsi="Aptos"/>
                <w:b w:val="0"/>
                <w:sz w:val="16"/>
              </w:rPr>
              <w:t>09</w:t>
            </w:r>
          </w:p>
        </w:tc>
        <w:tc>
          <w:tcPr>
            <w:tcW w:type="dxa" w:w="7200"/>
            <w:vAlign w:val="center"/>
            <w:shd w:fill="F6F9FC"/>
          </w:tcPr>
          <w:p>
            <w:pPr>
              <w:spacing w:after="0" w:before="0"/>
            </w:pPr>
            <w:r/>
            <w:r>
              <w:rPr>
                <w:rFonts w:ascii="Aptos" w:hAnsi="Aptos"/>
                <w:b w:val="0"/>
                <w:sz w:val="16"/>
              </w:rPr>
              <w:t>Charge-off</w:t>
            </w:r>
          </w:p>
        </w:tc>
      </w:tr>
      <w:tr>
        <w:tc>
          <w:tcPr>
            <w:tcW w:type="dxa" w:w="2880"/>
            <w:vAlign w:val="center"/>
          </w:tcPr>
          <w:p>
            <w:pPr>
              <w:spacing w:after="0" w:before="0"/>
            </w:pPr>
            <w:r/>
            <w:r>
              <w:rPr>
                <w:rFonts w:ascii="Aptos" w:hAnsi="Aptos"/>
                <w:b w:val="0"/>
                <w:sz w:val="16"/>
              </w:rPr>
              <w:t>9B</w:t>
            </w:r>
          </w:p>
        </w:tc>
        <w:tc>
          <w:tcPr>
            <w:tcW w:type="dxa" w:w="7200"/>
            <w:vAlign w:val="center"/>
          </w:tcPr>
          <w:p>
            <w:pPr>
              <w:spacing w:after="0" w:before="0"/>
            </w:pPr>
            <w:r/>
            <w:r>
              <w:rPr>
                <w:rFonts w:ascii="Aptos" w:hAnsi="Aptos"/>
                <w:b w:val="0"/>
                <w:sz w:val="16"/>
              </w:rPr>
              <w:t>Collection</w:t>
            </w:r>
          </w:p>
        </w:tc>
      </w:tr>
      <w:tr>
        <w:tc>
          <w:tcPr>
            <w:tcW w:type="dxa" w:w="2880"/>
            <w:vAlign w:val="center"/>
            <w:shd w:fill="F6F9FC"/>
          </w:tcPr>
          <w:p>
            <w:pPr>
              <w:spacing w:after="0" w:before="0"/>
            </w:pPr>
            <w:r/>
            <w:r>
              <w:rPr>
                <w:rFonts w:ascii="Aptos" w:hAnsi="Aptos"/>
                <w:b w:val="0"/>
                <w:sz w:val="16"/>
              </w:rPr>
              <w:t>9P</w:t>
            </w:r>
          </w:p>
        </w:tc>
        <w:tc>
          <w:tcPr>
            <w:tcW w:type="dxa" w:w="7200"/>
            <w:vAlign w:val="center"/>
            <w:shd w:fill="F6F9FC"/>
          </w:tcPr>
          <w:p>
            <w:pPr>
              <w:spacing w:after="0" w:before="0"/>
            </w:pPr>
            <w:r/>
            <w:r>
              <w:rPr>
                <w:rFonts w:ascii="Aptos" w:hAnsi="Aptos"/>
                <w:b w:val="0"/>
                <w:sz w:val="16"/>
              </w:rPr>
              <w:t>Paid collection/charge-off</w:t>
            </w:r>
          </w:p>
        </w:tc>
      </w:tr>
      <w:tr>
        <w:tc>
          <w:tcPr>
            <w:tcW w:type="dxa" w:w="2880"/>
            <w:vAlign w:val="center"/>
          </w:tcPr>
          <w:p>
            <w:pPr>
              <w:spacing w:after="0" w:before="0"/>
            </w:pPr>
            <w:r/>
            <w:r>
              <w:rPr>
                <w:rFonts w:ascii="Aptos" w:hAnsi="Aptos"/>
                <w:b w:val="0"/>
                <w:sz w:val="16"/>
              </w:rPr>
              <w:t>UR</w:t>
            </w:r>
          </w:p>
        </w:tc>
        <w:tc>
          <w:tcPr>
            <w:tcW w:type="dxa" w:w="7200"/>
            <w:vAlign w:val="center"/>
          </w:tcPr>
          <w:p>
            <w:pPr>
              <w:spacing w:after="0" w:before="0"/>
            </w:pPr>
            <w:r/>
            <w:r>
              <w:rPr>
                <w:rFonts w:ascii="Aptos" w:hAnsi="Aptos"/>
                <w:b w:val="0"/>
                <w:sz w:val="16"/>
              </w:rPr>
              <w:t>Unrated</w:t>
            </w:r>
          </w:p>
        </w:tc>
      </w:tr>
      <w:tr>
        <w:tc>
          <w:tcPr>
            <w:tcW w:type="dxa" w:w="2880"/>
            <w:vAlign w:val="center"/>
            <w:shd w:fill="F6F9FC"/>
          </w:tcPr>
          <w:p>
            <w:pPr>
              <w:spacing w:after="0" w:before="0"/>
            </w:pPr>
            <w:r/>
            <w:r>
              <w:rPr>
                <w:rFonts w:ascii="Aptos" w:hAnsi="Aptos"/>
                <w:b w:val="0"/>
                <w:sz w:val="16"/>
              </w:rPr>
              <w:t>07 / 08</w:t>
            </w:r>
          </w:p>
        </w:tc>
        <w:tc>
          <w:tcPr>
            <w:tcW w:type="dxa" w:w="7200"/>
            <w:vAlign w:val="center"/>
            <w:shd w:fill="F6F9FC"/>
          </w:tcPr>
          <w:p>
            <w:pPr>
              <w:spacing w:after="0" w:before="0"/>
            </w:pPr>
            <w:r/>
            <w:r>
              <w:rPr>
                <w:rFonts w:ascii="Aptos" w:hAnsi="Aptos"/>
                <w:b w:val="0"/>
                <w:sz w:val="16"/>
              </w:rPr>
              <w:t>Undefined / unknown / other in available project mapping; do not impose an unverified delinquency order</w:t>
            </w:r>
          </w:p>
        </w:tc>
      </w:tr>
    </w:tbl>
    <w:p>
      <w:pPr>
        <w:spacing w:after="20"/>
      </w:pPr>
    </w:p>
    <w:p>
      <w:r>
        <w:t>Transition flags are derived from the normalized state sequence, not from raw string comparison alone. The SEED month provides the predecessor state needed to evaluate the first feature-month transition.</w:t>
      </w:r>
    </w:p>
    <w:p>
      <w:r>
        <w:br w:type="page"/>
      </w:r>
    </w:p>
    <w:p>
      <w:pPr>
        <w:pStyle w:val="Heading1"/>
      </w:pPr>
      <w:r>
        <w:t>Appendix C. Final feature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5040"/>
            <w:vAlign w:val="center"/>
            <w:shd w:fill="315A7D"/>
          </w:tcPr>
          <w:p>
            <w:pPr>
              <w:spacing w:after="0" w:before="0"/>
            </w:pPr>
            <w:r/>
            <w:r>
              <w:rPr>
                <w:rFonts w:ascii="Aptos" w:hAnsi="Aptos"/>
                <w:b/>
                <w:color w:val="FFFFFF"/>
                <w:sz w:val="15"/>
              </w:rPr>
              <w:t>Final column</w:t>
            </w:r>
          </w:p>
        </w:tc>
        <w:tc>
          <w:tcPr>
            <w:tcW w:type="dxa" w:w="2592"/>
            <w:vAlign w:val="center"/>
            <w:shd w:fill="315A7D"/>
          </w:tcPr>
          <w:p>
            <w:pPr>
              <w:spacing w:after="0" w:before="0"/>
            </w:pPr>
            <w:r/>
            <w:r>
              <w:rPr>
                <w:rFonts w:ascii="Aptos" w:hAnsi="Aptos"/>
                <w:b/>
                <w:color w:val="FFFFFF"/>
                <w:sz w:val="15"/>
              </w:rPr>
              <w:t>Family</w:t>
            </w:r>
          </w:p>
        </w:tc>
        <w:tc>
          <w:tcPr>
            <w:tcW w:type="dxa" w:w="2592"/>
            <w:vAlign w:val="center"/>
            <w:shd w:fill="315A7D"/>
          </w:tcPr>
          <w:p>
            <w:pPr>
              <w:spacing w:after="0" w:before="0"/>
            </w:pPr>
            <w:r/>
            <w:r>
              <w:rPr>
                <w:rFonts w:ascii="Aptos" w:hAnsi="Aptos"/>
                <w:b/>
                <w:color w:val="FFFFFF"/>
                <w:sz w:val="15"/>
              </w:rPr>
              <w:t>Architecture role</w:t>
            </w:r>
          </w:p>
        </w:tc>
      </w:tr>
      <w:tr>
        <w:tc>
          <w:tcPr>
            <w:tcW w:type="dxa" w:w="5040"/>
            <w:vAlign w:val="center"/>
          </w:tcPr>
          <w:p>
            <w:pPr>
              <w:spacing w:after="0" w:before="0"/>
            </w:pPr>
            <w:r/>
            <w:r>
              <w:rPr>
                <w:rFonts w:ascii="Aptos" w:hAnsi="Aptos"/>
                <w:b w:val="0"/>
                <w:sz w:val="15"/>
              </w:rPr>
              <w:t>deterioration_acceleration</w:t>
            </w:r>
          </w:p>
        </w:tc>
        <w:tc>
          <w:tcPr>
            <w:tcW w:type="dxa" w:w="2592"/>
            <w:vAlign w:val="center"/>
          </w:tcPr>
          <w:p>
            <w:pPr>
              <w:spacing w:after="0" w:before="0"/>
            </w:pPr>
            <w:r/>
            <w:r>
              <w:rPr>
                <w:rFonts w:ascii="Aptos" w:hAnsi="Aptos"/>
                <w:b w:val="0"/>
                <w:sz w:val="15"/>
              </w:rPr>
              <w:t>Transitions</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adverse_acceleration</w:t>
            </w:r>
          </w:p>
        </w:tc>
        <w:tc>
          <w:tcPr>
            <w:tcW w:type="dxa" w:w="2592"/>
            <w:vAlign w:val="center"/>
            <w:shd w:fill="F6F9FC"/>
          </w:tcPr>
          <w:p>
            <w:pPr>
              <w:spacing w:after="0" w:before="0"/>
            </w:pPr>
            <w:r/>
            <w:r>
              <w:rPr>
                <w:rFonts w:ascii="Aptos" w:hAnsi="Aptos"/>
                <w:b w:val="0"/>
                <w:sz w:val="15"/>
              </w:rPr>
              <w:t>Transitions</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max_dpd_jump_recent_3m</w:t>
            </w:r>
          </w:p>
        </w:tc>
        <w:tc>
          <w:tcPr>
            <w:tcW w:type="dxa" w:w="2592"/>
            <w:vAlign w:val="center"/>
          </w:tcPr>
          <w:p>
            <w:pPr>
              <w:spacing w:after="0" w:before="0"/>
            </w:pPr>
            <w:r/>
            <w:r>
              <w:rPr>
                <w:rFonts w:ascii="Aptos" w:hAnsi="Aptos"/>
                <w:b w:val="0"/>
                <w:sz w:val="15"/>
              </w:rPr>
              <w:t>Transitions</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active_accounts_change_vs_baseline</w:t>
            </w:r>
          </w:p>
        </w:tc>
        <w:tc>
          <w:tcPr>
            <w:tcW w:type="dxa" w:w="2592"/>
            <w:vAlign w:val="center"/>
            <w:shd w:fill="F6F9FC"/>
          </w:tcPr>
          <w:p>
            <w:pPr>
              <w:spacing w:after="0" w:before="0"/>
            </w:pPr>
            <w:r/>
            <w:r>
              <w:rPr>
                <w:rFonts w:ascii="Aptos" w:hAnsi="Aptos"/>
                <w:b w:val="0"/>
                <w:sz w:val="15"/>
              </w:rPr>
              <w:t>Active accounts</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active_accounts_changed_flag</w:t>
            </w:r>
          </w:p>
        </w:tc>
        <w:tc>
          <w:tcPr>
            <w:tcW w:type="dxa" w:w="2592"/>
            <w:vAlign w:val="center"/>
          </w:tcPr>
          <w:p>
            <w:pPr>
              <w:spacing w:after="0" w:before="0"/>
            </w:pPr>
            <w:r/>
            <w:r>
              <w:rPr>
                <w:rFonts w:ascii="Aptos" w:hAnsi="Aptos"/>
                <w:b w:val="0"/>
                <w:sz w:val="15"/>
              </w:rPr>
              <w:t>Active accounts</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balance_change_model</w:t>
            </w:r>
          </w:p>
        </w:tc>
        <w:tc>
          <w:tcPr>
            <w:tcW w:type="dxa" w:w="2592"/>
            <w:vAlign w:val="center"/>
            <w:shd w:fill="F6F9FC"/>
          </w:tcPr>
          <w:p>
            <w:pPr>
              <w:spacing w:after="0" w:before="0"/>
            </w:pPr>
            <w:r/>
            <w:r>
              <w:rPr>
                <w:rFonts w:ascii="Aptos" w:hAnsi="Aptos"/>
                <w:b w:val="0"/>
                <w:sz w:val="15"/>
              </w:rPr>
              <w:t>Balance</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log1p_abs_balance_change_model</w:t>
            </w:r>
          </w:p>
        </w:tc>
        <w:tc>
          <w:tcPr>
            <w:tcW w:type="dxa" w:w="2592"/>
            <w:vAlign w:val="center"/>
          </w:tcPr>
          <w:p>
            <w:pPr>
              <w:spacing w:after="0" w:before="0"/>
            </w:pPr>
            <w:r/>
            <w:r>
              <w:rPr>
                <w:rFonts w:ascii="Aptos" w:hAnsi="Aptos"/>
                <w:b w:val="0"/>
                <w:sz w:val="15"/>
              </w:rPr>
              <w:t>Balance</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balance_change_available_flag</w:t>
            </w:r>
          </w:p>
        </w:tc>
        <w:tc>
          <w:tcPr>
            <w:tcW w:type="dxa" w:w="2592"/>
            <w:vAlign w:val="center"/>
            <w:shd w:fill="F6F9FC"/>
          </w:tcPr>
          <w:p>
            <w:pPr>
              <w:spacing w:after="0" w:before="0"/>
            </w:pPr>
            <w:r/>
            <w:r>
              <w:rPr>
                <w:rFonts w:ascii="Aptos" w:hAnsi="Aptos"/>
                <w:b w:val="0"/>
                <w:sz w:val="15"/>
              </w:rPr>
              <w:t>Balance</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balance_recent_months_available</w:t>
            </w:r>
          </w:p>
        </w:tc>
        <w:tc>
          <w:tcPr>
            <w:tcW w:type="dxa" w:w="2592"/>
            <w:vAlign w:val="center"/>
          </w:tcPr>
          <w:p>
            <w:pPr>
              <w:spacing w:after="0" w:before="0"/>
            </w:pPr>
            <w:r/>
            <w:r>
              <w:rPr>
                <w:rFonts w:ascii="Aptos" w:hAnsi="Aptos"/>
                <w:b w:val="0"/>
                <w:sz w:val="15"/>
              </w:rPr>
              <w:t>Balance</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balance_prior_months_available</w:t>
            </w:r>
          </w:p>
        </w:tc>
        <w:tc>
          <w:tcPr>
            <w:tcW w:type="dxa" w:w="2592"/>
            <w:vAlign w:val="center"/>
            <w:shd w:fill="F6F9FC"/>
          </w:tcPr>
          <w:p>
            <w:pPr>
              <w:spacing w:after="0" w:before="0"/>
            </w:pPr>
            <w:r/>
            <w:r>
              <w:rPr>
                <w:rFonts w:ascii="Aptos" w:hAnsi="Aptos"/>
                <w:b w:val="0"/>
                <w:sz w:val="15"/>
              </w:rPr>
              <w:t>Balance</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past_due_change_model</w:t>
            </w:r>
          </w:p>
        </w:tc>
        <w:tc>
          <w:tcPr>
            <w:tcW w:type="dxa" w:w="2592"/>
            <w:vAlign w:val="center"/>
          </w:tcPr>
          <w:p>
            <w:pPr>
              <w:spacing w:after="0" w:before="0"/>
            </w:pPr>
            <w:r/>
            <w:r>
              <w:rPr>
                <w:rFonts w:ascii="Aptos" w:hAnsi="Aptos"/>
                <w:b w:val="0"/>
                <w:sz w:val="15"/>
              </w:rPr>
              <w:t>Past due</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past_due_change_available_flag</w:t>
            </w:r>
          </w:p>
        </w:tc>
        <w:tc>
          <w:tcPr>
            <w:tcW w:type="dxa" w:w="2592"/>
            <w:vAlign w:val="center"/>
            <w:shd w:fill="F6F9FC"/>
          </w:tcPr>
          <w:p>
            <w:pPr>
              <w:spacing w:after="0" w:before="0"/>
            </w:pPr>
            <w:r/>
            <w:r>
              <w:rPr>
                <w:rFonts w:ascii="Aptos" w:hAnsi="Aptos"/>
                <w:b w:val="0"/>
                <w:sz w:val="15"/>
              </w:rPr>
              <w:t>Past due</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past_due_recent_months_available</w:t>
            </w:r>
          </w:p>
        </w:tc>
        <w:tc>
          <w:tcPr>
            <w:tcW w:type="dxa" w:w="2592"/>
            <w:vAlign w:val="center"/>
          </w:tcPr>
          <w:p>
            <w:pPr>
              <w:spacing w:after="0" w:before="0"/>
            </w:pPr>
            <w:r/>
            <w:r>
              <w:rPr>
                <w:rFonts w:ascii="Aptos" w:hAnsi="Aptos"/>
                <w:b w:val="0"/>
                <w:sz w:val="15"/>
              </w:rPr>
              <w:t>Past due</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past_due_prior_months_available</w:t>
            </w:r>
          </w:p>
        </w:tc>
        <w:tc>
          <w:tcPr>
            <w:tcW w:type="dxa" w:w="2592"/>
            <w:vAlign w:val="center"/>
            <w:shd w:fill="F6F9FC"/>
          </w:tcPr>
          <w:p>
            <w:pPr>
              <w:spacing w:after="0" w:before="0"/>
            </w:pPr>
            <w:r/>
            <w:r>
              <w:rPr>
                <w:rFonts w:ascii="Aptos" w:hAnsi="Aptos"/>
                <w:b w:val="0"/>
                <w:sz w:val="15"/>
              </w:rPr>
              <w:t>Past due</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delinquency_share_change_model</w:t>
            </w:r>
          </w:p>
        </w:tc>
        <w:tc>
          <w:tcPr>
            <w:tcW w:type="dxa" w:w="2592"/>
            <w:vAlign w:val="center"/>
          </w:tcPr>
          <w:p>
            <w:pPr>
              <w:spacing w:after="0" w:before="0"/>
            </w:pPr>
            <w:r/>
            <w:r>
              <w:rPr>
                <w:rFonts w:ascii="Aptos" w:hAnsi="Aptos"/>
                <w:b w:val="0"/>
                <w:sz w:val="15"/>
              </w:rPr>
              <w:t>Delinquency</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delinquency_change_available_flag</w:t>
            </w:r>
          </w:p>
        </w:tc>
        <w:tc>
          <w:tcPr>
            <w:tcW w:type="dxa" w:w="2592"/>
            <w:vAlign w:val="center"/>
            <w:shd w:fill="F6F9FC"/>
          </w:tcPr>
          <w:p>
            <w:pPr>
              <w:spacing w:after="0" w:before="0"/>
            </w:pPr>
            <w:r/>
            <w:r>
              <w:rPr>
                <w:rFonts w:ascii="Aptos" w:hAnsi="Aptos"/>
                <w:b w:val="0"/>
                <w:sz w:val="15"/>
              </w:rPr>
              <w:t>Delinquency</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delinquency_recent_months_available</w:t>
            </w:r>
          </w:p>
        </w:tc>
        <w:tc>
          <w:tcPr>
            <w:tcW w:type="dxa" w:w="2592"/>
            <w:vAlign w:val="center"/>
          </w:tcPr>
          <w:p>
            <w:pPr>
              <w:spacing w:after="0" w:before="0"/>
            </w:pPr>
            <w:r/>
            <w:r>
              <w:rPr>
                <w:rFonts w:ascii="Aptos" w:hAnsi="Aptos"/>
                <w:b w:val="0"/>
                <w:sz w:val="15"/>
              </w:rPr>
              <w:t>Delinquency</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delinquency_prior_months_available</w:t>
            </w:r>
          </w:p>
        </w:tc>
        <w:tc>
          <w:tcPr>
            <w:tcW w:type="dxa" w:w="2592"/>
            <w:vAlign w:val="center"/>
            <w:shd w:fill="F6F9FC"/>
          </w:tcPr>
          <w:p>
            <w:pPr>
              <w:spacing w:after="0" w:before="0"/>
            </w:pPr>
            <w:r/>
            <w:r>
              <w:rPr>
                <w:rFonts w:ascii="Aptos" w:hAnsi="Aptos"/>
                <w:b w:val="0"/>
                <w:sz w:val="15"/>
              </w:rPr>
              <w:t>Delinquency</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avg_utilization_change_model</w:t>
            </w:r>
          </w:p>
        </w:tc>
        <w:tc>
          <w:tcPr>
            <w:tcW w:type="dxa" w:w="2592"/>
            <w:vAlign w:val="center"/>
          </w:tcPr>
          <w:p>
            <w:pPr>
              <w:spacing w:after="0" w:before="0"/>
            </w:pPr>
            <w:r/>
            <w:r>
              <w:rPr>
                <w:rFonts w:ascii="Aptos" w:hAnsi="Aptos"/>
                <w:b w:val="0"/>
                <w:sz w:val="15"/>
              </w:rPr>
              <w:t>Utilization</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weighted_utilization_change_model</w:t>
            </w:r>
          </w:p>
        </w:tc>
        <w:tc>
          <w:tcPr>
            <w:tcW w:type="dxa" w:w="2592"/>
            <w:vAlign w:val="center"/>
            <w:shd w:fill="F6F9FC"/>
          </w:tcPr>
          <w:p>
            <w:pPr>
              <w:spacing w:after="0" w:before="0"/>
            </w:pPr>
            <w:r/>
            <w:r>
              <w:rPr>
                <w:rFonts w:ascii="Aptos" w:hAnsi="Aptos"/>
                <w:b w:val="0"/>
                <w:sz w:val="15"/>
              </w:rPr>
              <w:t>Utilization</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utilization_change_available_flag</w:t>
            </w:r>
          </w:p>
        </w:tc>
        <w:tc>
          <w:tcPr>
            <w:tcW w:type="dxa" w:w="2592"/>
            <w:vAlign w:val="center"/>
          </w:tcPr>
          <w:p>
            <w:pPr>
              <w:spacing w:after="0" w:before="0"/>
            </w:pPr>
            <w:r/>
            <w:r>
              <w:rPr>
                <w:rFonts w:ascii="Aptos" w:hAnsi="Aptos"/>
                <w:b w:val="0"/>
                <w:sz w:val="15"/>
              </w:rPr>
              <w:t>Utilization</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utilization_recent_months_available</w:t>
            </w:r>
          </w:p>
        </w:tc>
        <w:tc>
          <w:tcPr>
            <w:tcW w:type="dxa" w:w="2592"/>
            <w:vAlign w:val="center"/>
            <w:shd w:fill="F6F9FC"/>
          </w:tcPr>
          <w:p>
            <w:pPr>
              <w:spacing w:after="0" w:before="0"/>
            </w:pPr>
            <w:r/>
            <w:r>
              <w:rPr>
                <w:rFonts w:ascii="Aptos" w:hAnsi="Aptos"/>
                <w:b w:val="0"/>
                <w:sz w:val="15"/>
              </w:rPr>
              <w:t>Utilization</w:t>
            </w:r>
          </w:p>
        </w:tc>
        <w:tc>
          <w:tcPr>
            <w:tcW w:type="dxa" w:w="2592"/>
            <w:vAlign w:val="center"/>
            <w:shd w:fill="F6F9FC"/>
          </w:tcPr>
          <w:p>
            <w:pPr>
              <w:spacing w:after="0" w:before="0"/>
            </w:pPr>
            <w:r/>
            <w:r>
              <w:rPr>
                <w:rFonts w:ascii="Aptos" w:hAnsi="Aptos"/>
                <w:b w:val="0"/>
                <w:sz w:val="15"/>
              </w:rPr>
              <w:t>Model A</w:t>
            </w:r>
          </w:p>
        </w:tc>
      </w:tr>
      <w:tr>
        <w:tc>
          <w:tcPr>
            <w:tcW w:type="dxa" w:w="5040"/>
            <w:vAlign w:val="center"/>
          </w:tcPr>
          <w:p>
            <w:pPr>
              <w:spacing w:after="0" w:before="0"/>
            </w:pPr>
            <w:r/>
            <w:r>
              <w:rPr>
                <w:rFonts w:ascii="Aptos" w:hAnsi="Aptos"/>
                <w:b w:val="0"/>
                <w:sz w:val="15"/>
              </w:rPr>
              <w:t>utilization_prior_months_available</w:t>
            </w:r>
          </w:p>
        </w:tc>
        <w:tc>
          <w:tcPr>
            <w:tcW w:type="dxa" w:w="2592"/>
            <w:vAlign w:val="center"/>
          </w:tcPr>
          <w:p>
            <w:pPr>
              <w:spacing w:after="0" w:before="0"/>
            </w:pPr>
            <w:r/>
            <w:r>
              <w:rPr>
                <w:rFonts w:ascii="Aptos" w:hAnsi="Aptos"/>
                <w:b w:val="0"/>
                <w:sz w:val="15"/>
              </w:rPr>
              <w:t>Utilization</w:t>
            </w:r>
          </w:p>
        </w:tc>
        <w:tc>
          <w:tcPr>
            <w:tcW w:type="dxa" w:w="2592"/>
            <w:vAlign w:val="center"/>
          </w:tcPr>
          <w:p>
            <w:pPr>
              <w:spacing w:after="0" w:before="0"/>
            </w:pPr>
            <w:r/>
            <w:r>
              <w:rPr>
                <w:rFonts w:ascii="Aptos" w:hAnsi="Aptos"/>
                <w:b w:val="0"/>
                <w:sz w:val="15"/>
              </w:rPr>
              <w:t>Model A</w:t>
            </w:r>
          </w:p>
        </w:tc>
      </w:tr>
      <w:tr>
        <w:tc>
          <w:tcPr>
            <w:tcW w:type="dxa" w:w="5040"/>
            <w:vAlign w:val="center"/>
            <w:shd w:fill="F6F9FC"/>
          </w:tcPr>
          <w:p>
            <w:pPr>
              <w:spacing w:after="0" w:before="0"/>
            </w:pPr>
            <w:r/>
            <w:r>
              <w:rPr>
                <w:rFonts w:ascii="Aptos" w:hAnsi="Aptos"/>
                <w:b w:val="0"/>
                <w:sz w:val="15"/>
              </w:rPr>
              <w:t>active_accounts_z_model</w:t>
            </w:r>
          </w:p>
        </w:tc>
        <w:tc>
          <w:tcPr>
            <w:tcW w:type="dxa" w:w="2592"/>
            <w:vAlign w:val="center"/>
            <w:shd w:fill="F6F9FC"/>
          </w:tcPr>
          <w:p>
            <w:pPr>
              <w:spacing w:after="0" w:before="0"/>
            </w:pPr>
            <w:r/>
            <w:r>
              <w:rPr>
                <w:rFonts w:ascii="Aptos" w:hAnsi="Aptos"/>
                <w:b w:val="0"/>
                <w:sz w:val="15"/>
              </w:rPr>
              <w:t>Z-score challenger</w:t>
            </w:r>
          </w:p>
        </w:tc>
        <w:tc>
          <w:tcPr>
            <w:tcW w:type="dxa" w:w="2592"/>
            <w:vAlign w:val="center"/>
            <w:shd w:fill="F6F9FC"/>
          </w:tcPr>
          <w:p>
            <w:pPr>
              <w:spacing w:after="0" w:before="0"/>
            </w:pPr>
            <w:r/>
            <w:r>
              <w:rPr>
                <w:rFonts w:ascii="Aptos" w:hAnsi="Aptos"/>
                <w:b w:val="0"/>
                <w:sz w:val="15"/>
              </w:rPr>
              <w:t>Model B incremental</w:t>
            </w:r>
          </w:p>
        </w:tc>
      </w:tr>
      <w:tr>
        <w:tc>
          <w:tcPr>
            <w:tcW w:type="dxa" w:w="5040"/>
            <w:vAlign w:val="center"/>
          </w:tcPr>
          <w:p>
            <w:pPr>
              <w:spacing w:after="0" w:before="0"/>
            </w:pPr>
            <w:r/>
            <w:r>
              <w:rPr>
                <w:rFonts w:ascii="Aptos" w:hAnsi="Aptos"/>
                <w:b w:val="0"/>
                <w:sz w:val="15"/>
              </w:rPr>
              <w:t>active_accounts_z_available_flag</w:t>
            </w:r>
          </w:p>
        </w:tc>
        <w:tc>
          <w:tcPr>
            <w:tcW w:type="dxa" w:w="2592"/>
            <w:vAlign w:val="center"/>
          </w:tcPr>
          <w:p>
            <w:pPr>
              <w:spacing w:after="0" w:before="0"/>
            </w:pPr>
            <w:r/>
            <w:r>
              <w:rPr>
                <w:rFonts w:ascii="Aptos" w:hAnsi="Aptos"/>
                <w:b w:val="0"/>
                <w:sz w:val="15"/>
              </w:rPr>
              <w:t>Z-score challenger</w:t>
            </w:r>
          </w:p>
        </w:tc>
        <w:tc>
          <w:tcPr>
            <w:tcW w:type="dxa" w:w="2592"/>
            <w:vAlign w:val="center"/>
          </w:tcPr>
          <w:p>
            <w:pPr>
              <w:spacing w:after="0" w:before="0"/>
            </w:pPr>
            <w:r/>
            <w:r>
              <w:rPr>
                <w:rFonts w:ascii="Aptos" w:hAnsi="Aptos"/>
                <w:b w:val="0"/>
                <w:sz w:val="15"/>
              </w:rPr>
              <w:t>Model B incremental</w:t>
            </w:r>
          </w:p>
        </w:tc>
      </w:tr>
      <w:tr>
        <w:tc>
          <w:tcPr>
            <w:tcW w:type="dxa" w:w="5040"/>
            <w:vAlign w:val="center"/>
            <w:shd w:fill="F6F9FC"/>
          </w:tcPr>
          <w:p>
            <w:pPr>
              <w:spacing w:after="0" w:before="0"/>
            </w:pPr>
            <w:r/>
            <w:r>
              <w:rPr>
                <w:rFonts w:ascii="Aptos" w:hAnsi="Aptos"/>
                <w:b w:val="0"/>
                <w:sz w:val="15"/>
              </w:rPr>
              <w:t>avg_utilization_z_model</w:t>
            </w:r>
          </w:p>
        </w:tc>
        <w:tc>
          <w:tcPr>
            <w:tcW w:type="dxa" w:w="2592"/>
            <w:vAlign w:val="center"/>
            <w:shd w:fill="F6F9FC"/>
          </w:tcPr>
          <w:p>
            <w:pPr>
              <w:spacing w:after="0" w:before="0"/>
            </w:pPr>
            <w:r/>
            <w:r>
              <w:rPr>
                <w:rFonts w:ascii="Aptos" w:hAnsi="Aptos"/>
                <w:b w:val="0"/>
                <w:sz w:val="15"/>
              </w:rPr>
              <w:t>Z-score challenger</w:t>
            </w:r>
          </w:p>
        </w:tc>
        <w:tc>
          <w:tcPr>
            <w:tcW w:type="dxa" w:w="2592"/>
            <w:vAlign w:val="center"/>
            <w:shd w:fill="F6F9FC"/>
          </w:tcPr>
          <w:p>
            <w:pPr>
              <w:spacing w:after="0" w:before="0"/>
            </w:pPr>
            <w:r/>
            <w:r>
              <w:rPr>
                <w:rFonts w:ascii="Aptos" w:hAnsi="Aptos"/>
                <w:b w:val="0"/>
                <w:sz w:val="15"/>
              </w:rPr>
              <w:t>Model B incremental</w:t>
            </w:r>
          </w:p>
        </w:tc>
      </w:tr>
      <w:tr>
        <w:tc>
          <w:tcPr>
            <w:tcW w:type="dxa" w:w="5040"/>
            <w:vAlign w:val="center"/>
          </w:tcPr>
          <w:p>
            <w:pPr>
              <w:spacing w:after="0" w:before="0"/>
            </w:pPr>
            <w:r/>
            <w:r>
              <w:rPr>
                <w:rFonts w:ascii="Aptos" w:hAnsi="Aptos"/>
                <w:b w:val="0"/>
                <w:sz w:val="15"/>
              </w:rPr>
              <w:t>avg_utilization_z_available_flag</w:t>
            </w:r>
          </w:p>
        </w:tc>
        <w:tc>
          <w:tcPr>
            <w:tcW w:type="dxa" w:w="2592"/>
            <w:vAlign w:val="center"/>
          </w:tcPr>
          <w:p>
            <w:pPr>
              <w:spacing w:after="0" w:before="0"/>
            </w:pPr>
            <w:r/>
            <w:r>
              <w:rPr>
                <w:rFonts w:ascii="Aptos" w:hAnsi="Aptos"/>
                <w:b w:val="0"/>
                <w:sz w:val="15"/>
              </w:rPr>
              <w:t>Z-score challenger</w:t>
            </w:r>
          </w:p>
        </w:tc>
        <w:tc>
          <w:tcPr>
            <w:tcW w:type="dxa" w:w="2592"/>
            <w:vAlign w:val="center"/>
          </w:tcPr>
          <w:p>
            <w:pPr>
              <w:spacing w:after="0" w:before="0"/>
            </w:pPr>
            <w:r/>
            <w:r>
              <w:rPr>
                <w:rFonts w:ascii="Aptos" w:hAnsi="Aptos"/>
                <w:b w:val="0"/>
                <w:sz w:val="15"/>
              </w:rPr>
              <w:t>Model B incremental</w:t>
            </w:r>
          </w:p>
        </w:tc>
      </w:tr>
      <w:tr>
        <w:tc>
          <w:tcPr>
            <w:tcW w:type="dxa" w:w="5040"/>
            <w:vAlign w:val="center"/>
            <w:shd w:fill="F6F9FC"/>
          </w:tcPr>
          <w:p>
            <w:pPr>
              <w:spacing w:after="0" w:before="0"/>
            </w:pPr>
            <w:r/>
            <w:r>
              <w:rPr>
                <w:rFonts w:ascii="Aptos" w:hAnsi="Aptos"/>
                <w:b w:val="0"/>
                <w:sz w:val="15"/>
              </w:rPr>
              <w:t>weighted_utilization_z_model</w:t>
            </w:r>
          </w:p>
        </w:tc>
        <w:tc>
          <w:tcPr>
            <w:tcW w:type="dxa" w:w="2592"/>
            <w:vAlign w:val="center"/>
            <w:shd w:fill="F6F9FC"/>
          </w:tcPr>
          <w:p>
            <w:pPr>
              <w:spacing w:after="0" w:before="0"/>
            </w:pPr>
            <w:r/>
            <w:r>
              <w:rPr>
                <w:rFonts w:ascii="Aptos" w:hAnsi="Aptos"/>
                <w:b w:val="0"/>
                <w:sz w:val="15"/>
              </w:rPr>
              <w:t>Z-score challenger</w:t>
            </w:r>
          </w:p>
        </w:tc>
        <w:tc>
          <w:tcPr>
            <w:tcW w:type="dxa" w:w="2592"/>
            <w:vAlign w:val="center"/>
            <w:shd w:fill="F6F9FC"/>
          </w:tcPr>
          <w:p>
            <w:pPr>
              <w:spacing w:after="0" w:before="0"/>
            </w:pPr>
            <w:r/>
            <w:r>
              <w:rPr>
                <w:rFonts w:ascii="Aptos" w:hAnsi="Aptos"/>
                <w:b w:val="0"/>
                <w:sz w:val="15"/>
              </w:rPr>
              <w:t>Model B incremental</w:t>
            </w:r>
          </w:p>
        </w:tc>
      </w:tr>
      <w:tr>
        <w:tc>
          <w:tcPr>
            <w:tcW w:type="dxa" w:w="5040"/>
            <w:vAlign w:val="center"/>
          </w:tcPr>
          <w:p>
            <w:pPr>
              <w:spacing w:after="0" w:before="0"/>
            </w:pPr>
            <w:r/>
            <w:r>
              <w:rPr>
                <w:rFonts w:ascii="Aptos" w:hAnsi="Aptos"/>
                <w:b w:val="0"/>
                <w:sz w:val="15"/>
              </w:rPr>
              <w:t>weighted_utilization_z_available_flag</w:t>
            </w:r>
          </w:p>
        </w:tc>
        <w:tc>
          <w:tcPr>
            <w:tcW w:type="dxa" w:w="2592"/>
            <w:vAlign w:val="center"/>
          </w:tcPr>
          <w:p>
            <w:pPr>
              <w:spacing w:after="0" w:before="0"/>
            </w:pPr>
            <w:r/>
            <w:r>
              <w:rPr>
                <w:rFonts w:ascii="Aptos" w:hAnsi="Aptos"/>
                <w:b w:val="0"/>
                <w:sz w:val="15"/>
              </w:rPr>
              <w:t>Z-score challenger</w:t>
            </w:r>
          </w:p>
        </w:tc>
        <w:tc>
          <w:tcPr>
            <w:tcW w:type="dxa" w:w="2592"/>
            <w:vAlign w:val="center"/>
          </w:tcPr>
          <w:p>
            <w:pPr>
              <w:spacing w:after="0" w:before="0"/>
            </w:pPr>
            <w:r/>
            <w:r>
              <w:rPr>
                <w:rFonts w:ascii="Aptos" w:hAnsi="Aptos"/>
                <w:b w:val="0"/>
                <w:sz w:val="15"/>
              </w:rPr>
              <w:t>Model B incremental</w:t>
            </w:r>
          </w:p>
        </w:tc>
      </w:tr>
      <w:tr>
        <w:tc>
          <w:tcPr>
            <w:tcW w:type="dxa" w:w="3408"/>
          </w:tcPr>
          <w:p>
            <w:r>
              <w:t>model_split</w:t>
            </w:r>
          </w:p>
        </w:tc>
        <w:tc>
          <w:tcPr>
            <w:tcW w:type="dxa" w:w="3408"/>
          </w:tcPr>
          <w:p>
            <w:r>
              <w:t>Model-development metadata</w:t>
            </w:r>
          </w:p>
        </w:tc>
        <w:tc>
          <w:tcPr>
            <w:tcW w:type="dxa" w:w="3408"/>
          </w:tcPr>
          <w:p>
            <w:r>
              <w:t>Metadata</w:t>
            </w:r>
          </w:p>
        </w:tc>
      </w:tr>
      <w:tr>
        <w:tc>
          <w:tcPr>
            <w:tcW w:type="dxa" w:w="3408"/>
          </w:tcPr>
          <w:p>
            <w:r>
              <w:t>cohort_role</w:t>
            </w:r>
          </w:p>
        </w:tc>
        <w:tc>
          <w:tcPr>
            <w:tcW w:type="dxa" w:w="3408"/>
          </w:tcPr>
          <w:p>
            <w:r>
              <w:t>Cohort metadata</w:t>
            </w:r>
          </w:p>
        </w:tc>
        <w:tc>
          <w:tcPr>
            <w:tcW w:type="dxa" w:w="3408"/>
          </w:tcPr>
          <w:p>
            <w:r>
              <w:t>Metadata</w:t>
            </w:r>
          </w:p>
        </w:tc>
      </w:tr>
      <w:tr>
        <w:tc>
          <w:tcPr>
            <w:tcW w:type="dxa" w:w="3408"/>
          </w:tcPr>
          <w:p>
            <w:r>
              <w:t>label_3m</w:t>
            </w:r>
          </w:p>
        </w:tc>
        <w:tc>
          <w:tcPr>
            <w:tcW w:type="dxa" w:w="3408"/>
          </w:tcPr>
          <w:p>
            <w:r>
              <w:t>Outcome</w:t>
            </w:r>
          </w:p>
        </w:tc>
        <w:tc>
          <w:tcPr>
            <w:tcW w:type="dxa" w:w="3408"/>
          </w:tcPr>
          <w:p>
            <w:r>
              <w:t>Metadata</w:t>
            </w:r>
          </w:p>
        </w:tc>
      </w:tr>
      <w:tr>
        <w:tc>
          <w:tcPr>
            <w:tcW w:type="dxa" w:w="3408"/>
          </w:tcPr>
          <w:p>
            <w:r>
              <w:t>observation_year</w:t>
            </w:r>
          </w:p>
        </w:tc>
        <w:tc>
          <w:tcPr>
            <w:tcW w:type="dxa" w:w="3408"/>
          </w:tcPr>
          <w:p>
            <w:r>
              <w:t>Temporal key</w:t>
            </w:r>
          </w:p>
        </w:tc>
        <w:tc>
          <w:tcPr>
            <w:tcW w:type="dxa" w:w="3408"/>
          </w:tcPr>
          <w:p>
            <w:r>
              <w:t>Metadata</w:t>
            </w:r>
          </w:p>
        </w:tc>
      </w:tr>
      <w:tr>
        <w:tc>
          <w:tcPr>
            <w:tcW w:type="dxa" w:w="3408"/>
          </w:tcPr>
          <w:p>
            <w:r>
              <w:t>observation_date</w:t>
            </w:r>
          </w:p>
        </w:tc>
        <w:tc>
          <w:tcPr>
            <w:tcW w:type="dxa" w:w="3408"/>
          </w:tcPr>
          <w:p>
            <w:r>
              <w:t>Temporal key</w:t>
            </w:r>
          </w:p>
        </w:tc>
        <w:tc>
          <w:tcPr>
            <w:tcW w:type="dxa" w:w="3408"/>
          </w:tcPr>
          <w:p>
            <w:r>
              <w:t>Metadata</w:t>
            </w:r>
          </w:p>
        </w:tc>
      </w:tr>
      <w:tr>
        <w:tc>
          <w:tcPr>
            <w:tcW w:type="dxa" w:w="3408"/>
          </w:tcPr>
          <w:p>
            <w:r>
              <w:t>party_id</w:t>
            </w:r>
          </w:p>
        </w:tc>
        <w:tc>
          <w:tcPr>
            <w:tcW w:type="dxa" w:w="3408"/>
          </w:tcPr>
          <w:p>
            <w:r>
              <w:t>Analytical key</w:t>
            </w:r>
          </w:p>
        </w:tc>
        <w:tc>
          <w:tcPr>
            <w:tcW w:type="dxa" w:w="3408"/>
          </w:tcPr>
          <w:p>
            <w:r>
              <w:t>Metadata</w:t>
            </w:r>
          </w:p>
        </w:tc>
      </w:tr>
    </w:tbl>
    <w:p>
      <w:pPr>
        <w:spacing w:after="20"/>
      </w:pPr>
    </w:p>
    <w:p>
      <w:pPr>
        <w:spacing w:before="280"/>
        <w:jc w:val="center"/>
      </w:pPr>
      <w:r>
        <w:rPr>
          <w:b/>
          <w:color w:val="315A7D"/>
        </w:rPr>
        <w:t>End of technical specification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9AB1"/>
        <w:sz w:val="15"/>
      </w:rPr>
      <w:t xml:space="preserve">Confidential – Project Technical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9AB1"/>
        <w:sz w:val="15"/>
      </w:rPr>
      <w:t>Fraud Alert Vulnerability | Technical Data Lineage &amp; Calculation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A7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865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100"/>
      <w:ind w:left="360" w:right="360"/>
    </w:pPr>
    <w:rPr>
      <w:rFonts w:ascii="Cambria Math" w:hAnsi="Cambria Math"/>
      <w:color w:val="17324D"/>
      <w:sz w:val="20"/>
    </w:rPr>
  </w:style>
  <w:style w:type="paragraph" w:customStyle="1" w:styleId="CodeLabel">
    <w:name w:val="CodeLabel"/>
    <w:rPr>
      <w:rFonts w:ascii="Aptos" w:hAnsi="Aptos"/>
      <w:b/>
      <w:color w:val="526D8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Alert Vulnerability – Technical Data Lineage, Table Architecture &amp; Calculation Specification</dc:title>
  <dc:subject>Technical reconstruction of validated data engineering and feature engineering pipeline</dc:subject>
  <dc:creator>python-docx</dc:creator>
  <cp:keywords>fraud alert vulnerability, data lineage, feature engineering, MOP, point-in-time, z-score</cp:keywords>
  <dc:description>generated by python-docx</dc:description>
  <cp:lastModifiedBy/>
  <cp:revision>1</cp:revision>
  <dcterms:created xsi:type="dcterms:W3CDTF">2013-12-23T23:15:00Z</dcterms:created>
  <dcterms:modified xsi:type="dcterms:W3CDTF">2013-12-23T23:15:00Z</dcterms:modified>
  <cp:category/>
</cp:coreProperties>
</file>