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11827"/>
          <w:sz w:val="44"/>
        </w:rPr>
        <w:t>Narrativa de presentación</w:t>
        <w:br/>
        <w:t>Fraud Alert Vulnerability Model</w:t>
      </w:r>
    </w:p>
    <w:p>
      <w:pPr>
        <w:jc w:val="center"/>
      </w:pPr>
      <w:r>
        <w:rPr>
          <w:color w:val="5B667A"/>
          <w:sz w:val="20"/>
        </w:rPr>
        <w:t>Guía de conversación en español para presentar cada slide ante un manager de Data Science</w:t>
      </w:r>
    </w:p>
    <w:p>
      <w:r>
        <w:rPr>
          <w:b/>
        </w:rPr>
        <w:t xml:space="preserve">Enfoque general. </w:t>
      </w:r>
      <w:r>
        <w:t>La narrativa debe evitar repetir los periodos en cada slide. Primero se explica el diseño temporal una sola vez; luego se usa el resto de la presentación para mostrar evidencia: cohort, splits, feature engineering, comparación Current vs Z-score, estructura Model A/B, benchmark de validación y decisiones pendientes. Las cifras provienen del handoff técnico validado del proyecto, no de las presentaciones de referencia.</w:t>
      </w:r>
    </w:p>
    <w:p>
      <w:pPr>
        <w:pStyle w:val="Heading2"/>
      </w:pPr>
      <w:r>
        <w:t>Slide 1 — Model Review for Data Science Leadership</w:t>
      </w:r>
    </w:p>
    <w:p>
      <w:pPr>
        <w:spacing w:after="120"/>
      </w:pPr>
      <w:r>
        <w:t>Abrir explicando que esta no es una presentación de demo visual, sino una revisión ejecutiva-técnica del desarrollo validado del proyecto. El mensaje inicial es que ya existe un marco de modelado con 688,589 parties, un diseño case/control 1:10, un outcome futuro de 3 meses y un benchmark de Model A con AUPRC 0.1365. Aclarar explícitamente que las presentaciones de ejemplo solo inspiraron la forma de contar la historia, no los datos.</w:t>
      </w:r>
    </w:p>
    <w:p>
      <w:pPr>
        <w:pStyle w:val="Heading2"/>
      </w:pPr>
      <w:r>
        <w:t>Slide 2 — The analytical storyline</w:t>
      </w:r>
    </w:p>
    <w:p>
      <w:pPr>
        <w:spacing w:after="120"/>
      </w:pPr>
      <w:r>
        <w:t>Usar esta slide como mapa de lectura. La presentación está organizada como pregunta, decisión, evidencia y siguiente decisión. Esto responde a la crítica de que antes había demasiado texto repetitivo sobre periodos. Aquí se fija que la evidencia disponible es: cohort de 688,589 parties, splits train/validation/test, benchmark de Model A y métricas de lift. La idea es que el manager entienda desde el inicio qué está validado y qué todavía requiere análisis adicional.</w:t>
      </w:r>
    </w:p>
    <w:p>
      <w:pPr>
        <w:pStyle w:val="Heading2"/>
      </w:pPr>
      <w:r>
        <w:t>Slide 3 — What are we trying to predict?</w:t>
      </w:r>
    </w:p>
    <w:p>
      <w:pPr>
        <w:spacing w:after="120"/>
      </w:pPr>
      <w:r>
        <w:t>Explicar el objetivo y el label. El modelo no busca detectar eventos ya ocurridos; busca rankear parties con mayor vulnerabilidad antes de un evento confirmado futuro. El label 1 corresponde a un evento confirmado en los próximos 3 meses después de la ventana de observación. Esta slide también introduce la protección contra leakage: las features se calculan antes del outcome y el outcome futuro solo se usa como etiqueta.</w:t>
      </w:r>
    </w:p>
    <w:p>
      <w:pPr>
        <w:pStyle w:val="Heading2"/>
      </w:pPr>
      <w:r>
        <w:t>Slide 4 — Modeling population and split construction</w:t>
      </w:r>
    </w:p>
    <w:p>
      <w:pPr>
        <w:spacing w:after="120"/>
      </w:pPr>
      <w:r>
        <w:t>Esta es una de las slides más importantes porque incorpora números concretos. Presentar la población modelada: 688,589 parties, 62,599 cases y 625,990 controls. Explicar que la estructura de modelado mantiene una relación 1:10 case/control. Luego recorrer los splits: TRAIN con 27,033 cases y 270,330 controls; VALIDATION con 23,557 cases y 235,570 controls; TEST con 12,009 cases y 120,090 controls. Aclarar que este 1:10 es el diseño de sampleo/modelado y no necesariamente la prevalencia cruda del portafolio.</w:t>
      </w:r>
    </w:p>
    <w:p>
      <w:pPr>
        <w:pStyle w:val="Heading2"/>
      </w:pPr>
      <w:r>
        <w:t>Slide 5 — From raw behavior to model-ready features</w:t>
      </w:r>
    </w:p>
    <w:p>
      <w:pPr>
        <w:spacing w:after="120"/>
      </w:pPr>
      <w:r>
        <w:t>Aquí la narrativa debe enfocarse en cómo se convierten datos transaccionales o conductuales en variables de modelo. La secuencia es: comportamiento mensual bruto, baseline prior de 9 meses, comportamiento reciente de 3 meses, features engineered y finalmente vector de entrada al modelo. Esta slide reemplaza slides repetitivas sobre el calendario con una explicación de qué produce el calendario: variables que representan nivel reciente, baseline histórico, cambios, ratios y candidatos z-score.</w:t>
      </w:r>
    </w:p>
    <w:p>
      <w:pPr>
        <w:pStyle w:val="Heading2"/>
      </w:pPr>
      <w:r>
        <w:t>Slide 6 — Why compare Recent 3m against Prior 9m?</w:t>
      </w:r>
    </w:p>
    <w:p>
      <w:pPr>
        <w:spacing w:after="120"/>
      </w:pPr>
      <w:r>
        <w:t>Explicar que el valor metodológico no es simplemente decir “3 meses contra 9 meses”, sino capturar cambio conductual. El prior de 9 meses estima qué es normal para cada party; el recent de 3 meses captura el estado cercano al punto de predicción. El contraste permite distinguir una party naturalmente activa de una party cuyo comportamiento reciente se movió de forma anómala respecto a su propio historial.</w:t>
      </w:r>
    </w:p>
    <w:p>
      <w:pPr>
        <w:pStyle w:val="Heading2"/>
      </w:pPr>
      <w:r>
        <w:t>Slide 7 — Current formulation vs Z-score experiment</w:t>
      </w:r>
    </w:p>
    <w:p>
      <w:pPr>
        <w:spacing w:after="120"/>
      </w:pPr>
      <w:r>
        <w:t>Presentar el z-score como experimento controlado, no como conclusión. La formulación Current representa el set base de features engineered. El z-score mide desviación estandarizada contra el historial propio: z = (recent_3m - mean(prior_9m)) / std(prior_9m). La narrativa clave es que un método más sofisticado no se adopta automáticamente: se adopta solo si mejora la validación fuera de muestra y se mantiene estable.</w:t>
      </w:r>
    </w:p>
    <w:p>
      <w:pPr>
        <w:pStyle w:val="Heading2"/>
      </w:pPr>
      <w:r>
        <w:t>Slide 8 — Controlled model experiment: A vs B</w:t>
      </w:r>
    </w:p>
    <w:p>
      <w:pPr>
        <w:spacing w:after="120"/>
      </w:pPr>
      <w:r>
        <w:t>Esta slide convierte el trabajo metodológico en un experimento A/B claro. Model A es el baseline con Logistic Regression y regularización L2 usando las features base. Model B usa la misma estructura pero agrega selected Z features. El punto para el manager es que Model B no debe compararse conceptualmente, sino empíricamente contra Model A usando las mismas métricas y los mismos splits.</w:t>
      </w:r>
    </w:p>
    <w:p>
      <w:pPr>
        <w:pStyle w:val="Heading2"/>
      </w:pPr>
      <w:r>
        <w:t>Slide 9 — Validation benchmark: Model A / regParam = 0.01</w:t>
      </w:r>
    </w:p>
    <w:p>
      <w:pPr>
        <w:spacing w:after="120"/>
      </w:pPr>
      <w:r>
        <w:t>Presentar los resultados validados actuales. Model A tiene AUPRC 0.1365, AUROC 0.6671, Lift@1% 1.524, Lift@5% 1.576 y Lift@10% 1.596. Explicar que AUPRC es especialmente relevante por el desbalance de clase y que el lift muestra concentración de casos futuros en los segmentos mejor rankeados. Esta slide debe ser el benchmark contra el que se mida cualquier mejora posterior.</w:t>
      </w:r>
    </w:p>
    <w:p>
      <w:pPr>
        <w:pStyle w:val="Heading2"/>
      </w:pPr>
      <w:r>
        <w:t>Slide 10 — Operational interpretation of lift</w:t>
      </w:r>
    </w:p>
    <w:p>
      <w:pPr>
        <w:spacing w:after="120"/>
      </w:pPr>
      <w:r>
        <w:t>Traducir las métricas a una lectura operacional. Con una base del sample modelado de aproximadamente 9.1%, los lifts implican una concentración aproximada de 13.9% en el top 1%, 14.3% en el top 5% y 14.5% en el top 10%. Aclarar que estos porcentajes son derivados del sample 1:10 y no una estimación directa de prevalencia productiva. La decisión de threshold requiere calibración y capacidad operativa.</w:t>
      </w:r>
    </w:p>
    <w:p>
      <w:pPr>
        <w:pStyle w:val="Heading2"/>
      </w:pPr>
      <w:r>
        <w:t>Slide 11 — What is validated vs what remains open</w:t>
      </w:r>
    </w:p>
    <w:p>
      <w:pPr>
        <w:spacing w:after="120"/>
      </w:pPr>
      <w:r>
        <w:t>Esta slide es para evitar sobreprometer. Ya está validado el cohort, los splits, el marco temporal, el benchmark de Model A y el rango de lift. Lo que sigue abierto es la adopción de Model B, la selección de threshold, la calibración, la estabilidad temporal y la gobernanza. Esta distinción es importante para una audiencia de Data Science porque separa evidencia de hipótesis pendientes.</w:t>
      </w:r>
    </w:p>
    <w:p>
      <w:pPr>
        <w:pStyle w:val="Heading2"/>
      </w:pPr>
      <w:r>
        <w:t>Slide 12 — Recommended DS review plan</w:t>
      </w:r>
    </w:p>
    <w:p>
      <w:pPr>
        <w:spacing w:after="120"/>
      </w:pPr>
      <w:r>
        <w:t>Cerrar con próximos pasos accionables. La siguiente iteración debe agregar métricas de Model B lado a lado con Model A, análisis de thresholds por capacidad, calibración, revisión de coefficients/features, estabilidad temporal y monitoreo ético. El cierre recomendado es: el proyecto ya tiene un baseline validado; la siguiente decisión es si las features z-score agregan valor incremental y bajo qué umbral sería operativamente viable.</w:t>
      </w:r>
    </w:p>
    <w:p>
      <w:pPr>
        <w:pStyle w:val="Heading2"/>
      </w:pPr>
      <w:r>
        <w:t>Resumen numérico para tener a mano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EF1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Elemento</w:t>
            </w:r>
          </w:p>
        </w:tc>
        <w:tc>
          <w:tcPr>
            <w:tcW w:type="dxa" w:w="3504"/>
            <w:shd w:fill="EEF1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Valor</w:t>
            </w:r>
          </w:p>
        </w:tc>
        <w:tc>
          <w:tcPr>
            <w:tcW w:type="dxa" w:w="3504"/>
            <w:shd w:fill="EEF1F7"/>
            <w:vAlign w:val="center"/>
          </w:tcPr>
          <w:p>
            <w:pPr>
              <w:spacing w:after="0"/>
            </w:pPr>
            <w:r/>
            <w:r>
              <w:rPr>
                <w:b/>
                <w:color w:val="111827"/>
                <w:sz w:val="17"/>
              </w:rPr>
              <w:t>Uso en la narrativa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Total parties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688,589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Tamaño de la población modelada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Total cases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62,599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Casos positivos en el sample modelado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Total controls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625,990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Controles en diseño 1:10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TRAIN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27,033 cases / 270,330 controls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Split de entrenamiento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VALIDATION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23,557 cases / 235,570 controls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Split de validación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TEST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12,009 cases / 120,090 controls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Split de prueba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Observation window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13 months = 1 seed + 9 prior + 3 recent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Diseño temporal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Outcome horizon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3 months future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Label prospectivo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Model A benchmark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AUPRC 0.1365 / AUROC 0.6671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Baseline validado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Lift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1.524 / 1.576 / 1.596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5B667A"/>
                <w:sz w:val="17"/>
              </w:rPr>
              <w:t>Lift@1%, Lift@5%, Lift@10%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Validated project development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Fraud Alert Vulnerability — Spanish presenter narrative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1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