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9"/>
          <w:sz w:val="56"/>
        </w:rPr>
        <w:t>Fraud Alert Vulnerability Index</w:t>
      </w:r>
    </w:p>
    <w:p>
      <w:pPr>
        <w:jc w:val="center"/>
      </w:pPr>
      <w:r>
        <w:rPr>
          <w:b/>
          <w:sz w:val="36"/>
        </w:rPr>
        <w:t>Analytical Progress and Feature Engineering Report</w:t>
      </w:r>
    </w:p>
    <w:p>
      <w:pPr>
        <w:jc w:val="center"/>
      </w:pPr>
      <w:r>
        <w:rPr>
          <w:i/>
          <w:sz w:val="32"/>
        </w:rPr>
        <w:t>Reporte de Progreso Analitico y Feature Engineering</w:t>
      </w: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r>
              <w:rPr>
                <w:b/>
                <w:color w:val="1F4E79"/>
                <w:sz w:val="20"/>
              </w:rPr>
              <w:t>Confluence-ready bilingual report</w:t>
              <w:br/>
            </w:r>
            <w:r>
              <w:rPr>
                <w:sz w:val="18"/>
              </w:rPr>
              <w:t>This document consolidates the tenure analysis, trades structural EDA, MOP behavioral analysis, rolling-window feature development, key decisions, limitations, and the next steps required to build the alert-propensity index. / Este documento consolida el analisis de tenure, EDA estructural de trades, comportamiento MOP, ventanas temporales, decisiones, limitaciones y los proximos pasos para construir el indice de propension a alerta.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sz w:val="18"/>
        </w:rPr>
        <w:t>Prepared from Spark/Hive analyses and business rules supplied during the project.</w:t>
      </w:r>
    </w:p>
    <w:p>
      <w:pPr>
        <w:jc w:val="center"/>
      </w:pPr>
      <w:r>
        <w:t>25-Aug-2026</w:t>
      </w:r>
    </w:p>
    <w:p>
      <w:r>
        <w:br w:type="page"/>
      </w:r>
    </w:p>
    <w:p>
      <w:pPr>
        <w:pStyle w:val="Heading1"/>
      </w:pPr>
      <w:r>
        <w:t>Version en Espanol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Propiedad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Estado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 desarrollo - EDA y feature engineering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7"/>
              </w:rPr>
              <w:t>Objetivo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7"/>
              </w:rPr>
              <w:t>Construir un indice/modelo point-in-time de propension a colocar una primera alerta de fraude.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Fuentes principales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security_alert, person_restricted, trades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7"/>
              </w:rPr>
              <w:t>Periodo analizado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7"/>
              </w:rPr>
              <w:t>Historia fuente 2000-2026; EDA conductual detallado 2024-2025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Fecha de actualizacion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24-Aug-2026</w:t>
            </w:r>
          </w:p>
        </w:tc>
      </w:tr>
    </w:tbl>
    <w:p>
      <w:pPr>
        <w:spacing w:after="40"/>
      </w:pPr>
    </w:p>
    <w:p>
      <w:pPr>
        <w:pStyle w:val="Heading2"/>
      </w:pPr>
      <w:r>
        <w:t>1. Resumen ejecutivo</w:t>
      </w:r>
    </w:p>
    <w:p>
      <w:pPr>
        <w:pStyle w:val="ListBullet"/>
        <w:spacing w:after="40"/>
      </w:pPr>
      <w:r>
        <w:t>La fuente de alertas es un historico de snapshots; por ello se deduplicaron eventos de creacion y se uso la primera alerta observada por party_id como outcome inicial.</w:t>
      </w:r>
    </w:p>
    <w:p>
      <w:pPr>
        <w:pStyle w:val="ListBullet"/>
        <w:spacing w:after="40"/>
      </w:pPr>
      <w:r>
        <w:t>El analisis de tenure encontro una censura izquierda material en person_restricted: 29,086 de 66,643 parties de la muestra (43.64%) aparecen exactamente en la primera fecha historica disponible, 2000-09-30.</w:t>
      </w:r>
    </w:p>
    <w:p>
      <w:pPr>
        <w:pStyle w:val="ListBullet"/>
        <w:spacing w:after="40"/>
      </w:pPr>
      <w:r>
        <w:t>Al excluir censura y casos inconsistentes quedaron 37,492 parties con tenure utilizable. La mediana de tenure al primer alert fue 195 meses (~16.3 anos), pero el pico se desplaza +12 meses por cada ano calendario, indicando un fuerte efecto de cohorte y no un umbral causal de tenure.</w:t>
      </w:r>
    </w:p>
    <w:p>
      <w:pPr>
        <w:pStyle w:val="ListBullet"/>
        <w:spacing w:after="40"/>
      </w:pPr>
      <w:r>
        <w:t>trades tiene una carga mensual y permite construir comportamiento 3m/6m/12m. data_date se interpreta como fecha de disponibilidad/carga y eff_dte como fecha efectiva de ultima verificacion de la cuenta.</w:t>
      </w:r>
    </w:p>
    <w:p>
      <w:pPr>
        <w:pStyle w:val="ListBullet"/>
        <w:spacing w:after="40"/>
      </w:pPr>
      <w:r>
        <w:t>La frecuencia de actualizacion efectiva esta fuertemente explicada por el ciclo de vida de la cuenta: 96.61% de las cuentas STATIC estan cerradas; entre cuentas sin fecha de cierre, 86.06% son MONTHLY.</w:t>
      </w:r>
    </w:p>
    <w:p>
      <w:pPr>
        <w:pStyle w:val="ListBullet"/>
        <w:spacing w:after="40"/>
      </w:pPr>
      <w:r>
        <w:t>Las transiciones de MOP son una senal conductual limpia: 99.98% de los deterioros coinciden con una nueva eff_dte. A nivel persona, 15.15% de la muestra 2025 experimento al menos un deterioro.</w:t>
      </w:r>
    </w:p>
    <w:p>
      <w:pPr>
        <w:pStyle w:val="ListBullet"/>
        <w:spacing w:after="40"/>
      </w:pPr>
      <w:r>
        <w:t>La capa 2024-2025 tiene 707,157 party-months, 31,189 parties, 24 meses y cero duplicados por party_id + data_date. El 96.58% de los party-months 2025 tiene un baseline completo de 12 meses.</w:t>
      </w:r>
    </w:p>
    <w:p>
      <w:pPr>
        <w:pStyle w:val="ListBullet"/>
        <w:spacing w:after="40"/>
      </w:pPr>
      <w:r>
        <w:t>Entre observaciones con baseline completo, 8.09% tiene deterioro reciente, 6.12% muestra aceleracion del deterioro frente a su propio baseline y 2.10% presenta un evento adverso reciente.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F4E79"/>
                <w:sz w:val="20"/>
              </w:rPr>
              <w:t>Decision metodologica principal</w:t>
              <w:br/>
            </w:r>
            <w:r>
              <w:rPr>
                <w:sz w:val="18"/>
              </w:rPr>
              <w:t>Tenure debe mantenerse como variable de contexto/segmentacion. Las candidatas principales para el indice son cambios conductuales recientes respecto al baseline individual: deterioro MOP, past due, balance/utilizacion, eventos adversos y cambios en el portafolio.</w:t>
            </w:r>
          </w:p>
        </w:tc>
      </w:tr>
    </w:tbl>
    <w:p>
      <w:pPr>
        <w:spacing w:after="40"/>
      </w:pPr>
    </w:p>
    <w:p>
      <w:pPr>
        <w:pStyle w:val="Heading2"/>
      </w:pPr>
      <w:r>
        <w:t>2. Fuente de alertas y definicion del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Filas source security_alert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324,268,295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Eventos unicos de creacion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42,318,245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Parties con alerta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29,766,492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Min / max crat_dte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2007-01-13 / 2026-07-30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Min / max data_date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2009-03-31 / 2026-07-31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Cohorte primera alerta 2022-2025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6,663,521 parties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Tipo 2 en cohorte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6,538,126 (98.12%)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Tipo 3 en cohorte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122,420 (1.84%)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Tipos 2 y 3 mismo dia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2,975 (0.04%)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La regla de negocio indica que, despues de colocar una alerta, una persona no puede colocar otra durante aproximadamente 7 anos.</w:t>
      </w:r>
    </w:p>
    <w:p>
      <w:pPr>
        <w:pStyle w:val="ListBullet"/>
        <w:spacing w:after="40"/>
      </w:pPr>
      <w:r>
        <w:t>Se encontraron muchas fechas de creacion dentro de 7 anos, por lo que una nueva crat_dte no debe interpretarse automaticamente como una nueva alerta independiente. Para el objetivo actual se utiliza la fecha mas temprana como primera alerta observada.</w:t>
      </w:r>
    </w:p>
    <w:p>
      <w:pPr>
        <w:pStyle w:val="ListBullet"/>
        <w:spacing w:after="40"/>
      </w:pPr>
      <w:r>
        <w:t>El outcome actual representa propension a colocar una primera alerta observada; no equivale por si solo a fraude confirmado o victimizacion confirmada.</w:t>
      </w:r>
    </w:p>
    <w:p>
      <w:pPr>
        <w:pStyle w:val="Heading2"/>
      </w:pPr>
      <w:r>
        <w:t>3. Tenure: resultados y cambio de interpretacion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Muestra deterministica de alertas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66,643 parties</w:t>
            </w:r>
          </w:p>
        </w:tc>
      </w:tr>
      <w:t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Left-censored exacto en 2000-09-30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29,086 (43.64%)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censurados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37,557</w:t>
            </w:r>
          </w:p>
        </w:tc>
      </w:tr>
      <w:t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Validos despues de quality filters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37,492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Promedio tenure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175.23 meses (~14.6 anos)</w:t>
            </w:r>
          </w:p>
        </w:tc>
      </w:tr>
      <w:t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P10 / P25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61 / 121 meses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P50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195 meses (~16.3 anos)</w:t>
            </w:r>
          </w:p>
        </w:tc>
      </w:tr>
      <w:t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P75 / P90 / P95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230 / 257 / 270 meses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Ano de alerta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Banda pico de tenure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 dentro del ano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180-191 meses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12.39%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2023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192-203 meses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11.93%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204-215 meses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11.74%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2025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216-227 meses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10.20%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7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ure_peak_shi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7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1. El pico de tenure avanza exactamente 12 meses por ano, consistente con un efecto de cohorte.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color w:val="1F4E79"/>
                <w:sz w:val="20"/>
              </w:rPr>
              <w:t>Interpretacion</w:t>
              <w:br/>
            </w:r>
            <w:r>
              <w:rPr>
                <w:sz w:val="18"/>
              </w:rPr>
              <w:t>No se debe concluir que 17-19 anos es el periodo de mayor riesgo. El desplazamiento anual indica que una cohorte numerosa (aprox. originada 2006-2007) esta envejeciendo con el calendario. Para medir riesgo por tenure se necesita el denominador de personas expuestas, incluyendo quienes no colocan alerta.</w:t>
            </w:r>
          </w:p>
        </w:tc>
      </w:tr>
    </w:tbl>
    <w:p>
      <w:pPr>
        <w:spacing w:after="40"/>
      </w:pPr>
    </w:p>
    <w:p>
      <w:pPr>
        <w:pStyle w:val="Heading2"/>
      </w:pPr>
      <w:r>
        <w:t>4. trades: EDA estructural y temporal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Filas trades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504,842,538,762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Frecuencia de carga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Mensual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Historia observada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Desde 2000-09 hasta 2026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missing eff_dte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eff_dte &gt; data_date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 filas; practicamente 0%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Llave validada en muestra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party_id + acct_id + data_date; 0 duplicados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Percentil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DATEDIFF(data_date, eff_dte)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P10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 dias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P25</w:t>
            </w:r>
          </w:p>
        </w:tc>
        <w:tc>
          <w:tcPr>
            <w:tcW w:type="dxa" w:w="60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25 dias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P50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275 dias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P75</w:t>
            </w:r>
          </w:p>
        </w:tc>
        <w:tc>
          <w:tcPr>
            <w:tcW w:type="dxa" w:w="60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1,671 dias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P90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2,615 dias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P95</w:t>
            </w:r>
          </w:p>
        </w:tc>
        <w:tc>
          <w:tcPr>
            <w:tcW w:type="dxa" w:w="60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3,073 dias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P99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3,501 dias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  <w:sz w:val="20"/>
              </w:rPr>
              <w:t>Lectura correcta de eff_dte</w:t>
              <w:br/>
            </w:r>
            <w:r>
              <w:rPr>
                <w:sz w:val="18"/>
              </w:rPr>
              <w:t>La diferencia data_date - eff_dte se interpreta como staleness/frescura de la informacion, no como simple load lag. Una carga mensual puede repetir el mismo estado efectivo durante meses o anos.</w:t>
            </w:r>
          </w:p>
        </w:tc>
      </w:tr>
    </w:tbl>
    <w:p>
      <w:pPr>
        <w:spacing w:after="40"/>
      </w:pPr>
    </w:p>
    <w:p>
      <w:pPr>
        <w:pStyle w:val="Heading2"/>
      </w:pPr>
      <w:r>
        <w:t>5. Ciclo de vida de cuenta y frecuencia de actualizacion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Update behavior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Cuentas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STATIC (1 eff_dte)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167,962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51.50%</w:t>
            </w:r>
          </w:p>
        </w:tc>
      </w:tr>
      <w:tr>
        <w:tc>
          <w:tcPr>
            <w:tcW w:type="dxa" w:w="388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INTERMEDIATE (2-9)</w:t>
            </w:r>
          </w:p>
        </w:tc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29,323</w:t>
            </w:r>
          </w:p>
        </w:tc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8.99%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MONTHLY (10-12)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128,834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39.51%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3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_behavi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2. Distribucion de frecuencia efectiva de actualizacion en la muestra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Closed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Zero balance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Past due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STATIC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96.61%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99.06%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0.69%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INTERMEDIATE</w:t>
            </w:r>
          </w:p>
        </w:tc>
        <w:tc>
          <w:tcPr>
            <w:tcW w:type="dxa" w:w="187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55.87%</w:t>
            </w:r>
          </w:p>
        </w:tc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61.38%</w:t>
            </w:r>
          </w:p>
        </w:tc>
        <w:tc>
          <w:tcPr>
            <w:tcW w:type="dxa" w:w="201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7.79%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MONTHLY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10.76%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26.31%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8.63%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Grupo (solo sin clsd_dte)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Cuentas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STATIC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5,689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4.26%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INTERMEDIATE</w:t>
            </w:r>
          </w:p>
        </w:tc>
        <w:tc>
          <w:tcPr>
            <w:tcW w:type="dxa" w:w="24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12,940</w:t>
            </w:r>
          </w:p>
        </w:tc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9.69%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MONTHLY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114,968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86.06%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3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update_behavi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3. Al controlar por cuentas sin fecha de cierre, la actualizacion mensual es el comportamiento dominante.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F4E79"/>
                <w:sz w:val="20"/>
              </w:rPr>
              <w:t>Conclusion</w:t>
              <w:br/>
            </w:r>
            <w:r>
              <w:rPr>
                <w:sz w:val="18"/>
              </w:rPr>
              <w:t>update_behavior es principalmente una variable de ciclo de vida/reporting, no una senal directa de vulnerabilidad. Se conserva como contexto; la senal de mayor valor sera el cambio respecto al patron historico de la misma cuenta/persona.</w:t>
            </w:r>
          </w:p>
        </w:tc>
      </w:tr>
    </w:tbl>
    <w:p>
      <w:pPr>
        <w:spacing w:after="40"/>
      </w:pPr>
    </w:p>
    <w:p>
      <w:pPr>
        <w:pStyle w:val="Heading2"/>
      </w:pPr>
      <w:r>
        <w:t>6. Primer EDA conductual: transiciones de MOP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 de transicion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Transition count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NO_CHANGE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3,501,681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98.79%</w:t>
            </w:r>
          </w:p>
        </w:tc>
      </w:tr>
      <w:tr>
        <w:tc>
          <w:tcPr>
            <w:tcW w:type="dxa" w:w="446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DETERIORATION</w:t>
            </w:r>
          </w:p>
        </w:tc>
        <w:tc>
          <w:tcPr>
            <w:tcW w:type="dxa" w:w="24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29,310</w:t>
            </w:r>
          </w:p>
        </w:tc>
        <w:tc>
          <w:tcPr>
            <w:tcW w:type="dxa" w:w="187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0.83%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IMPROVEMENT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7,843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0.22%</w:t>
            </w:r>
          </w:p>
        </w:tc>
      </w:tr>
      <w:tr>
        <w:tc>
          <w:tcPr>
            <w:tcW w:type="dxa" w:w="446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NEW_ADVERSE_STATUS (v1)</w:t>
            </w:r>
          </w:p>
        </w:tc>
        <w:tc>
          <w:tcPr>
            <w:tcW w:type="dxa" w:w="24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4,042</w:t>
            </w:r>
          </w:p>
        </w:tc>
        <w:tc>
          <w:tcPr>
            <w:tcW w:type="dxa" w:w="187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0.11%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OTHER_TRANSITION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1,582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0.04%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11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_trans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1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4. Las transiciones no estables son raras a nivel cuenta-mes, pero informativas.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75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Validacion temporal</w:t>
            </w:r>
          </w:p>
        </w:tc>
        <w:tc>
          <w:tcPr>
            <w:tcW w:type="dxa" w:w="403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 con effective_update_flag=1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Deterioration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99.98%</w:t>
            </w:r>
          </w:p>
        </w:tc>
      </w:tr>
      <w:tr>
        <w:tc>
          <w:tcPr>
            <w:tcW w:type="dxa" w:w="475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Improvement</w:t>
            </w:r>
          </w:p>
        </w:tc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99.78%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New adverse status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99.01%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La logica ordinal 01-06 se valido para deterioro/mejora. Los cambios observados mas comunes incluyen 01-&gt;02, 04-&gt;05, 02-&gt;03, 01-&gt;04 y 03-&gt;04.</w:t>
      </w:r>
    </w:p>
    <w:p>
      <w:pPr>
        <w:pStyle w:val="ListBullet"/>
        <w:spacing w:after="40"/>
      </w:pPr>
      <w:r>
        <w:t>Se corrigio la definicion de adverse: 09, 9B, 8A y 8B representan estados adversos activos; 9P y 8P se separan como historico/resuelto.</w:t>
      </w:r>
    </w:p>
    <w:p>
      <w:pPr>
        <w:pStyle w:val="ListBullet"/>
        <w:spacing w:after="40"/>
      </w:pPr>
      <w:r>
        <w:t>Los codigos 07 y 08 permanecen sin interpretar hasta contar con una definicion oficial.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Evento MOP corregido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DPD deterioration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29,310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DPD improvement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7,843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Entered active adverse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3,394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Adverse resolved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477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Became unrated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1,136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Left unrated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</w:tr>
    </w:tbl>
    <w:p>
      <w:pPr>
        <w:spacing w:after="40"/>
      </w:pPr>
    </w:p>
    <w:p>
      <w:pPr>
        <w:pStyle w:val="Heading2"/>
      </w:pPr>
      <w:r>
        <w:t>7. Agregacion a persona-mes y extension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Parties 2025 analizados en EDA MOP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30,496</w:t>
            </w:r>
          </w:p>
        </w:tc>
      </w:tr>
      <w:tr>
        <w:tc>
          <w:tcPr>
            <w:tcW w:type="dxa" w:w="518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Parties con al menos un deterioro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4,624 (15.15%)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Parties con active adverse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1,697 (~5.6%)</w:t>
            </w:r>
          </w:p>
        </w:tc>
      </w:tr>
      <w:tr>
        <w:tc>
          <w:tcPr>
            <w:tcW w:type="dxa" w:w="518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P90 / P95 / P99 deteriorated accounts por party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 / 6 / 19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Capa mensual 2024-2025</w:t>
            </w:r>
          </w:p>
        </w:tc>
        <w:tc>
          <w:tcPr>
            <w:tcW w:type="dxa" w:w="374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party-month rows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707,157</w:t>
            </w:r>
          </w:p>
        </w:tc>
      </w:tr>
      <w:tr>
        <w:tc>
          <w:tcPr>
            <w:tcW w:type="dxa" w:w="489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parties</w:t>
            </w:r>
          </w:p>
        </w:tc>
        <w:tc>
          <w:tcPr>
            <w:tcW w:type="dxa" w:w="374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31,189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meses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</w:tr>
      <w:tr>
        <w:tc>
          <w:tcPr>
            <w:tcW w:type="dxa" w:w="489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rango</w:t>
            </w:r>
          </w:p>
        </w:tc>
        <w:tc>
          <w:tcPr>
            <w:tcW w:type="dxa" w:w="374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2024-01-31 a 2025-12-31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duplicados party_id + data_date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76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Eventos 2025 con historia 2024 disponible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Deteriorations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31,437</w:t>
            </w:r>
          </w:p>
        </w:tc>
      </w:tr>
      <w:tr>
        <w:tc>
          <w:tcPr>
            <w:tcW w:type="dxa" w:w="576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Improvements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8,331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Active adverse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3,893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  <w:sz w:val="20"/>
              </w:rPr>
              <w:t>Boundary effect corregido</w:t>
              <w:br/>
            </w:r>
            <w:r>
              <w:rPr>
                <w:sz w:val="18"/>
              </w:rPr>
              <w:t>Al incorporar 2024, enero de 2025 ya puede compararse con diciembre de 2024. El incremento de eventos 2025 es esperado y refleja mejor cobertura longitudinal, no una inconsistencia.</w:t>
            </w:r>
          </w:p>
        </w:tc>
      </w:tr>
    </w:tbl>
    <w:p>
      <w:pPr>
        <w:spacing w:after="40"/>
      </w:pPr>
    </w:p>
    <w:p>
      <w:pPr>
        <w:pStyle w:val="Heading2"/>
      </w:pPr>
      <w:r>
        <w:t>8. Rolling windows y baseline conductual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75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Cobertura 2025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Party-months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Baseline 12m completo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343,948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96.58%</w:t>
            </w:r>
          </w:p>
        </w:tc>
      </w:tr>
      <w:tr>
        <w:tc>
          <w:tcPr>
            <w:tcW w:type="dxa" w:w="475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Incompleto</w:t>
            </w:r>
          </w:p>
        </w:tc>
        <w:tc>
          <w:tcPr>
            <w:tcW w:type="dxa" w:w="230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12,173</w:t>
            </w:r>
          </w:p>
        </w:tc>
        <w:tc>
          <w:tcPr>
            <w:tcW w:type="dxa" w:w="187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3.42%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33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ve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5. La cobertura de historia completa es suficiente para comparar ventanas recientes contra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Senal conductual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Party-months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Deterioro en recent 3m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27,838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8.09%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Aceleracion de deterioro &gt; 0</w:t>
            </w:r>
          </w:p>
        </w:tc>
        <w:tc>
          <w:tcPr>
            <w:tcW w:type="dxa" w:w="230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21,053</w:t>
            </w:r>
          </w:p>
        </w:tc>
        <w:tc>
          <w:tcPr>
            <w:tcW w:type="dxa" w:w="187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6.12%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Active adverse en recent 3m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7,216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2.10%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33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_behavior_sign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6. Frecuencia de las primeras features conductuales con baseline completo.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33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behavior_stab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7. La aceleracion de deterioro y los adverse recientes muestran estabilidad mensual razonable durante 2025.</w:t>
      </w:r>
    </w:p>
    <w:p>
      <w:pPr>
        <w:pStyle w:val="ListBullet"/>
        <w:spacing w:after="40"/>
      </w:pPr>
      <w:r>
        <w:t>pct_deterioration_acceleration oscila aproximadamente entre 5.73% y 6.85% por mes en 2025.</w:t>
      </w:r>
    </w:p>
    <w:p>
      <w:pPr>
        <w:pStyle w:val="ListBullet"/>
        <w:spacing w:after="40"/>
      </w:pPr>
      <w:r>
        <w:t>pct_recent_adverse oscila aproximadamente entre 1.87% y 2.42%.</w:t>
      </w:r>
    </w:p>
    <w:p>
      <w:pPr>
        <w:pStyle w:val="ListBullet"/>
        <w:spacing w:after="40"/>
      </w:pPr>
      <w:r>
        <w:t>P95 de deterioration_acceleration permanece alrededor de 0.2-0.3 durante el ano, lo que sugiere una feature relativamente estable a nivel calendario.</w:t>
      </w:r>
    </w:p>
    <w:p>
      <w:pPr>
        <w:pStyle w:val="ListBullet"/>
        <w:spacing w:after="40"/>
      </w:pPr>
      <w:r>
        <w:t>El output pegado de percentiles de magnitud para past_due/balance/utilization quedo mal formateado; se excluye deliberadamente del reporte hasta re-exportarlo de forma limpia.</w:t>
      </w:r>
    </w:p>
    <w:p>
      <w:pPr>
        <w:pStyle w:val="Heading2"/>
      </w:pPr>
      <w:r>
        <w:t>9. Feature Catalog - estado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03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Familia / feature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Decision actual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tenure_months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Contexto/segmentacion; no usar como riesgo aislado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active_accounts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Control de exposicion y denominador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deteriorations_3m/6m/12m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Muy alta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Candidata principal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deterioration_acceleration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Muy alta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Cambio recent 3m vs prior 9m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max_dpd_jump_3m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Severidad del deterioro observado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entered_active_adverse_3m/6m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Muy alta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Evento severo reciente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past_due level/change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Muy alta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Nivel y cambio vs baseline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revolving utilization/change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Muy alta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Solo portfolios R/C; validar outliers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new / recently closed accounts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Pendiente de feature engineering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update_behavior raw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Baja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Lifecycle/reporting, no riesgo directo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staleness / update frequency change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Experimental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Usar solo como cambio relativo al baseline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legis_prhib / medical classifications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Excluir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Gobernanza/sensibilidad; no score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DOB/age/state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Auditoria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 incluir por defecto en primera version productiva</w:t>
            </w:r>
          </w:p>
        </w:tc>
      </w:tr>
    </w:tbl>
    <w:p>
      <w:pPr>
        <w:spacing w:after="40"/>
      </w:pPr>
    </w:p>
    <w:p>
      <w:pPr>
        <w:pStyle w:val="Heading2"/>
      </w:pPr>
      <w:r>
        <w:t>10. Proximo paso para construir el indice</w:t>
      </w:r>
    </w:p>
    <w:p>
      <w:pPr>
        <w:pStyle w:val="ListBullet"/>
        <w:spacing w:after="40"/>
      </w:pPr>
      <w:r>
        <w:t>1) Re-exportar y validar percentiles de past_due_change, balance_change, utilization_change y delinquency_share_change.</w:t>
      </w:r>
    </w:p>
    <w:p>
      <w:pPr>
        <w:pStyle w:val="ListBullet"/>
        <w:spacing w:after="40"/>
      </w:pPr>
      <w:r>
        <w:t>2) Crear la tabla point-in-time de observacion. Para cada alerta, usar el ultimo data_date estrictamente anterior a first_alert_date; nunca usar una carga posterior al evento.</w:t>
      </w:r>
    </w:p>
    <w:p>
      <w:pPr>
        <w:pStyle w:val="ListBullet"/>
        <w:spacing w:after="40"/>
      </w:pPr>
      <w:r>
        <w:t>3) Construir labels alert_next_1m, alert_next_3m, alert_next_6m y alert_next_12m. 1 = primera alerta dentro de la ventana; 0 = sin alerta con follow-up completo; NULL = censurado.</w:t>
      </w:r>
    </w:p>
    <w:p>
      <w:pPr>
        <w:pStyle w:val="ListBullet"/>
        <w:spacing w:after="40"/>
      </w:pPr>
      <w:r>
        <w:t>4) Construir el universo de controles/no-alerta y el denominador de elegibilidad. Esto permite pasar de concentracion descriptiva a riesgo/tasa real.</w:t>
      </w:r>
    </w:p>
    <w:p>
      <w:pPr>
        <w:pStyle w:val="ListBullet"/>
        <w:spacing w:after="40"/>
      </w:pPr>
      <w:r>
        <w:t>5) Llevar las features 3m/6m/12m y recent-3m-vs-prior-9m a la fecha de observacion, garantizando point-in-time y evitando leakage.</w:t>
      </w:r>
    </w:p>
    <w:p>
      <w:pPr>
        <w:pStyle w:val="ListBullet"/>
        <w:spacing w:after="40"/>
      </w:pPr>
      <w:r>
        <w:t>6) EDA por label: distribuciones, lift, event rate por bandas, missingness, monotonicidad, estabilidad por mes/ano y drift.</w:t>
      </w:r>
    </w:p>
    <w:p>
      <w:pPr>
        <w:pStyle w:val="ListBullet"/>
        <w:spacing w:after="40"/>
      </w:pPr>
      <w:r>
        <w:t>7) Modelo baseline interpretable: logistic regression calibrada; modelo challenger: gradient-boosted trees. Validar con split temporal out-of-time.</w:t>
      </w:r>
    </w:p>
    <w:p>
      <w:pPr>
        <w:pStyle w:val="ListBullet"/>
        <w:spacing w:after="40"/>
      </w:pPr>
      <w:r>
        <w:t>8) Metricas: PR-AUC, ROC-AUC, lift/top-decile, recall a capacidad operativa, precision, calibration/Brier y estabilidad temporal.</w:t>
      </w:r>
    </w:p>
    <w:p>
      <w:pPr>
        <w:pStyle w:val="ListBullet"/>
        <w:spacing w:after="40"/>
      </w:pPr>
      <w:r>
        <w:t>9) Solo despues de calibracion convertir probabilidad a un indice 0-100 con bandas operativas. El nombre recomendado por ahora es Alert Propensity / Vulnerability Index hasta validar la interpretacion de negocio.</w:t>
      </w:r>
    </w:p>
    <w:p>
      <w:pPr>
        <w:pStyle w:val="ListBullet"/>
        <w:spacing w:after="40"/>
      </w:pPr>
      <w:r>
        <w:t>10) Gobernanza: excluir features sensibles/proxies no aprobados, documentar razon de cada feature y evaluar disparidades del score.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</w:tcPr>
          <w:p>
            <w:r>
              <w:rPr>
                <w:b/>
                <w:color w:val="1F4E79"/>
                <w:sz w:val="20"/>
              </w:rPr>
              <w:t>Definicion de modelado recomendada</w:t>
              <w:br/>
            </w:r>
            <w:r>
              <w:rPr>
                <w:sz w:val="18"/>
              </w:rPr>
              <w:t>Unidad = party_id + observation_date. Lookback = 12 meses, con recent 3m y medium 6m. Label candidato inicial = primera alerta en proximos 3 meses, comparado contra horizontes 1m/6m/12m. El modelo debe aprender cambios respecto al baseline individual, no solo niveles absolutos.</w:t>
            </w:r>
          </w:p>
        </w:tc>
      </w:tr>
    </w:tbl>
    <w:p>
      <w:pPr>
        <w:spacing w:after="40"/>
      </w:pPr>
    </w:p>
    <w:p>
      <w:pPr>
        <w:pStyle w:val="Heading2"/>
      </w:pPr>
      <w:r>
        <w:t>11. Data products creados / utilizados</w:t>
      </w:r>
    </w:p>
    <w:p>
      <w:pPr>
        <w:pStyle w:val="ListBullet"/>
        <w:spacing w:after="40"/>
      </w:pPr>
      <w:r>
        <w:t>bu_frd.party_alert_tenure_sample_censored</w:t>
      </w:r>
    </w:p>
    <w:p>
      <w:pPr>
        <w:pStyle w:val="ListBullet"/>
        <w:spacing w:after="40"/>
      </w:pPr>
      <w:r>
        <w:t>bu_frd.trades_eda_2025_sample</w:t>
      </w:r>
    </w:p>
    <w:p>
      <w:pPr>
        <w:pStyle w:val="ListBullet"/>
        <w:spacing w:after="40"/>
      </w:pPr>
      <w:r>
        <w:t>bu_frd.trades_account_activity_2025</w:t>
      </w:r>
    </w:p>
    <w:p>
      <w:pPr>
        <w:pStyle w:val="ListBullet"/>
        <w:spacing w:after="40"/>
      </w:pPr>
      <w:r>
        <w:t>bu_frd.trades_account_profile_2025</w:t>
      </w:r>
    </w:p>
    <w:p>
      <w:pPr>
        <w:pStyle w:val="ListBullet"/>
        <w:spacing w:after="40"/>
      </w:pPr>
      <w:r>
        <w:t>bu_frd.trades_mop_transition_2025_v2</w:t>
      </w:r>
    </w:p>
    <w:p>
      <w:pPr>
        <w:pStyle w:val="ListBullet"/>
        <w:spacing w:after="40"/>
      </w:pPr>
      <w:r>
        <w:t>bu_frd.trades_behavior_sample_2024_2025</w:t>
      </w:r>
    </w:p>
    <w:p>
      <w:pPr>
        <w:pStyle w:val="ListBullet"/>
        <w:spacing w:after="40"/>
      </w:pPr>
      <w:r>
        <w:t>bu_frd.trades_mop_transition_2024_2025</w:t>
      </w:r>
    </w:p>
    <w:p>
      <w:pPr>
        <w:pStyle w:val="ListBullet"/>
        <w:spacing w:after="40"/>
      </w:pPr>
      <w:r>
        <w:t>bu_frd.party_trade_behavior_monthly_2024_2025_v2</w:t>
      </w:r>
    </w:p>
    <w:p>
      <w:pPr>
        <w:pStyle w:val="ListBullet"/>
        <w:spacing w:after="40"/>
      </w:pPr>
      <w:r>
        <w:t>bu_frd.party_trade_behavior_rolling_2025</w:t>
      </w:r>
    </w:p>
    <w:p>
      <w:pPr>
        <w:pStyle w:val="ListBullet"/>
        <w:spacing w:after="40"/>
      </w:pPr>
      <w:r>
        <w:t>bu_frd.party_trade_features_2025_stage1</w:t>
      </w:r>
    </w:p>
    <w:p>
      <w:pPr>
        <w:pStyle w:val="ListBullet"/>
        <w:spacing w:after="40"/>
      </w:pPr>
      <w:r>
        <w:t>bu_frd.party_trade_features_2025_stage2</w:t>
      </w:r>
    </w:p>
    <w:p>
      <w:r>
        <w:br w:type="page"/>
      </w:r>
    </w:p>
    <w:p>
      <w:pPr>
        <w:pStyle w:val="Heading1"/>
      </w:pPr>
      <w:r>
        <w:t>English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 progress - EDA and feature engineering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7"/>
              </w:rPr>
              <w:t>Objective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7"/>
              </w:rPr>
              <w:t>Build a point-in-time index/model for propensity to place a first fraud alert.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Primary sources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security_alert, person_restricted, trades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7"/>
              </w:rPr>
              <w:t>Analysis period</w:t>
            </w:r>
          </w:p>
        </w:tc>
        <w:tc>
          <w:tcPr>
            <w:tcW w:type="dxa" w:w="691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7"/>
              </w:rPr>
              <w:t>Source history 2000-2026; detailed behavioral EDA 2024-2025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Last updated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24-Aug-2026</w:t>
            </w:r>
          </w:p>
        </w:tc>
      </w:tr>
    </w:tbl>
    <w:p>
      <w:pPr>
        <w:spacing w:after="40"/>
      </w:pPr>
    </w:p>
    <w:p>
      <w:pPr>
        <w:pStyle w:val="Heading2"/>
      </w:pPr>
      <w:r>
        <w:t>1. Executive summary</w:t>
      </w:r>
    </w:p>
    <w:p>
      <w:pPr>
        <w:pStyle w:val="ListBullet"/>
        <w:spacing w:after="40"/>
      </w:pPr>
      <w:r>
        <w:t>The alert source is a historical snapshot table. Creation events were therefore deduplicated and the earliest observed alert per party_id is used as the initial outcome.</w:t>
      </w:r>
    </w:p>
    <w:p>
      <w:pPr>
        <w:pStyle w:val="ListBullet"/>
        <w:spacing w:after="40"/>
      </w:pPr>
      <w:r>
        <w:t>The tenure analysis found material left censoring in person_restricted: 29,086 of 66,643 sampled parties (43.64%) appear exactly on the first available historical date, 2000-09-30.</w:t>
      </w:r>
    </w:p>
    <w:p>
      <w:pPr>
        <w:pStyle w:val="ListBullet"/>
        <w:spacing w:after="40"/>
      </w:pPr>
      <w:r>
        <w:t>After excluding censored and inconsistent records, 37,492 parties had usable tenure. Median tenure at first alert was 195 months (~16.3 years), but the peak shifts by +12 months each calendar year, indicating a cohort effect rather than a causal tenure threshold.</w:t>
      </w:r>
    </w:p>
    <w:p>
      <w:pPr>
        <w:pStyle w:val="ListBullet"/>
        <w:spacing w:after="40"/>
      </w:pPr>
      <w:r>
        <w:t>trades is loaded monthly and supports 3m/6m/12m behavioral features. data_date is treated as information availability/load date and eff_dte as the account effective/last-verification date.</w:t>
      </w:r>
    </w:p>
    <w:p>
      <w:pPr>
        <w:pStyle w:val="ListBullet"/>
        <w:spacing w:after="40"/>
      </w:pPr>
      <w:r>
        <w:t>Effective-update frequency is strongly explained by account lifecycle: 96.61% of STATIC accounts are closed; among accounts with no closed date, 86.06% are MONTHLY.</w:t>
      </w:r>
    </w:p>
    <w:p>
      <w:pPr>
        <w:pStyle w:val="ListBullet"/>
        <w:spacing w:after="40"/>
      </w:pPr>
      <w:r>
        <w:t>MOP transitions provide a clean behavioral signal: 99.98% of deterioration transitions coincide with a new eff_dte. At the party level, 15.15% of the 2025 sample experienced at least one deterioration.</w:t>
      </w:r>
    </w:p>
    <w:p>
      <w:pPr>
        <w:pStyle w:val="ListBullet"/>
        <w:spacing w:after="40"/>
      </w:pPr>
      <w:r>
        <w:t>The 2024-2025 monthly layer contains 707,157 party-months, 31,189 parties, 24 months, and zero party_id + data_date duplicates. 96.58% of 2025 party-months have a complete 12-month baseline.</w:t>
      </w:r>
    </w:p>
    <w:p>
      <w:pPr>
        <w:pStyle w:val="ListBullet"/>
        <w:spacing w:after="40"/>
      </w:pPr>
      <w:r>
        <w:t>Among complete-baseline observations, 8.09% show recent deterioration, 6.12% show positive deterioration acceleration versus their own baseline, and 2.10% show a recent active-adverse event.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F4E79"/>
                <w:sz w:val="20"/>
              </w:rPr>
              <w:t>Primary methodological decision</w:t>
              <w:br/>
            </w:r>
            <w:r>
              <w:rPr>
                <w:sz w:val="18"/>
              </w:rPr>
              <w:t>Tenure should remain a contextual/segmentation feature. The primary index candidates are recent behavioral changes relative to each party's own baseline: MOP deterioration, past due, balance/utilization, adverse events, and portfolio changes.</w:t>
            </w:r>
          </w:p>
        </w:tc>
      </w:tr>
    </w:tbl>
    <w:p>
      <w:pPr>
        <w:spacing w:after="40"/>
      </w:pPr>
    </w:p>
    <w:p>
      <w:pPr>
        <w:pStyle w:val="Heading2"/>
      </w:pPr>
      <w:r>
        <w:t>2. Alert source and outcome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security_alert source rows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324,268,295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Unique creation events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42,318,245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Parties with alert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29,766,492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Min / max crat_dte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2007-01-13 / 2026-07-30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Min / max data_date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2009-03-31 / 2026-07-31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First-alert cohort 2022-2025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6,663,521 parties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Type 2 in cohort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6,538,126 (98.12%)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Type 3 in cohort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122,420 (1.84%)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Types 2 and 3 same date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2,975 (0.04%)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The business rule states that after placing an alert, a person cannot place another alert for approximately seven years.</w:t>
      </w:r>
    </w:p>
    <w:p>
      <w:pPr>
        <w:pStyle w:val="ListBullet"/>
        <w:spacing w:after="40"/>
      </w:pPr>
      <w:r>
        <w:t>Many creation dates occur within seven years, so a different crat_dte cannot automatically be interpreted as a new independent alert. For the current objective, the earliest observed date is used as the first alert.</w:t>
      </w:r>
    </w:p>
    <w:p>
      <w:pPr>
        <w:pStyle w:val="ListBullet"/>
        <w:spacing w:after="40"/>
      </w:pPr>
      <w:r>
        <w:t>The current outcome is propensity to place a first observed alert; it is not equivalent to confirmed fraud or confirmed victimization.</w:t>
      </w:r>
    </w:p>
    <w:p>
      <w:pPr>
        <w:pStyle w:val="Heading2"/>
      </w:pPr>
      <w:r>
        <w:t>3. Tenure findings and revised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Indicator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Deterministic alert sample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66,643 parties</w:t>
            </w:r>
          </w:p>
        </w:tc>
      </w:tr>
      <w:t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Left-censored at 2000-09-30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29,086 (43.64%)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Uncensored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37,557</w:t>
            </w:r>
          </w:p>
        </w:tc>
      </w:tr>
      <w:t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Valid after quality filters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37,492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Average tenure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175.23 months (~14.6 years)</w:t>
            </w:r>
          </w:p>
        </w:tc>
      </w:tr>
      <w:t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P10 / P25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61 / 121 months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P50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195 months (~16.3 years)</w:t>
            </w:r>
          </w:p>
        </w:tc>
      </w:tr>
      <w:tr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P75 / P90 / P95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230 / 257 / 270 months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Alert year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Peak tenure band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 within year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180-191 months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12.39%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2023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192-203 months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11.93%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204-215 months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11.74%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2025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216-227 months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10.20%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74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ure_peak_shi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7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The peak tenure band shifts by exactly 12 months per year, consistent with a cohort effect.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color w:val="1F4E79"/>
                <w:sz w:val="20"/>
              </w:rPr>
              <w:t>Interpretation</w:t>
              <w:br/>
            </w:r>
            <w:r>
              <w:rPr>
                <w:sz w:val="18"/>
              </w:rPr>
              <w:t>The data do not support concluding that 17-19 years is the highest-risk tenure. The annual shift indicates that a large cohort (approximately originating in 2006-2007) is aging with the calendar. Estimating actual tenure risk requires the exposed-person denominator, including parties that do not place alerts.</w:t>
            </w:r>
          </w:p>
        </w:tc>
      </w:tr>
    </w:tbl>
    <w:p>
      <w:pPr>
        <w:spacing w:after="40"/>
      </w:pPr>
    </w:p>
    <w:p>
      <w:pPr>
        <w:pStyle w:val="Heading2"/>
      </w:pPr>
      <w:r>
        <w:t>4. trades structural and temporal EDA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trades rows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504,842,538,762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Load frequency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Monthly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Observed history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From 2000-09 through 2026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Missing eff_dte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eff_dte &gt; data_date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 rows; effectively 0%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Key validated in sample</w:t>
            </w:r>
          </w:p>
        </w:tc>
        <w:tc>
          <w:tcPr>
            <w:tcW w:type="dxa" w:w="460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party_id + acct_id + data_date; 0 duplicates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Percentile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DATEDIFF(data_date, eff_dte)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P10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 days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P25</w:t>
            </w:r>
          </w:p>
        </w:tc>
        <w:tc>
          <w:tcPr>
            <w:tcW w:type="dxa" w:w="60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25 days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P50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275 days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P75</w:t>
            </w:r>
          </w:p>
        </w:tc>
        <w:tc>
          <w:tcPr>
            <w:tcW w:type="dxa" w:w="60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1,671 days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P90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2,615 days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P95</w:t>
            </w:r>
          </w:p>
        </w:tc>
        <w:tc>
          <w:tcPr>
            <w:tcW w:type="dxa" w:w="60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3,073 days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P99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3,501 days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  <w:sz w:val="20"/>
              </w:rPr>
              <w:t>Correct interpretation of eff_dte</w:t>
              <w:br/>
            </w:r>
            <w:r>
              <w:rPr>
                <w:sz w:val="18"/>
              </w:rPr>
              <w:t>data_date - eff_dte measures information staleness/freshness, not simply load lag. A monthly load can carry forward the same effective account state for months or years.</w:t>
            </w:r>
          </w:p>
        </w:tc>
      </w:tr>
    </w:tbl>
    <w:p>
      <w:pPr>
        <w:spacing w:after="40"/>
      </w:pPr>
    </w:p>
    <w:p>
      <w:pPr>
        <w:pStyle w:val="Heading2"/>
      </w:pPr>
      <w:r>
        <w:t>5. Account lifecycle and update frequency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Update behavior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Accounts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STATIC (1 eff_dte)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167,962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51.50%</w:t>
            </w:r>
          </w:p>
        </w:tc>
      </w:tr>
      <w:tr>
        <w:tc>
          <w:tcPr>
            <w:tcW w:type="dxa" w:w="388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INTERMEDIATE (2-9)</w:t>
            </w:r>
          </w:p>
        </w:tc>
        <w:tc>
          <w:tcPr>
            <w:tcW w:type="dxa" w:w="259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29,323</w:t>
            </w:r>
          </w:p>
        </w:tc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8.99%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MONTHLY (10-12)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128,834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39.51%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33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_behavi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Effective-update frequency distribution in the 2025 sample.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Closed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Zero balance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Past due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STATIC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96.61%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99.06%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0.69%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INTERMEDIATE</w:t>
            </w:r>
          </w:p>
        </w:tc>
        <w:tc>
          <w:tcPr>
            <w:tcW w:type="dxa" w:w="187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55.87%</w:t>
            </w:r>
          </w:p>
        </w:tc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61.38%</w:t>
            </w:r>
          </w:p>
        </w:tc>
        <w:tc>
          <w:tcPr>
            <w:tcW w:type="dxa" w:w="201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7.79%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MONTHLY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10.76%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26.31%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8.63%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Group (no clsd_dte only)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Accounts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STATIC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5,689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4.26%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INTERMEDIATE</w:t>
            </w:r>
          </w:p>
        </w:tc>
        <w:tc>
          <w:tcPr>
            <w:tcW w:type="dxa" w:w="24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12,940</w:t>
            </w:r>
          </w:p>
        </w:tc>
        <w:tc>
          <w:tcPr>
            <w:tcW w:type="dxa" w:w="216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9.69%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MONTHLY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114,968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86.06%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33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update_behavi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After controlling for accounts with no closed date, monthly updating is the dominant pattern.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F4E79"/>
                <w:sz w:val="20"/>
              </w:rPr>
              <w:t>Conclusion</w:t>
              <w:br/>
            </w:r>
            <w:r>
              <w:rPr>
                <w:sz w:val="18"/>
              </w:rPr>
              <w:t>Raw update_behavior mainly reflects lifecycle/reporting rather than direct vulnerability. It is retained as context; the higher-value signal is change relative to the account/party historical pattern.</w:t>
            </w:r>
          </w:p>
        </w:tc>
      </w:tr>
    </w:tbl>
    <w:p>
      <w:pPr>
        <w:spacing w:after="40"/>
      </w:pPr>
    </w:p>
    <w:p>
      <w:pPr>
        <w:pStyle w:val="Heading2"/>
      </w:pPr>
      <w:r>
        <w:t>6. First behavioral EDA: MOP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Transition type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Transition count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NO_CHANGE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3,501,681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98.79%</w:t>
            </w:r>
          </w:p>
        </w:tc>
      </w:tr>
      <w:tr>
        <w:tc>
          <w:tcPr>
            <w:tcW w:type="dxa" w:w="446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DETERIORATION</w:t>
            </w:r>
          </w:p>
        </w:tc>
        <w:tc>
          <w:tcPr>
            <w:tcW w:type="dxa" w:w="24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29,310</w:t>
            </w:r>
          </w:p>
        </w:tc>
        <w:tc>
          <w:tcPr>
            <w:tcW w:type="dxa" w:w="187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0.83%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IMPROVEMENT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7,843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0.22%</w:t>
            </w:r>
          </w:p>
        </w:tc>
      </w:tr>
      <w:tr>
        <w:tc>
          <w:tcPr>
            <w:tcW w:type="dxa" w:w="446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NEW_ADVERSE_STATUS (v1)</w:t>
            </w:r>
          </w:p>
        </w:tc>
        <w:tc>
          <w:tcPr>
            <w:tcW w:type="dxa" w:w="244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4,042</w:t>
            </w:r>
          </w:p>
        </w:tc>
        <w:tc>
          <w:tcPr>
            <w:tcW w:type="dxa" w:w="187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0.11%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OTHER_TRANSITION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1,582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0.04%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11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_trans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1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Non-stable transitions are rare at account-month level but behaviorally informative.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75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Temporal validation</w:t>
            </w:r>
          </w:p>
        </w:tc>
        <w:tc>
          <w:tcPr>
            <w:tcW w:type="dxa" w:w="403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 with effective_update_flag=1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Deterioration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99.98%</w:t>
            </w:r>
          </w:p>
        </w:tc>
      </w:tr>
      <w:tr>
        <w:tc>
          <w:tcPr>
            <w:tcW w:type="dxa" w:w="475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Improvement</w:t>
            </w:r>
          </w:p>
        </w:tc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99.78%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New adverse status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99.01%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The ordinal 01-06 logic was validated for deterioration/improvement. Common observed changes include 01-&gt;02, 04-&gt;05, 02-&gt;03, 01-&gt;04, and 03-&gt;04.</w:t>
      </w:r>
    </w:p>
    <w:p>
      <w:pPr>
        <w:pStyle w:val="ListBullet"/>
        <w:spacing w:after="40"/>
      </w:pPr>
      <w:r>
        <w:t>Adverse logic was corrected: 09, 9B, 8A, and 8B are active-adverse states; 9P and 8P are separated as historical/resolved states.</w:t>
      </w:r>
    </w:p>
    <w:p>
      <w:pPr>
        <w:pStyle w:val="ListBullet"/>
        <w:spacing w:after="40"/>
      </w:pPr>
      <w:r>
        <w:t>Codes 07 and 08 remain uninterpreted pending an official definition.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Corrected MOP event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DPD deterioration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29,310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DPD improvement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7,843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Entered active adverse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3,394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Adverse resolved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477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Became unrated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1,136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Left unrated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</w:tr>
    </w:tbl>
    <w:p>
      <w:pPr>
        <w:spacing w:after="40"/>
      </w:pPr>
    </w:p>
    <w:p>
      <w:pPr>
        <w:pStyle w:val="Heading2"/>
      </w:pPr>
      <w:r>
        <w:t>7. Party-month aggregation and 2024-2025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2025 parties in MOP EDA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30,496</w:t>
            </w:r>
          </w:p>
        </w:tc>
      </w:tr>
      <w:tr>
        <w:tc>
          <w:tcPr>
            <w:tcW w:type="dxa" w:w="518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Parties with at least one deterioration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4,624 (15.15%)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Parties with active adverse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1,697 (~5.6%)</w:t>
            </w:r>
          </w:p>
        </w:tc>
      </w:tr>
      <w:tr>
        <w:tc>
          <w:tcPr>
            <w:tcW w:type="dxa" w:w="518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P90 / P95 / P99 deteriorated accounts per party</w:t>
            </w:r>
          </w:p>
        </w:tc>
        <w:tc>
          <w:tcPr>
            <w:tcW w:type="dxa" w:w="345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 / 6 / 19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2024-2025 monthly layer</w:t>
            </w:r>
          </w:p>
        </w:tc>
        <w:tc>
          <w:tcPr>
            <w:tcW w:type="dxa" w:w="374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party-month rows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707,157</w:t>
            </w:r>
          </w:p>
        </w:tc>
      </w:tr>
      <w:tr>
        <w:tc>
          <w:tcPr>
            <w:tcW w:type="dxa" w:w="489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parties</w:t>
            </w:r>
          </w:p>
        </w:tc>
        <w:tc>
          <w:tcPr>
            <w:tcW w:type="dxa" w:w="374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31,189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months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</w:tr>
      <w:tr>
        <w:tc>
          <w:tcPr>
            <w:tcW w:type="dxa" w:w="4896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range</w:t>
            </w:r>
          </w:p>
        </w:tc>
        <w:tc>
          <w:tcPr>
            <w:tcW w:type="dxa" w:w="374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2024-01-31 to 2025-12-31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party_id + data_date duplicates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76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2025 events with 2024 history available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Deteriorations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31,437</w:t>
            </w:r>
          </w:p>
        </w:tc>
      </w:tr>
      <w:tr>
        <w:tc>
          <w:tcPr>
            <w:tcW w:type="dxa" w:w="576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Improvements</w:t>
            </w:r>
          </w:p>
        </w:tc>
        <w:tc>
          <w:tcPr>
            <w:tcW w:type="dxa" w:w="288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8,331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Active adverse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3,893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  <w:sz w:val="20"/>
              </w:rPr>
              <w:t>Boundary effect corrected</w:t>
              <w:br/>
            </w:r>
            <w:r>
              <w:rPr>
                <w:sz w:val="18"/>
              </w:rPr>
              <w:t>With 2024 history available, January 2025 can be compared with December 2024. The increase in 2025 detected events is expected and reflects improved longitudinal coverage rather than an inconsistency.</w:t>
            </w:r>
          </w:p>
        </w:tc>
      </w:tr>
    </w:tbl>
    <w:p>
      <w:pPr>
        <w:spacing w:after="40"/>
      </w:pPr>
    </w:p>
    <w:p>
      <w:pPr>
        <w:pStyle w:val="Heading2"/>
      </w:pPr>
      <w:r>
        <w:t>8. Rolling windows and behavioral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75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2025 coverage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Party-months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Complete 12m baseline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343,948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96.58%</w:t>
            </w:r>
          </w:p>
        </w:tc>
      </w:tr>
      <w:tr>
        <w:tc>
          <w:tcPr>
            <w:tcW w:type="dxa" w:w="475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Incomplete</w:t>
            </w:r>
          </w:p>
        </w:tc>
        <w:tc>
          <w:tcPr>
            <w:tcW w:type="dxa" w:w="230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12,173</w:t>
            </w:r>
          </w:p>
        </w:tc>
        <w:tc>
          <w:tcPr>
            <w:tcW w:type="dxa" w:w="187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3.42%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33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ve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Complete-history coverage is sufficient for recent-versus-baseline comparisons.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Behavioral signal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Party-months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Deterioration in recent 3m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27,838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8.09%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Deterioration acceleration &gt; 0</w:t>
            </w:r>
          </w:p>
        </w:tc>
        <w:tc>
          <w:tcPr>
            <w:tcW w:type="dxa" w:w="2304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21,053</w:t>
            </w:r>
          </w:p>
        </w:tc>
        <w:tc>
          <w:tcPr>
            <w:tcW w:type="dxa" w:w="187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6"/>
              </w:rPr>
              <w:t>6.12%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Active adverse in recent 3m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7,216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2.10%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33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_behavior_sign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 Frequency of the first behavioral features among complete-baseline observations.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733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behavior_stab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7. Deterioration acceleration and recent-adverse rates show reasonable monthly stability during 2025.</w:t>
      </w:r>
    </w:p>
    <w:p>
      <w:pPr>
        <w:pStyle w:val="ListBullet"/>
        <w:spacing w:after="40"/>
      </w:pPr>
      <w:r>
        <w:t>pct_deterioration_acceleration ranges approximately from 5.73% to 6.85% by month in 2025.</w:t>
      </w:r>
    </w:p>
    <w:p>
      <w:pPr>
        <w:pStyle w:val="ListBullet"/>
        <w:spacing w:after="40"/>
      </w:pPr>
      <w:r>
        <w:t>pct_recent_adverse ranges approximately from 1.87% to 2.42%.</w:t>
      </w:r>
    </w:p>
    <w:p>
      <w:pPr>
        <w:pStyle w:val="ListBullet"/>
        <w:spacing w:after="40"/>
      </w:pPr>
      <w:r>
        <w:t>The P95 of deterioration_acceleration remains around 0.2-0.3 over the year, suggesting reasonable calendar stability for this feature.</w:t>
      </w:r>
    </w:p>
    <w:p>
      <w:pPr>
        <w:pStyle w:val="ListBullet"/>
        <w:spacing w:after="40"/>
      </w:pPr>
      <w:r>
        <w:t>The pasted percentile output for past_due/balance/utilization change magnitudes was malformed; it is intentionally excluded pending a clean re-export.</w:t>
      </w:r>
    </w:p>
    <w:p>
      <w:pPr>
        <w:pStyle w:val="Heading2"/>
      </w:pPr>
      <w:r>
        <w:t>9. Feature Catalog - current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03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Feature family / feature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Current decision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tenure_months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Context/segmentation; not isolated risk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active_accounts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Exposure control / denominator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deteriorations_3m/6m/12m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Very high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Primary candidate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deterioration_acceleration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Very high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Recent 3m vs prior 9m change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max_dpd_jump_3m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Observed deterioration severity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entered_active_adverse_3m/6m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Very high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Recent severe event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past_due level/change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Very high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Level and change vs baseline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revolving utilization/change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Very high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R/C portfolios only; validate outliers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new / recently closed accounts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Feature engineering pending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raw update_behavior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Low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Lifecycle/reporting, not direct risk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staleness / update-frequency change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Experimental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Use only relative to baseline</w:t>
            </w:r>
          </w:p>
        </w:tc>
      </w:tr>
      <w:tr>
        <w:tc>
          <w:tcPr>
            <w:tcW w:type="dxa" w:w="4032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legis_prhib / medical classifications</w:t>
            </w:r>
          </w:p>
        </w:tc>
        <w:tc>
          <w:tcPr>
            <w:tcW w:type="dxa" w:w="1728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Exclude</w:t>
            </w:r>
          </w:p>
        </w:tc>
        <w:tc>
          <w:tcPr>
            <w:tcW w:type="dxa" w:w="4320"/>
            <w:vAlign w:val="center"/>
            <w:shd w:fill="F3F6F9"/>
          </w:tcPr>
          <w:p>
            <w:r/>
            <w:r>
              <w:rPr>
                <w:rFonts w:ascii="Arial" w:hAnsi="Arial"/>
                <w:b w:val="0"/>
                <w:sz w:val="15"/>
              </w:rPr>
              <w:t>Governance/sensitivity; not score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DOB/age/state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Not default first-version production features</w:t>
            </w:r>
          </w:p>
        </w:tc>
      </w:tr>
    </w:tbl>
    <w:p>
      <w:pPr>
        <w:spacing w:after="40"/>
      </w:pPr>
    </w:p>
    <w:p>
      <w:pPr>
        <w:pStyle w:val="Heading2"/>
      </w:pPr>
      <w:r>
        <w:t>10. Next steps to build the index</w:t>
      </w:r>
    </w:p>
    <w:p>
      <w:pPr>
        <w:pStyle w:val="ListBullet"/>
        <w:spacing w:after="40"/>
      </w:pPr>
      <w:r>
        <w:t>1) Cleanly re-export and validate percentiles for past_due_change, balance_change, utilization_change, and delinquency_share_change.</w:t>
      </w:r>
    </w:p>
    <w:p>
      <w:pPr>
        <w:pStyle w:val="ListBullet"/>
        <w:spacing w:after="40"/>
      </w:pPr>
      <w:r>
        <w:t>2) Build the point-in-time observation table. For each alert, use the latest data_date strictly before first_alert_date; never use a load after the event.</w:t>
      </w:r>
    </w:p>
    <w:p>
      <w:pPr>
        <w:pStyle w:val="ListBullet"/>
        <w:spacing w:after="40"/>
      </w:pPr>
      <w:r>
        <w:t>3) Build alert_next_1m, alert_next_3m, alert_next_6m, and alert_next_12m labels. 1 = first alert inside the future window; 0 = no alert with complete follow-up; NULL = censored.</w:t>
      </w:r>
    </w:p>
    <w:p>
      <w:pPr>
        <w:pStyle w:val="ListBullet"/>
        <w:spacing w:after="40"/>
      </w:pPr>
      <w:r>
        <w:t>4) Build the eligible no-alert/control universe and denominator. This is required to move from descriptive concentration to actual alert risk/rate.</w:t>
      </w:r>
    </w:p>
    <w:p>
      <w:pPr>
        <w:pStyle w:val="ListBullet"/>
        <w:spacing w:after="40"/>
      </w:pPr>
      <w:r>
        <w:t>5) Align 3m/6m/12m and recent-3m-vs-prior-9m features to the observation date with strict point-in-time controls and no leakage.</w:t>
      </w:r>
    </w:p>
    <w:p>
      <w:pPr>
        <w:pStyle w:val="ListBullet"/>
        <w:spacing w:after="40"/>
      </w:pPr>
      <w:r>
        <w:t>6) Run label-based EDA: distributions, lift, event rates by bands, missingness, monotonicity, month/year stability, and drift.</w:t>
      </w:r>
    </w:p>
    <w:p>
      <w:pPr>
        <w:pStyle w:val="ListBullet"/>
        <w:spacing w:after="40"/>
      </w:pPr>
      <w:r>
        <w:t>7) Interpretable baseline model: calibrated logistic regression; challenger model: gradient-boosted trees. Validate with an out-of-time split.</w:t>
      </w:r>
    </w:p>
    <w:p>
      <w:pPr>
        <w:pStyle w:val="ListBullet"/>
        <w:spacing w:after="40"/>
      </w:pPr>
      <w:r>
        <w:t>8) Metrics: PR-AUC, ROC-AUC, lift/top-decile, recall at operational capacity, precision, calibration/Brier, and temporal stability.</w:t>
      </w:r>
    </w:p>
    <w:p>
      <w:pPr>
        <w:pStyle w:val="ListBullet"/>
        <w:spacing w:after="40"/>
      </w:pPr>
      <w:r>
        <w:t>9) Only after calibration, convert probability into a 0-100 operational index with risk bands. Recommended working name: Alert Propensity / Vulnerability Index until business interpretation is validated.</w:t>
      </w:r>
    </w:p>
    <w:p>
      <w:pPr>
        <w:pStyle w:val="ListBullet"/>
        <w:spacing w:after="40"/>
      </w:pPr>
      <w:r>
        <w:t>10) Governance: exclude unapproved sensitive/proxy features, document the rationale for each feature, and test score disparities.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</w:tcPr>
          <w:p>
            <w:r>
              <w:rPr>
                <w:b/>
                <w:color w:val="1F4E79"/>
                <w:sz w:val="20"/>
              </w:rPr>
              <w:t>Recommended modeling definition</w:t>
              <w:br/>
            </w:r>
            <w:r>
              <w:rPr>
                <w:sz w:val="18"/>
              </w:rPr>
              <w:t>Unit = party_id + observation_date. Lookback = 12 months, with a recent 3-month window and a medium 6-month window. Initial candidate label = first alert in the next 3 months, benchmarked against 1m/6m/12m horizons. The model should learn changes relative to the individual baseline rather than only absolute levels.</w:t>
            </w:r>
          </w:p>
        </w:tc>
      </w:tr>
    </w:tbl>
    <w:p>
      <w:pPr>
        <w:spacing w:after="40"/>
      </w:pPr>
    </w:p>
    <w:p>
      <w:pPr>
        <w:pStyle w:val="Heading2"/>
      </w:pPr>
      <w:r>
        <w:t>11. Data products created / used</w:t>
      </w:r>
    </w:p>
    <w:p>
      <w:pPr>
        <w:pStyle w:val="ListBullet"/>
        <w:spacing w:after="40"/>
      </w:pPr>
      <w:r>
        <w:t>bu_frd.party_alert_tenure_sample_censored</w:t>
      </w:r>
    </w:p>
    <w:p>
      <w:pPr>
        <w:pStyle w:val="ListBullet"/>
        <w:spacing w:after="40"/>
      </w:pPr>
      <w:r>
        <w:t>bu_frd.trades_eda_2025_sample</w:t>
      </w:r>
    </w:p>
    <w:p>
      <w:pPr>
        <w:pStyle w:val="ListBullet"/>
        <w:spacing w:after="40"/>
      </w:pPr>
      <w:r>
        <w:t>bu_frd.trades_account_activity_2025</w:t>
      </w:r>
    </w:p>
    <w:p>
      <w:pPr>
        <w:pStyle w:val="ListBullet"/>
        <w:spacing w:after="40"/>
      </w:pPr>
      <w:r>
        <w:t>bu_frd.trades_account_profile_2025</w:t>
      </w:r>
    </w:p>
    <w:p>
      <w:pPr>
        <w:pStyle w:val="ListBullet"/>
        <w:spacing w:after="40"/>
      </w:pPr>
      <w:r>
        <w:t>bu_frd.trades_mop_transition_2025_v2</w:t>
      </w:r>
    </w:p>
    <w:p>
      <w:pPr>
        <w:pStyle w:val="ListBullet"/>
        <w:spacing w:after="40"/>
      </w:pPr>
      <w:r>
        <w:t>bu_frd.trades_behavior_sample_2024_2025</w:t>
      </w:r>
    </w:p>
    <w:p>
      <w:pPr>
        <w:pStyle w:val="ListBullet"/>
        <w:spacing w:after="40"/>
      </w:pPr>
      <w:r>
        <w:t>bu_frd.trades_mop_transition_2024_2025</w:t>
      </w:r>
    </w:p>
    <w:p>
      <w:pPr>
        <w:pStyle w:val="ListBullet"/>
        <w:spacing w:after="40"/>
      </w:pPr>
      <w:r>
        <w:t>bu_frd.party_trade_behavior_monthly_2024_2025_v2</w:t>
      </w:r>
    </w:p>
    <w:p>
      <w:pPr>
        <w:pStyle w:val="ListBullet"/>
        <w:spacing w:after="40"/>
      </w:pPr>
      <w:r>
        <w:t>bu_frd.party_trade_behavior_rolling_2025</w:t>
      </w:r>
    </w:p>
    <w:p>
      <w:pPr>
        <w:pStyle w:val="ListBullet"/>
        <w:spacing w:after="40"/>
      </w:pPr>
      <w:r>
        <w:t>bu_frd.party_trade_features_2025_stage1</w:t>
      </w:r>
    </w:p>
    <w:p>
      <w:pPr>
        <w:pStyle w:val="ListBullet"/>
        <w:spacing w:after="40"/>
      </w:pPr>
      <w:r>
        <w:t>bu_frd.party_trade_features_2025_stage2</w:t>
      </w:r>
    </w:p>
    <w:p>
      <w:pPr>
        <w:spacing w:before="240"/>
        <w:jc w:val="center"/>
      </w:pPr>
      <w:r>
        <w:rPr>
          <w:i/>
          <w:color w:val="5A5A5A"/>
          <w:sz w:val="18"/>
        </w:rPr>
        <w:t>End of bilingual Confluence-ready analytical progress report</w:t>
      </w:r>
    </w:p>
    <w:p>
      <w:r>
        <w:br/>
      </w:r>
    </w:p>
    <w:p>
      <w:pPr>
        <w:pStyle w:val="Heading1"/>
      </w:pPr>
      <w:r>
        <w:t>Actualizacion analitica: labels point-in-time y primer test case-control</w:t>
      </w:r>
    </w:p>
    <w:p>
      <w:pPr>
        <w:pStyle w:val="ListBullet"/>
      </w:pPr>
      <w:r>
        <w:t>Se construyeron labels point-in-time para la primera alerta a 1, 3, 6 y 12 meses. La fecha maxima observable de creacion de alerta es 2026-07-30 y la fecha maxima de snapshot es 2026-07-31.</w:t>
      </w:r>
    </w:p>
    <w:p>
      <w:pPr>
        <w:pStyle w:val="ListBullet"/>
      </w:pPr>
      <w:r>
        <w:t>El dataset elegible para labels contiene 312,754 party-months. Los horizontes 1m, 3m y 6m tienen follow-up completo en 2025; el horizonte 12m presenta 156,417 observaciones censuradas, aproximadamente la mitad del universo disponible.</w:t>
      </w:r>
    </w:p>
    <w:p>
      <w:pPr>
        <w:pStyle w:val="ListBullet"/>
      </w:pPr>
      <w:r>
        <w:t>El horizonte de 3 meses se mantiene como candidato principal por accionabilidad y cobertura; 6 meses se conserva como candidato secundario. La muestra general contiene 149 parties positivos unicos a 3 meses y 176 a 6 meses.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Horizonte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Party-months positivos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Negativos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Censurados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Parties positivos unicos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 mes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312,638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116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 meses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312,385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149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 meses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741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312,013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176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12 meses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1,294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155,043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156,417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184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373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horizons_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7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8. Perfil de labels por horizonte. El horizonte de 12 meses pierde aproximadamente 50% de las observaciones por censura derecha.</w:t>
      </w:r>
    </w:p>
    <w:p>
      <w:pPr>
        <w:pStyle w:val="Heading2"/>
      </w:pPr>
      <w:r>
        <w:t>Diseno del primer EDA case-control</w:t>
      </w:r>
    </w:p>
    <w:p>
      <w:pPr>
        <w:pStyle w:val="ListBullet"/>
      </w:pPr>
      <w:r>
        <w:t>Para evitar contar varias veces el mismo evento, se creo una cohorte positiva con una sola observacion por party_id: la primera observacion mensual que entra en la ventana positiva de 3 meses antes de la primera alerta. El resultado fue 149 casos unicos distribuidos de enero a diciembre de 2025.</w:t>
      </w:r>
    </w:p>
    <w:p>
      <w:pPr>
        <w:pStyle w:val="ListBullet"/>
      </w:pPr>
      <w:r>
        <w:t>Los controles se seleccionaron 20:1 dentro del mismo data_date y active_accounts_band. El estrato con menor disponibilidad tenia aproximadamente 398 controles disponibles por caso, por lo que no hubo restriccion material de matching.</w:t>
      </w:r>
    </w:p>
    <w:p>
      <w:pPr>
        <w:pStyle w:val="ListBullet"/>
      </w:pPr>
      <w:r>
        <w:t>El dataset final contiene 149 casos y 2,980 observaciones control, correspondientes a 2,784 parties control unicos. Algunas personas control aparecen en mas de un mes; esto es aceptable para EDA, pero el modelado debera agrupar por party_id y respetar el tiempo.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Casos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Controles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Observaciones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2,980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Parties unicos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2,784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Promedio active_accounts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7.22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7.21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Mediana active_accounts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P90 active_accounts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15</w:t>
            </w:r>
          </w:p>
        </w:tc>
      </w:tr>
    </w:tbl>
    <w:p>
      <w:pPr>
        <w:pStyle w:val="ListBullet"/>
      </w:pPr>
      <w:r>
        <w:t>Las bandas de cuentas activas quedaron balanceadas por construccion: 1.34% con cero cuentas activas, 6.71% con una, 17.45% con 2-3, 23.49% con 4-5, 28.19% con 6-10 y 22.82% con 11 o mas.</w:t>
      </w:r>
    </w:p>
    <w:p>
      <w:pPr>
        <w:pStyle w:val="Heading2"/>
      </w:pPr>
      <w:r>
        <w:t>Primera evidencia de senal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Casos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Controles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Prevalencia relativa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Lectura preliminar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Deterioro reciente 3m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10.07%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9.66%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1.04x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Separacion minima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Aceleracion del deterioro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10.07%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7.25%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1.39x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Senal direccional prometedora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Adverse reciente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2.68%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1.78%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1.51x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Prometedor, pero solo 4 casos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355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control_signal_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9. Primera comparacion case-control. La aceleracion del deterioro respecto al baseline individual muestra una separacion mayor que el deterioro reciente aislado.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/>
            <w:r>
              <w:rPr>
                <w:b/>
                <w:sz w:val="20"/>
              </w:rPr>
              <w:t>Interpretacion actual</w:t>
            </w:r>
          </w:p>
          <w:p>
            <w:r>
              <w:rPr>
                <w:sz w:val="18"/>
              </w:rPr>
              <w:t>El resultado mas relevante es que el deterioro reciente aislado casi no separa casos de controles (10.07% vs 9.66%), mientras que la aceleracion del deterioro frente al baseline personal aparece con mayor frecuencia en casos (10.07% vs 7.25%; 1.39x). Esto respalda la estrategia de modelar cambios relativos al comportamiento historico individual. Recent adverse tambien muestra una diferencia direccional (1.51x), pero solo 4 de 149 casos presentan el evento, por lo que la evidencia aun es escasa.</w:t>
            </w:r>
          </w:p>
        </w:tc>
      </w:tr>
    </w:tbl>
    <w:p>
      <w:pPr>
        <w:pStyle w:val="ListBullet"/>
      </w:pPr>
      <w:r>
        <w:t>Estos resultados son exploratorios, no concluyentes: 149 casos es una muestra pequena para definir pesos de un score o afirmar significancia estadistica robusta.</w:t>
      </w:r>
    </w:p>
    <w:p>
      <w:pPr>
        <w:pStyle w:val="ListBullet"/>
      </w:pPr>
      <w:r>
        <w:t>Recent deterioration pasa a prioridad media-baja como feature aislada. Deterioration acceleration pasa a prioridad alta experimental. Recent adverse permanece como feature experimental de alta prioridad, condicionada a ampliar la muestra positiva.</w:t>
      </w:r>
    </w:p>
    <w:p>
      <w:pPr>
        <w:pStyle w:val="Heading2"/>
      </w:pPr>
      <w:r>
        <w:t>Siguientes pasos acordados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Accion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Comparar magnitud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Comparar percentiles de deterioration acceleration, recent deterioration count, max DPD jump, past due, delinquency share, utilization y balance entre casos y controles.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Evaluar convergencia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Medir si varias senales cambian simultaneamente antes de la alerta, no solo de forma aislada.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Repetir a 6 meses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Usar 6m como horizonte secundario y comparar direccion/estabilidad de la senal.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Enriquecer positivos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Incluir todos los casos elegibles de alerta y una muestra representativa de controles para desarrollo de modelo.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Validacion out-of-time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Separar train/validation/test por tiempo y mantener todas las observaciones de cada party_id en un solo split.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Indice/modelo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Entrenar y calibrar modelos, evaluar PR-AUC, lift, recall a capacidad, calibracion, estabilidad temporal y fairness antes de definir el score productivo.</w:t>
            </w:r>
          </w:p>
        </w:tc>
      </w:tr>
    </w:tbl>
    <w:p>
      <w:pPr>
        <w:pStyle w:val="Heading1"/>
      </w:pPr>
      <w:r>
        <w:t>Analytical update: point-in-time labels and first matched case-control signal test</w:t>
      </w:r>
    </w:p>
    <w:p>
      <w:pPr>
        <w:pStyle w:val="ListBullet"/>
      </w:pPr>
      <w:r>
        <w:t>Point-in-time labels were created for the first observed alert at 1, 3, 6 and 12 months. The maximum observable alert creation date is 2026-07-30 and the maximum snapshot date is 2026-07-31.</w:t>
      </w:r>
    </w:p>
    <w:p>
      <w:pPr>
        <w:pStyle w:val="ListBullet"/>
      </w:pPr>
      <w:r>
        <w:t>The label-eligible dataset contains 312,754 party-months. The 1m, 3m and 6m horizons have complete follow-up for the 2025 observations; the 12m horizon has 156,417 censored observations, roughly half of the available universe.</w:t>
      </w:r>
    </w:p>
    <w:p>
      <w:pPr>
        <w:pStyle w:val="ListBullet"/>
      </w:pPr>
      <w:r>
        <w:t>The 3-month horizon remains the primary candidate because it balances actionability and coverage; 6 months remains the secondary candidate. The general sample contains 149 unique positive parties at 3 months and 176 at 6 months.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Horizon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Positive party-months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Negatives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Censored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Unique positive parties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 month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312,638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116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 months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312,385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149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6 months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741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312,013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176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12 months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1,294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155,043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156,417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184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3736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horizons_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7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8. Label profile by prediction horizon. The 12-month horizon loses approximately 50% of observations to right censoring.</w:t>
      </w:r>
    </w:p>
    <w:p>
      <w:pPr>
        <w:pStyle w:val="Heading2"/>
      </w:pPr>
      <w:r>
        <w:t>First matched case-control EDA design</w:t>
      </w:r>
    </w:p>
    <w:p>
      <w:pPr>
        <w:pStyle w:val="ListBullet"/>
      </w:pPr>
      <w:r>
        <w:t>To avoid counting the same event multiple times, the positive cohort uses one observation per party_id: the earliest monthly observation entering the positive 3-month window before the first alert. This produced 149 unique cases distributed from January through December 2025.</w:t>
      </w:r>
    </w:p>
    <w:p>
      <w:pPr>
        <w:pStyle w:val="ListBullet"/>
      </w:pPr>
      <w:r>
        <w:t>Controls were selected 20:1 within the same data_date and active_accounts_band. The most restrictive stratum still had about 398 available controls per case, so matching availability was not a material limitation.</w:t>
      </w:r>
    </w:p>
    <w:p>
      <w:pPr>
        <w:pStyle w:val="ListBullet"/>
      </w:pPr>
      <w:r>
        <w:t>The final dataset contains 149 cases and 2,980 control observations representing 2,784 unique control parties. Some control parties appear in more than one month; this is acceptable for EDA, but modeling must group by party_id and preserve temporal separation.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Cases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Controls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Observations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2,980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Unique parties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2,784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Mean active_accounts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7.22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7.21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Median active_accounts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P90 active_accounts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15</w:t>
            </w:r>
          </w:p>
        </w:tc>
      </w:tr>
    </w:tbl>
    <w:p>
      <w:pPr>
        <w:pStyle w:val="ListBullet"/>
      </w:pPr>
      <w:r>
        <w:t>Active-account bands are balanced by construction: 1.34% with zero active accounts, 6.71% with one, 17.45% with 2-3, 23.49% with 4-5, 28.19% with 6-10, and 22.82% with 11 or more.</w:t>
      </w:r>
    </w:p>
    <w:p>
      <w:pPr>
        <w:pStyle w:val="Heading2"/>
      </w:pPr>
      <w:r>
        <w:t>First evidence of signal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Cases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Controls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Relative prevalence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Preliminary read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Recent deterioration 3m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10.07%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9.66%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1.04x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Minimal separation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Deterioration acceleration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10.07%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7.25%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1.39x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Promising directional signal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Recent adverse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2.68%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1.78%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1.51x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Promising, but only 4 cases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355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control_signal_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9. First matched case-control comparison. Deterioration acceleration relative to each party's own baseline separates the groups more than raw recent deterioration.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/>
            <w:r>
              <w:rPr>
                <w:b/>
                <w:sz w:val="20"/>
              </w:rPr>
              <w:t>Current interpretation</w:t>
            </w:r>
          </w:p>
          <w:p>
            <w:r>
              <w:rPr>
                <w:sz w:val="18"/>
              </w:rPr>
              <w:t>The most relevant result is that raw recent deterioration barely separates cases from controls (10.07% vs 9.66%), while deterioration acceleration relative to the party's own baseline is more common in cases (10.07% vs 7.25%; 1.39x). This supports modeling behavioral change relative to individual history. Recent adverse is also directionally higher (1.51x), but only 4 of 149 cases have the event, so evidence remains sparse.</w:t>
            </w:r>
          </w:p>
        </w:tc>
      </w:tr>
    </w:tbl>
    <w:p>
      <w:pPr>
        <w:pStyle w:val="ListBullet"/>
      </w:pPr>
      <w:r>
        <w:t>These findings are exploratory rather than conclusive: 149 cases are too few to define production score weights or establish robust statistical significance.</w:t>
      </w:r>
    </w:p>
    <w:p>
      <w:pPr>
        <w:pStyle w:val="ListBullet"/>
      </w:pPr>
      <w:r>
        <w:t>Recent deterioration is downgraded to medium-low priority as a standalone feature. Deterioration acceleration is promoted to high experimental priority. Recent adverse remains a high-priority experimental feature, conditional on a larger positive sample.</w:t>
      </w:r>
    </w:p>
    <w:p>
      <w:pPr>
        <w:pStyle w:val="Heading2"/>
        <w:pageBreakBefore/>
      </w:pPr>
      <w:r>
        <w:t>Agreed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Step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Objective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Compare magnitude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Compare percentiles of deterioration acceleration, recent deterioration count, max DPD jump, past due, delinquency share, utilization and balance between cases and controls.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Evaluate convergence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Test whether multiple behavioral signals move together before the alert rather than only in isolation.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Repeat at 6 months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 6m as the secondary horizon and compare signal direction and stability.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Enrich positives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Include all eligible alert-positive cases plus a representative control sample for model development.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Out-of-time 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Split train/validation/test by time and keep all observations for each party_id in one split.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Index/model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Train and calibrate models; evaluate PR-AUC, lift, recall at capacity, calibration, temporal stability and fairness before defining a production score.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Fraud Alert Vulnerability Index - Analytical Progress |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