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Fraud Alert Vulnerability - Technical Methodology and Results</w:t>
      </w:r>
    </w:p>
    <w:p>
      <w:r>
        <w:rPr>
          <w:b/>
          <w:color w:val="0052CC"/>
          <w:sz w:val="28"/>
        </w:rPr>
        <w:t>Methodology, decisions, data quality findings, feature discovery, and current modeling preparation</w:t>
      </w:r>
    </w:p>
    <w:p>
      <w:r>
        <w:rPr>
          <w:color w:val="6B778C"/>
          <w:sz w:val="20"/>
        </w:rPr>
        <w:t>Technical Confluence version | Current through expanded positive cohort</w:t>
      </w:r>
    </w:p>
    <w:p>
      <w:r>
        <w:t>English + Español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98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8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Project progression and current next step. / Progresión del proyecto y siguiente paso actual.</w:t>
      </w:r>
    </w:p>
    <w:p>
      <w:r>
        <w:br w:type="page"/>
      </w:r>
    </w:p>
    <w:p>
      <w:pPr>
        <w:pStyle w:val="Heading1"/>
      </w:pPr>
      <w:r>
        <w:t>1. Objective and modeling target / Objetivo y target de modelado</w:t>
      </w:r>
    </w:p>
    <w:p>
      <w:r>
        <w:rPr>
          <w:b/>
          <w:color w:val="0052CC"/>
        </w:rPr>
        <w:t xml:space="preserve">EN  </w:t>
      </w:r>
      <w:r>
        <w:t>Predict propensity to place a first observed qualifying fraud alert, not confirmed fraud victimization.</w:t>
      </w:r>
    </w:p>
    <w:p>
      <w:r>
        <w:rPr>
          <w:b/>
          <w:color w:val="216E4E"/>
        </w:rPr>
        <w:t xml:space="preserve">ES  </w:t>
      </w:r>
      <w:r>
        <w:t>Predecir propensión a colocar una primera alerta de fraude observada válida, no victimización de fraude confirmada.</w:t>
      </w:r>
    </w:p>
    <w:p>
      <w:r>
        <w:rPr>
          <w:b/>
          <w:color w:val="0052CC"/>
        </w:rPr>
        <w:t xml:space="preserve">EN  </w:t>
      </w:r>
      <w:r>
        <w:t>Qualifying alert types currently used for outcome construction: type 2 (Initial Fraud Alert) and type 3 (Extended Fraud Alert), pending final business confirmation.</w:t>
      </w:r>
    </w:p>
    <w:p>
      <w:r>
        <w:rPr>
          <w:b/>
          <w:color w:val="216E4E"/>
        </w:rPr>
        <w:t xml:space="preserve">ES  </w:t>
      </w:r>
      <w:r>
        <w:t>Tipos de alerta actualmente usados para construir el outcome: tipo 2 (Initial Fraud Alert) y tipo 3 (Extended Fraud Alert), pendiente confirmación final de negocio.</w:t>
      </w:r>
    </w:p>
    <w:p>
      <w:r>
        <w:rPr>
          <w:b/>
          <w:color w:val="0052CC"/>
        </w:rPr>
        <w:t xml:space="preserve">EN  </w:t>
      </w:r>
      <w:r>
        <w:t>Primary discovery horizon: first observed qualifying alert within the next 3 calendar months after the monthly observation date.</w:t>
      </w:r>
    </w:p>
    <w:p>
      <w:r>
        <w:rPr>
          <w:b/>
          <w:color w:val="216E4E"/>
        </w:rPr>
        <w:t xml:space="preserve">ES  </w:t>
      </w:r>
      <w:r>
        <w:t>Horizonte principal de discovery: primera alerta observada válida dentro de los siguientes 3 meses calendario después de la fecha mensual de observación.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2FF"/>
          </w:tcPr>
          <w:p>
            <w:r>
              <w:rPr>
                <w:b/>
                <w:color w:val="17365D"/>
              </w:rPr>
              <w:t>KEY TAKEAWAY / MENSAJE CLAVE</w:t>
              <w:br/>
            </w:r>
            <w:r>
              <w:t>EN: Point-in-time discipline is mandatory: no post-observation information is allowed in features.</w:t>
              <w:br/>
              <w:t>ES: La disciplina point-in-time es obligatoria: no se permite información posterior a la observación en las features.</w:t>
            </w:r>
          </w:p>
        </w:tc>
      </w:tr>
    </w:tbl>
    <w:p/>
    <w:p>
      <w:pPr>
        <w:pStyle w:val="Heading1"/>
      </w:pPr>
      <w:r>
        <w:t>2. Alert history and recurrence review / Historia de alertas y recurrencia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security_alert source rows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324,268,295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Approx. parties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31,916,677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Min creation 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2007-01-13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Max creation 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2026-07-30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Unique creation-date events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42,318,245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Parties with alert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29,766,492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Creation within 7 years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10,951,174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Creation after 7 years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1,600,579</w:t>
            </w:r>
          </w:p>
        </w:tc>
      </w:tr>
    </w:tbl>
    <w:p>
      <w:r>
        <w:rPr>
          <w:b/>
          <w:color w:val="0052CC"/>
        </w:rPr>
        <w:t xml:space="preserve">EN  </w:t>
      </w:r>
      <w:r>
        <w:t>Different creation dates in the historical snapshots do not always represent a truly new alert; the earliest observed qualifying alert is therefore used as the modeling anchor.</w:t>
      </w:r>
    </w:p>
    <w:p>
      <w:r>
        <w:rPr>
          <w:b/>
          <w:color w:val="216E4E"/>
        </w:rPr>
        <w:t xml:space="preserve">ES  </w:t>
      </w:r>
      <w:r>
        <w:t>Fechas de creación diferentes en los snapshots históricos no siempre representan una alerta realmente nueva; por ello se utiliza la primera alerta válida observada como ancla de modelado.</w:t>
      </w:r>
    </w:p>
    <w:p>
      <w:r>
        <w:br w:type="page"/>
      </w:r>
    </w:p>
    <w:p>
      <w:pPr>
        <w:pStyle w:val="Heading1"/>
      </w:pPr>
      <w:r>
        <w:t>3. Tenure construction and censoring / Construcción de tenure y censura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Relationship-history source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bc3.person_restricted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Relationship start definition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MIN(data_date)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Global history minimum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2000-09-30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Left-censored sample parties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29,086 / 66,643 (43.64%)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Uncensored valid parties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37,492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Median tenure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195 months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Average tenure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175.23 months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P90 tenure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257 months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24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u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Uncensored valid tenure distribution. The peak shifts by alert year, indicating a cohort effect rather than a causal tenure-risk peak. / Distribución de tenure válida no censurada. El pico cambia por año de alerta, indicando un efecto de cohorte más que un pico causal de riesgo.</w:t>
      </w:r>
    </w:p>
    <w:p>
      <w:r>
        <w:rPr>
          <w:b/>
          <w:color w:val="0052CC"/>
        </w:rPr>
        <w:t xml:space="preserve">EN  </w:t>
      </w:r>
      <w:r>
        <w:t>Tenure is retained as contextual information, but it should not be labeled “high risk” without a denominator population.</w:t>
      </w:r>
    </w:p>
    <w:p>
      <w:r>
        <w:rPr>
          <w:b/>
          <w:color w:val="216E4E"/>
        </w:rPr>
        <w:t xml:space="preserve">ES  </w:t>
      </w:r>
      <w:r>
        <w:t>Tenure se conserva como información contextual, pero no debe etiquetarse como “alto riesgo” sin una población denominador.</w:t>
      </w:r>
    </w:p>
    <w:p>
      <w:r>
        <w:br w:type="page"/>
      </w:r>
    </w:p>
    <w:p>
      <w:pPr>
        <w:pStyle w:val="Heading1"/>
      </w:pPr>
      <w:r>
        <w:t>4. Trades source profiling / Perfilamiento de trades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Source scale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~504.8B rows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Recent monthly rows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~3.26B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Recent monthly parties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~302M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Missing eff_dte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eff_dte after data_date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20 rows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Sample duplicate key party_id+acct_id+data_date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Median staleness (data_date-eff_dte)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275 days</w:t>
            </w:r>
          </w:p>
        </w:tc>
      </w:tr>
    </w:tbl>
    <w:p>
      <w:r>
        <w:rPr>
          <w:b/>
          <w:color w:val="0052CC"/>
        </w:rPr>
        <w:t xml:space="preserve">EN  </w:t>
      </w:r>
      <w:r>
        <w:t>data_date is the load/availability date; eff_dte is the last verification date from the data provider. Staleness therefore reflects information freshness, not ingestion lag.</w:t>
      </w:r>
    </w:p>
    <w:p>
      <w:r>
        <w:rPr>
          <w:b/>
          <w:color w:val="216E4E"/>
        </w:rPr>
        <w:t xml:space="preserve">ES  </w:t>
      </w:r>
      <w:r>
        <w:t>data_date es la fecha de carga/disponibilidad; eff_dte es la última fecha de verificación del proveedor. Por ello, staleness refleja frescura de información y no retraso de ingestión.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71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_behavi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Account update behavior was segmented only to understand lifecycle/reporting patterns, not as a direct risk feature. / El comportamiento de actualización se segmentó solo para entender lifecycle/reporting, no como feature directa de riesgo.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71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accou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Among open accounts, monthly reporting dominates, reinforcing that raw update frequency is largely a lifecycle/reporting-state indicator. / Entre cuentas abiertas domina el reporte mensual, reforzando que la frecuencia cruda de actualización refleja principalmente lifecycle/reporting.</w:t>
      </w:r>
    </w:p>
    <w:p>
      <w:r>
        <w:br w:type="page"/>
      </w:r>
    </w:p>
    <w:p>
      <w:pPr>
        <w:pStyle w:val="Heading1"/>
      </w:pPr>
      <w:r>
        <w:t>5. MOP transition logic / Lógica de transición MOP</w:t>
      </w:r>
    </w:p>
    <w:p>
      <w:r>
        <w:rPr>
          <w:b/>
          <w:color w:val="0052CC"/>
        </w:rPr>
        <w:t xml:space="preserve">EN  </w:t>
      </w:r>
      <w:r>
        <w:t>MOP codes 01-06 are treated as ordinal delinquency levels. 09/9B/8A/8B are active severe-adverse states; 9P/8P are resolved historical-adverse states; UR is handled separately. Codes 07 and 08 remain unknown and are not inferred.</w:t>
      </w:r>
    </w:p>
    <w:p>
      <w:r>
        <w:rPr>
          <w:b/>
          <w:color w:val="216E4E"/>
        </w:rPr>
        <w:t xml:space="preserve">ES  </w:t>
      </w:r>
      <w:r>
        <w:t>Los códigos MOP 01-06 se tratan como niveles ordinales de morosidad. 09/9B/8A/8B son estados adversos severos activos; 9P/8P son estados adversos históricos resueltos; UR se maneja por separado. Los códigos 07 y 08 permanecen desconocidos y no se infieren.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Transition metric</w:t>
            </w:r>
          </w:p>
        </w:tc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2025 result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No change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3,501,681 (98.79%)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Deterioration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29,310 (0.83%)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Improvement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7,843 (0.22%)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New adverse status (initial EDA)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4,042 (0.11%)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Validated DPD deterioration flag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29,310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Entered active adverse flag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3,394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Adverse resolved flag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477</w:t>
            </w:r>
          </w:p>
        </w:tc>
      </w:tr>
    </w:tbl>
    <w:p>
      <w:r>
        <w:rPr>
          <w:b/>
          <w:color w:val="0052CC"/>
        </w:rPr>
        <w:t xml:space="preserve">EN  </w:t>
      </w:r>
      <w:r>
        <w:t>The key behavioral features use true effective updates and lagged account status, not repeated monthly snapshots alone.</w:t>
      </w:r>
    </w:p>
    <w:p>
      <w:r>
        <w:rPr>
          <w:b/>
          <w:color w:val="216E4E"/>
        </w:rPr>
        <w:t xml:space="preserve">ES  </w:t>
      </w:r>
      <w:r>
        <w:t>Las features conductuales clave utilizan actualizaciones efectivas reales y estatus rezagado de la cuenta, no únicamente snapshots mensuales repetidos.</w:t>
      </w:r>
    </w:p>
    <w:p>
      <w:r>
        <w:br w:type="page"/>
      </w:r>
    </w:p>
    <w:p>
      <w:pPr>
        <w:pStyle w:val="Heading1"/>
      </w:pPr>
      <w:r>
        <w:t>6. Behavioral feature architecture / Arquitectura de features conductuales</w:t>
      </w:r>
    </w:p>
    <w:p>
      <w:r>
        <w:rPr>
          <w:b/>
          <w:color w:val="0052CC"/>
        </w:rPr>
        <w:t xml:space="preserve">EN  </w:t>
      </w:r>
      <w:r>
        <w:t>Features compare a recent 3-month window against a non-overlapping prior 9-month baseline.</w:t>
      </w:r>
    </w:p>
    <w:p>
      <w:r>
        <w:rPr>
          <w:b/>
          <w:color w:val="216E4E"/>
        </w:rPr>
        <w:t xml:space="preserve">ES  </w:t>
      </w:r>
      <w:r>
        <w:t>Las features comparan una ventana reciente de 3 meses contra un baseline previo no traslapado de 9 meses.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Feature family</w:t>
            </w:r>
          </w:p>
        </w:tc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Deterioration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deteriorations_recent_3m; deterioration_acceleration; max_dpd_jump_recent_3m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Adverse events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adverse_recent_3m; adverse_acceleration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Delinquency pressure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past_due_change_vs_baseline; delinquency_share_change_vs_baseline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Exposure pressure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balance_change_vs_baseline; utilization_change_vs_baseline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Context/exposure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active accounts and recent/prior account averages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87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ve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Complete 12-month baseline coverage is ~96.6%, supporting stable rolling feature construction. / La cobertura de baseline completo de 12 meses es ~96.6%, soportando una construcción estable de features móviles.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586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acceler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Monthly deterioration acceleration is reasonably stable across 2025, with a modest Q1/Q2 increase. / La aceleración mensual del deterioro es razonablemente estable durante 2025, con un incremento moderado en Q1/Q2.</w:t>
      </w:r>
    </w:p>
    <w:p>
      <w:r>
        <w:br w:type="page"/>
      </w:r>
    </w:p>
    <w:p>
      <w:pPr>
        <w:pStyle w:val="Heading1"/>
      </w:pPr>
      <w:r>
        <w:t>7. Outcome labels and horizon selection / Labels de outcome y selección de horizonte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61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horiz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Party-month positives and unique positive parties in the initial 2025 discovery sample. / Party-months positivos y personas positivas únicas en la muestra inicial de discovery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259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Positive party-months</w:t>
            </w:r>
          </w:p>
        </w:tc>
        <w:tc>
          <w:tcPr>
            <w:tcW w:type="dxa" w:w="259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Unique positive parties</w:t>
            </w:r>
          </w:p>
        </w:tc>
        <w:tc>
          <w:tcPr>
            <w:tcW w:type="dxa" w:w="259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Too sparse for primary development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3m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369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149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Primary discovery horizon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6m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741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176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Secondary benchmark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12m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1,294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184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~50% censoring in 2025 sample; benchmark only</w:t>
            </w:r>
          </w:p>
        </w:tc>
      </w:tr>
    </w:tbl>
    <w:p>
      <w:r>
        <w:rPr>
          <w:b/>
          <w:color w:val="0052CC"/>
        </w:rPr>
        <w:t xml:space="preserve">EN  </w:t>
      </w:r>
      <w:r>
        <w:t>Positive counts at 3m and 6m are party-months, so a single future alert can label several prior monthly observations. For case-control feature discovery, one first-positive observation per person was selected.</w:t>
      </w:r>
    </w:p>
    <w:p>
      <w:r>
        <w:rPr>
          <w:b/>
          <w:color w:val="216E4E"/>
        </w:rPr>
        <w:t xml:space="preserve">ES  </w:t>
      </w:r>
      <w:r>
        <w:t>Los conteos positivos a 3m y 6m son party-months, por lo que una sola alerta futura puede etiquetar varias observaciones mensuales previas. Para feature discovery case-control se seleccionó una sola primera observación positiva por persona.</w:t>
      </w:r>
    </w:p>
    <w:p>
      <w:r>
        <w:br w:type="page"/>
      </w:r>
    </w:p>
    <w:p>
      <w:pPr>
        <w:pStyle w:val="Heading1"/>
      </w:pPr>
      <w:r>
        <w:t>8. Matched case-control discovery design / Diseño de discovery case-control emparejado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56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3456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Controls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Rows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149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2,980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Unique parties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149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2,784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Avg active accounts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7.22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7.21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Median active accounts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P90 active accounts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15</w:t>
            </w:r>
          </w:p>
        </w:tc>
      </w:tr>
    </w:tbl>
    <w:p>
      <w:r>
        <w:rPr>
          <w:b/>
          <w:color w:val="0052CC"/>
        </w:rPr>
        <w:t xml:space="preserve">EN  </w:t>
      </w:r>
      <w:r>
        <w:t>Controls were matched within the same observation month and active-account band. The design was used for exploratory feature discovery, not for calibrated population risk estimation.</w:t>
      </w:r>
    </w:p>
    <w:p>
      <w:r>
        <w:rPr>
          <w:b/>
          <w:color w:val="216E4E"/>
        </w:rPr>
        <w:t xml:space="preserve">ES  </w:t>
      </w:r>
      <w:r>
        <w:t>Los controles se emparejaron dentro del mismo mes de observación y banda de cuentas activas. El diseño se utilizó para feature discovery exploratorio, no para estimación calibrada de riesgo poblacional.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186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signa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Binary signal prevalence. Deterioration acceleration separates better than raw recent deterioration. / Prevalencia de señales binarias. Deterioration acceleration separa mejor que recent deterioration crudo.</w:t>
      </w:r>
    </w:p>
    <w:p>
      <w:r>
        <w:br w:type="page"/>
      </w:r>
    </w:p>
    <w:p>
      <w:pPr>
        <w:pStyle w:val="Heading1"/>
      </w:pPr>
      <w:r>
        <w:t>9. Signal intensity findings / Hallazgos de intensidad de señales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401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ilization_ban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Utilization-change bands based on exploratory control percentiles. Moderate/high/very-high bands are relatively more represented among cases. / Bandas de cambio de utilización basadas en percentiles exploratorios de controles. Las bandas moderate/high/very-high están relativamente más representadas en casos.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401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_ban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4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Balance-change signal is weaker and concentrated mainly in the most extreme band. / La señal de cambio de balance es más débil y se concentra principalmente en la banda más extrema.</w:t>
      </w:r>
    </w:p>
    <w:p>
      <w:r>
        <w:rPr>
          <w:b/>
          <w:color w:val="0052CC"/>
        </w:rPr>
        <w:t xml:space="preserve">EN  </w:t>
      </w:r>
      <w:r>
        <w:t>The EDA suggests that magnitude of change versus personal baseline contains more information than a simple increase/no-increase flag.</w:t>
      </w:r>
    </w:p>
    <w:p>
      <w:r>
        <w:rPr>
          <w:b/>
          <w:color w:val="216E4E"/>
        </w:rPr>
        <w:t xml:space="preserve">ES  </w:t>
      </w:r>
      <w:r>
        <w:t>El EDA sugiere que la magnitud del cambio contra el baseline personal contiene más información que un simple flag de aumento/no aumento.</w:t>
      </w:r>
    </w:p>
    <w:p>
      <w:pPr>
        <w:pStyle w:val="Heading1"/>
      </w:pPr>
      <w:r>
        <w:t>10. Signal convergence / Convergencia de señales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85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cou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8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A simple equal-weight signal count is not monotonic; the identity of the combined signals matters. / Un conteo simple de señales con igual peso no es monotónico; importa qué señales se combinan.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368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6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D+U+DS is the most promising exploratory interaction: deterioration acceleration + utilization pressure + delinquency-share increase. / D+U+DS es la interacción exploratoria más prometedora: aceleración del deterioro + presión de utilización + aumento de delinquency share.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259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Case convergence</w:t>
            </w:r>
          </w:p>
        </w:tc>
        <w:tc>
          <w:tcPr>
            <w:tcW w:type="dxa" w:w="259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Control convergence</w:t>
            </w:r>
          </w:p>
        </w:tc>
        <w:tc>
          <w:tcPr>
            <w:tcW w:type="dxa" w:w="2592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Relative prevalence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Overall 2025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7.09%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3.15%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2.25x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2025 H1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5.06%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3.21%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1.58x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2025 H2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9.68%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3.08%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3.14x</w:t>
            </w:r>
          </w:p>
        </w:tc>
      </w:tr>
    </w:tbl>
    <w:p>
      <w:r>
        <w:rPr>
          <w:b/>
          <w:color w:val="0052CC"/>
        </w:rPr>
        <w:t xml:space="preserve">EN  </w:t>
      </w:r>
      <w:r>
        <w:t>The direction is consistent in H1 and H2, but only 10 total cases in the discovery sample carry the D+U+DS pattern. It is a hypothesis to validate at scale, not a production rule.</w:t>
      </w:r>
    </w:p>
    <w:p>
      <w:r>
        <w:rPr>
          <w:b/>
          <w:color w:val="216E4E"/>
        </w:rPr>
        <w:t xml:space="preserve">ES  </w:t>
      </w:r>
      <w:r>
        <w:t>La dirección es consistente en H1 y H2, pero solo 10 casos totales en la muestra de discovery presentan el patrón D+U+DS. Es una hipótesis para validar a escala, no una regla productiva.</w:t>
      </w:r>
    </w:p>
    <w:p>
      <w:pPr>
        <w:pStyle w:val="Heading1"/>
      </w:pPr>
      <w:r>
        <w:t>11. Expanded positive cohort / Cohorte positiva ampliada</w:t>
      </w:r>
    </w:p>
    <w:p>
      <w:r>
        <w:rPr>
          <w:b/>
          <w:color w:val="0052CC"/>
        </w:rPr>
        <w:t xml:space="preserve">EN  </w:t>
      </w:r>
      <w:r>
        <w:t>The modeling observation period was expanded to 2022-2025. Positive anchors use a 3-calendar-month horizon and are assigned by observation year.</w:t>
      </w:r>
    </w:p>
    <w:p>
      <w:r>
        <w:rPr>
          <w:b/>
          <w:color w:val="216E4E"/>
        </w:rPr>
        <w:t xml:space="preserve">ES  </w:t>
      </w:r>
      <w:r>
        <w:t>El período de observación para modelado se amplió a 2022-2025. Los positive anchors usan un horizonte de 3 meses calendario y se asignan por año de observación.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3186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anded_coh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1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Chronological split: 2022-2023 TRAIN, 2024 VALIDATION, 2025 TEST. / Split cronológico: 2022-2023 TRAIN, 2024 VALIDATION, 2025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Status check</w:t>
            </w:r>
          </w:p>
        </w:tc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Alert on/before observation after boundary anchoring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22,511,193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Valid positive anchor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6,894,117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After 3m window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87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d_coho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8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Deterministic 1% positive sample = 68,733 parties, designed to validate features at much larger scale without processing all positives immediately. / Muestra positiva determinística de 1% = 68,733 personas, diseñada para validar features a mayor escala sin procesar inmediatamente todos los positivos.</w:t>
      </w:r>
    </w:p>
    <w:p>
      <w:r>
        <w:br w:type="page"/>
      </w:r>
    </w:p>
    <w:p>
      <w:pPr>
        <w:pStyle w:val="Heading1"/>
      </w:pPr>
      <w:r>
        <w:t>12. Key methodological decisions / Decisiones metodológicas clave</w:t>
      </w:r>
    </w:p>
    <w:p>
      <w:r>
        <w:rPr>
          <w:b/>
          <w:color w:val="0052CC"/>
        </w:rPr>
        <w:t xml:space="preserve">EN  </w:t>
      </w:r>
      <w:r>
        <w:t>Model target is first observed qualifying alert, not confirmed fraud loss.</w:t>
      </w:r>
    </w:p>
    <w:p>
      <w:r>
        <w:rPr>
          <w:b/>
          <w:color w:val="216E4E"/>
        </w:rPr>
        <w:t xml:space="preserve">ES  </w:t>
      </w:r>
      <w:r>
        <w:t>El target es la primera alerta válida observada, no pérdida de fraude confirmada.</w:t>
      </w:r>
    </w:p>
    <w:p>
      <w:r>
        <w:rPr>
          <w:b/>
          <w:color w:val="0052CC"/>
        </w:rPr>
        <w:t xml:space="preserve">EN  </w:t>
      </w:r>
      <w:r>
        <w:t>Use point-in-time observation dates and calendar-month label horizons.</w:t>
      </w:r>
    </w:p>
    <w:p>
      <w:r>
        <w:rPr>
          <w:b/>
          <w:color w:val="216E4E"/>
        </w:rPr>
        <w:t xml:space="preserve">ES  </w:t>
      </w:r>
      <w:r>
        <w:t>Usar fechas de observación point-in-time y horizontes de label en meses calendario.</w:t>
      </w:r>
    </w:p>
    <w:p>
      <w:r>
        <w:rPr>
          <w:b/>
          <w:color w:val="0052CC"/>
        </w:rPr>
        <w:t xml:space="preserve">EN  </w:t>
      </w:r>
      <w:r>
        <w:t>Separate tenure censoring from descriptive analysis.</w:t>
      </w:r>
    </w:p>
    <w:p>
      <w:r>
        <w:rPr>
          <w:b/>
          <w:color w:val="216E4E"/>
        </w:rPr>
        <w:t xml:space="preserve">ES  </w:t>
      </w:r>
      <w:r>
        <w:t>Separar censura de tenure del análisis descriptivo.</w:t>
      </w:r>
    </w:p>
    <w:p>
      <w:r>
        <w:rPr>
          <w:b/>
          <w:color w:val="0052CC"/>
        </w:rPr>
        <w:t xml:space="preserve">EN  </w:t>
      </w:r>
      <w:r>
        <w:t>Do not use raw account update frequency as a direct risk signal.</w:t>
      </w:r>
    </w:p>
    <w:p>
      <w:r>
        <w:rPr>
          <w:b/>
          <w:color w:val="216E4E"/>
        </w:rPr>
        <w:t xml:space="preserve">ES  </w:t>
      </w:r>
      <w:r>
        <w:t>No usar frecuencia cruda de actualización de cuentas como señal directa de riesgo.</w:t>
      </w:r>
    </w:p>
    <w:p>
      <w:r>
        <w:rPr>
          <w:b/>
          <w:color w:val="0052CC"/>
        </w:rPr>
        <w:t xml:space="preserve">EN  </w:t>
      </w:r>
      <w:r>
        <w:t>Keep continuous behavior-change features; EDA thresholds are not frozen production cutoffs.</w:t>
      </w:r>
    </w:p>
    <w:p>
      <w:r>
        <w:rPr>
          <w:b/>
          <w:color w:val="216E4E"/>
        </w:rPr>
        <w:t xml:space="preserve">ES  </w:t>
      </w:r>
      <w:r>
        <w:t>Conservar features continuas de cambio conductual; los thresholds de EDA no son cortes productivos congelados.</w:t>
      </w:r>
    </w:p>
    <w:p>
      <w:r>
        <w:rPr>
          <w:b/>
          <w:color w:val="0052CC"/>
        </w:rPr>
        <w:t xml:space="preserve">EN  </w:t>
      </w:r>
      <w:r>
        <w:t>Use chronological model splits and keep each party within a single split.</w:t>
      </w:r>
    </w:p>
    <w:p>
      <w:r>
        <w:rPr>
          <w:b/>
          <w:color w:val="216E4E"/>
        </w:rPr>
        <w:t xml:space="preserve">ES  </w:t>
      </w:r>
      <w:r>
        <w:t>Usar splits cronológicos y mantener cada party dentro de un solo split.</w:t>
      </w:r>
    </w:p>
    <w:p>
      <w:r>
        <w:rPr>
          <w:b/>
          <w:color w:val="0052CC"/>
        </w:rPr>
        <w:t xml:space="preserve">EN  </w:t>
      </w:r>
      <w:r>
        <w:t>Case-control samples require later weighting/calibration to recover population prevalence.</w:t>
      </w:r>
    </w:p>
    <w:p>
      <w:r>
        <w:rPr>
          <w:b/>
          <w:color w:val="216E4E"/>
        </w:rPr>
        <w:t xml:space="preserve">ES  </w:t>
      </w:r>
      <w:r>
        <w:t>Las muestras case-control requieren ponderación/calibración posterior para recuperar prevalencia poblacional.</w:t>
      </w:r>
    </w:p>
    <w:p>
      <w:r>
        <w:br w:type="page"/>
      </w:r>
    </w:p>
    <w:p>
      <w:pPr>
        <w:pStyle w:val="Heading1"/>
      </w:pPr>
      <w:r>
        <w:t>13. Current roadmap position / Posición actual del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987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8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78C"/>
          <w:sz w:val="17"/>
        </w:rPr>
        <w:t>Completed through deterministic expanded-positive sampling. The immediate next milestone is the expanded control cohort. / Completado hasta el muestreo determinístico de positivos ampliados. El siguiente hito inmediato es la cohorte ampliada de controles.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Roadmap item</w:t>
            </w:r>
          </w:p>
        </w:tc>
        <w:tc>
          <w:tcPr>
            <w:tcW w:type="dxa" w:w="5184"/>
            <w:shd w:fill="17365D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18. Expanded positive cohort 2022-2025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COMPLETE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19. Temporal TRAIN/VALIDATION/TEST split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COMPLETE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20. Deterministic expanded positive sample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COMPLETE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21. Expanded control cohort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NEXT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22. Filter trades to modeling cohort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PENDING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23. Rebuild point-in-time features at scale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PENDING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24. Out-of-sample signal validation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PENDING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25+. Modeling, calibration, governance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72B4D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14. Immediate next steps / Siguientes pasos inmediatos</w:t>
      </w:r>
    </w:p>
    <w:p>
      <w:r>
        <w:rPr>
          <w:b/>
          <w:color w:val="0052CC"/>
        </w:rPr>
        <w:t xml:space="preserve">EN  </w:t>
      </w:r>
      <w:r>
        <w:t>Build the expanded control cohort with eligibility rules comparable to positives.</w:t>
      </w:r>
    </w:p>
    <w:p>
      <w:r>
        <w:rPr>
          <w:b/>
          <w:color w:val="216E4E"/>
        </w:rPr>
        <w:t xml:space="preserve">ES  </w:t>
      </w:r>
      <w:r>
        <w:t>Construir la cohorte ampliada de controles con reglas de elegibilidad comparables a positivos.</w:t>
      </w:r>
    </w:p>
    <w:p>
      <w:r>
        <w:rPr>
          <w:b/>
          <w:color w:val="0052CC"/>
        </w:rPr>
        <w:t xml:space="preserve">EN  </w:t>
      </w:r>
      <w:r>
        <w:t>Prevent party leakage across TRAIN, VALIDATION, and TEST.</w:t>
      </w:r>
    </w:p>
    <w:p>
      <w:r>
        <w:rPr>
          <w:b/>
          <w:color w:val="216E4E"/>
        </w:rPr>
        <w:t xml:space="preserve">ES  </w:t>
      </w:r>
      <w:r>
        <w:t>Evitar leakage de party entre TRAIN, VALIDATION y TEST.</w:t>
      </w:r>
    </w:p>
    <w:p>
      <w:r>
        <w:rPr>
          <w:b/>
          <w:color w:val="0052CC"/>
        </w:rPr>
        <w:t xml:space="preserve">EN  </w:t>
      </w:r>
      <w:r>
        <w:t>Join/filter trades only for selected modeling parties and required lookback dates.</w:t>
      </w:r>
    </w:p>
    <w:p>
      <w:r>
        <w:rPr>
          <w:b/>
          <w:color w:val="216E4E"/>
        </w:rPr>
        <w:t xml:space="preserve">ES  </w:t>
      </w:r>
      <w:r>
        <w:t>Unir/filtrar trades únicamente para las personas seleccionadas y fechas de lookback requeridas.</w:t>
      </w:r>
    </w:p>
    <w:p>
      <w:r>
        <w:rPr>
          <w:b/>
          <w:color w:val="0052CC"/>
        </w:rPr>
        <w:t xml:space="preserve">EN  </w:t>
      </w:r>
      <w:r>
        <w:t>Rebuild recent-3m/prior-9m features point-in-time.</w:t>
      </w:r>
    </w:p>
    <w:p>
      <w:r>
        <w:rPr>
          <w:b/>
          <w:color w:val="216E4E"/>
        </w:rPr>
        <w:t xml:space="preserve">ES  </w:t>
      </w:r>
      <w:r>
        <w:t>Reconstruir features recent-3m/prior-9m point-in-time.</w:t>
      </w:r>
    </w:p>
    <w:p>
      <w:r>
        <w:rPr>
          <w:b/>
          <w:color w:val="0052CC"/>
        </w:rPr>
        <w:t xml:space="preserve">EN  </w:t>
      </w:r>
      <w:r>
        <w:t>Validate D/U/DS and other discovery findings on expanded TRAIN, then freeze transformations and test on 2024/2025.</w:t>
      </w:r>
    </w:p>
    <w:p>
      <w:r>
        <w:rPr>
          <w:b/>
          <w:color w:val="216E4E"/>
        </w:rPr>
        <w:t xml:space="preserve">ES  </w:t>
      </w:r>
      <w:r>
        <w:t>Validar D/U/DS y otros hallazgos de discovery en TRAIN ampliado, luego congelar transformaciones y probar en 2024/2025.</w:t>
      </w:r>
    </w:p>
    <w:p>
      <w:r>
        <w:rPr>
          <w:b/>
          <w:color w:val="0052CC"/>
        </w:rPr>
        <w:t xml:space="preserve">EN  </w:t>
      </w:r>
      <w:r>
        <w:t>Develop baseline models, evaluate rare-event metrics, calibrate, and document governance.</w:t>
      </w:r>
    </w:p>
    <w:p>
      <w:r>
        <w:rPr>
          <w:b/>
          <w:color w:val="216E4E"/>
        </w:rPr>
        <w:t xml:space="preserve">ES  </w:t>
      </w:r>
      <w:r>
        <w:t>Desarrollar modelos baseline, evaluar métricas de evento raro, calibrar y documentar gobernanza.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8C"/>
        <w:sz w:val="16"/>
      </w:rPr>
      <w:t>Internal working document | Documento interno de trabajo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78C"/>
        <w:sz w:val="16"/>
      </w:rPr>
      <w:t>Fraud Alert Vulnerability | Technical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B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2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