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p>
      <w:r>
        <w:rPr>
          <w:rFonts w:ascii="Calibri" w:hAnsi="Calibri" w:eastAsia="Calibri" w:cs="Calibri"/>
          <w:b/>
          <w:sz w:val="24"/>
        </w:rPr>
        <w:t xml:space="preserve">Estudiante: </w:t>
      </w:r>
      <w:r>
        <w:rPr>
          <w:rFonts w:ascii="Calibri" w:hAnsi="Calibri" w:eastAsia="Calibri" w:cs="Calibri"/>
          <w:b w:val="0"/>
          <w:sz w:val="24"/>
        </w:rPr>
        <w:t>Guillermo Mora</w:t>
      </w:r>
      <w:r>
        <w:rPr>
          <w:rFonts w:ascii="Calibri" w:hAnsi="Calibri" w:eastAsia="Calibri" w:cs="Calibri"/>
          <w:b/>
          <w:sz w:val="24"/>
        </w:rPr>
        <w:t xml:space="preserve">     Equipo: </w:t>
      </w:r>
      <w:r>
        <w:rPr>
          <w:rFonts w:ascii="Calibri" w:hAnsi="Calibri" w:eastAsia="Calibri" w:cs="Calibri"/>
          <w:b w:val="0"/>
          <w:sz w:val="24"/>
        </w:rPr>
        <w:t>3, proyecto Buk Learning</w:t>
      </w:r>
      <w:r>
        <w:rPr>
          <w:rFonts w:ascii="Calibri" w:hAnsi="Calibri" w:eastAsia="Calibri" w:cs="Calibri"/>
          <w:b/>
          <w:sz w:val="24"/>
        </w:rPr>
        <w:t xml:space="preserve">     Docente: </w:t>
      </w:r>
      <w:r>
        <w:rPr>
          <w:rFonts w:ascii="Calibri" w:hAnsi="Calibri" w:eastAsia="Calibri" w:cs="Calibri"/>
          <w:b w:val="0"/>
          <w:sz w:val="24"/>
        </w:rPr>
        <w:t>Reginaldo Salinas</w:t>
      </w:r>
      <w:r>
        <w:rPr>
          <w:rFonts w:ascii="Calibri" w:hAnsi="Calibri" w:eastAsia="Calibri" w:cs="Calibri"/>
          <w:b/>
          <w:sz w:val="24"/>
        </w:rPr>
        <w:t xml:space="preserve">     Fecha: </w:t>
      </w:r>
      <w:r>
        <w:rPr>
          <w:rFonts w:ascii="Calibri" w:hAnsi="Calibri" w:eastAsia="Calibri" w:cs="Calibri"/>
          <w:b w:val="0"/>
          <w:sz w:val="24"/>
        </w:rPr>
        <w:t>30-09-2026</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
        <w:rPr>
          <w:rFonts w:ascii="Calibri" w:hAnsi="Calibri" w:eastAsia="Calibri" w:cs="Calibri"/>
          <w:b/>
          <w:sz w:val="22"/>
        </w:rPr>
        <w:t xml:space="preserve">Mi nivel en cada indicador está marcado con ✔ y destacado en verde. </w:t>
      </w:r>
      <w:r>
        <w:rPr>
          <w:rFonts w:ascii="Calibri" w:hAnsi="Calibri" w:eastAsia="Calibri" w:cs="Calibri"/>
          <w:b w:val="0"/>
          <w:sz w:val="22"/>
        </w:rPr>
        <w:t>Al final va el resumen con la justificación de cada nivel.</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shd w:val="clear" w:color="auto" w:fill="E2EFD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Describ</w:t>
            </w:r>
            <w:r w:rsidRPr="1DE770DF" w:rsidR="531C3E2E">
              <w:rPr>
                <w:rFonts w:asciiTheme="minorHAnsi" w:hAnsiTheme="minorHAnsi" w:eastAsiaTheme="minorEastAsia" w:cstheme="minorBidi"/>
                <w:b/>
                <w:color w:val="000000" w:themeColor="text1"/>
              </w:rPr>
              <w:t>í</w:t>
            </w:r>
            <w:r w:rsidRPr="1DE770DF">
              <w:rPr>
                <w:rFonts w:asciiTheme="minorHAnsi" w:hAnsiTheme="minorHAnsi" w:eastAsiaTheme="minorEastAsia" w:cstheme="minorBidi"/>
                <w:b/>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b/>
                <w:color w:val="000000" w:themeColor="text1"/>
              </w:rPr>
              <w:t>mi</w:t>
            </w:r>
            <w:r w:rsidRPr="1DE770DF">
              <w:rPr>
                <w:rFonts w:asciiTheme="minorHAnsi" w:hAnsiTheme="minorHAnsi" w:eastAsiaTheme="minorEastAsia" w:cstheme="minorBidi"/>
                <w:b/>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shd w:val="clear" w:color="auto" w:fill="E2EFD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b/>
                <w:color w:val="000000" w:themeColor="text1"/>
              </w:rPr>
              <w:t xml:space="preserve">✔ Describí </w:t>
            </w:r>
            <w:r w:rsidRPr="7FCC6260" w:rsidR="57F6135F">
              <w:rPr>
                <w:rFonts w:asciiTheme="minorHAnsi" w:hAnsiTheme="minorHAnsi" w:eastAsiaTheme="minorEastAsia" w:cstheme="minorBidi"/>
                <w:b/>
                <w:color w:val="000000" w:themeColor="text1"/>
              </w:rPr>
              <w:t xml:space="preserve">una relación coherente entre </w:t>
            </w:r>
            <w:r w:rsidRPr="7FCC6260">
              <w:rPr>
                <w:rFonts w:asciiTheme="minorHAnsi" w:hAnsiTheme="minorHAnsi" w:eastAsiaTheme="minorEastAsia" w:cstheme="minorBidi"/>
                <w:b/>
                <w:color w:val="000000" w:themeColor="text1"/>
              </w:rPr>
              <w:t>mi</w:t>
            </w:r>
            <w:r w:rsidRPr="7FCC6260" w:rsidR="57F6135F">
              <w:rPr>
                <w:rFonts w:asciiTheme="minorHAnsi" w:hAnsiTheme="minorHAnsi" w:eastAsiaTheme="minorEastAsia" w:cstheme="minorBidi"/>
                <w:b/>
                <w:color w:val="000000" w:themeColor="text1"/>
              </w:rPr>
              <w:t xml:space="preserve"> proyecto y el perfil de egreso de </w:t>
            </w:r>
            <w:r w:rsidRPr="7FCC6260">
              <w:rPr>
                <w:rFonts w:asciiTheme="minorHAnsi" w:hAnsiTheme="minorHAnsi" w:eastAsiaTheme="minorEastAsia" w:cstheme="minorBidi"/>
                <w:b/>
                <w:color w:val="000000" w:themeColor="text1"/>
              </w:rPr>
              <w:t>mi</w:t>
            </w:r>
            <w:r w:rsidRPr="7FCC6260" w:rsidR="57F6135F">
              <w:rPr>
                <w:rFonts w:asciiTheme="minorHAnsi" w:hAnsiTheme="minorHAnsi" w:eastAsiaTheme="minorEastAsia" w:cstheme="minorBidi"/>
                <w:b/>
                <w:color w:val="000000" w:themeColor="text1"/>
              </w:rPr>
              <w:t xml:space="preserve"> plan de estudio, especificando cómo deb</w:t>
            </w:r>
            <w:r w:rsidRPr="7FCC6260">
              <w:rPr>
                <w:rFonts w:asciiTheme="minorHAnsi" w:hAnsiTheme="minorHAnsi" w:eastAsiaTheme="minorEastAsia" w:cstheme="minorBidi"/>
                <w:b/>
                <w:color w:val="000000" w:themeColor="text1"/>
              </w:rPr>
              <w:t>o</w:t>
            </w:r>
            <w:r w:rsidRPr="7FCC6260" w:rsidR="57F6135F">
              <w:rPr>
                <w:rFonts w:asciiTheme="minorHAnsi" w:hAnsiTheme="minorHAnsi" w:eastAsiaTheme="minorEastAsia" w:cstheme="minorBidi"/>
                <w:b/>
                <w:color w:val="000000" w:themeColor="text1"/>
              </w:rPr>
              <w:t xml:space="preserve"> utilizar distintas competencias para desarrollar </w:t>
            </w:r>
            <w:r w:rsidRPr="7FCC6260">
              <w:rPr>
                <w:rFonts w:asciiTheme="minorHAnsi" w:hAnsiTheme="minorHAnsi" w:eastAsiaTheme="minorEastAsia" w:cstheme="minorBidi"/>
                <w:b/>
                <w:color w:val="000000" w:themeColor="text1"/>
              </w:rPr>
              <w:t>mi</w:t>
            </w:r>
            <w:r w:rsidRPr="7FCC6260" w:rsidR="57F6135F">
              <w:rPr>
                <w:rFonts w:asciiTheme="minorHAnsi" w:hAnsiTheme="minorHAnsi" w:eastAsiaTheme="minorEastAsia" w:cstheme="minorBidi"/>
                <w:b/>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shd w:val="clear" w:color="auto" w:fill="E2EFD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Mencion</w:t>
            </w:r>
            <w:r w:rsidRPr="1DE770DF" w:rsidR="3FD2F55F">
              <w:rPr>
                <w:rFonts w:asciiTheme="minorHAnsi" w:hAnsiTheme="minorHAnsi" w:eastAsiaTheme="minorEastAsia" w:cstheme="minorBidi"/>
                <w:b/>
                <w:color w:val="000000" w:themeColor="text1"/>
              </w:rPr>
              <w:t>é mis</w:t>
            </w:r>
            <w:r w:rsidRPr="1DE770DF">
              <w:rPr>
                <w:rFonts w:asciiTheme="minorHAnsi" w:hAnsiTheme="minorHAnsi" w:eastAsiaTheme="minorEastAsia" w:cstheme="minorBidi"/>
                <w:b/>
                <w:color w:val="000000" w:themeColor="text1"/>
              </w:rPr>
              <w:t xml:space="preserve"> intereses profesionales y expli</w:t>
            </w:r>
            <w:r w:rsidRPr="1DE770DF" w:rsidR="3FD2F55F">
              <w:rPr>
                <w:rFonts w:asciiTheme="minorHAnsi" w:hAnsiTheme="minorHAnsi" w:eastAsiaTheme="minorEastAsia" w:cstheme="minorBidi"/>
                <w:b/>
                <w:color w:val="000000" w:themeColor="text1"/>
              </w:rPr>
              <w:t>qué</w:t>
            </w:r>
            <w:r w:rsidRPr="1DE770DF">
              <w:rPr>
                <w:rFonts w:asciiTheme="minorHAnsi" w:hAnsiTheme="minorHAnsi" w:eastAsiaTheme="minorEastAsia" w:cstheme="minorBidi"/>
                <w:b/>
                <w:color w:val="000000" w:themeColor="text1"/>
              </w:rPr>
              <w:t xml:space="preserve"> con claridad cómo estos se ven reflejados en </w:t>
            </w:r>
            <w:r w:rsidRPr="1DE770DF" w:rsidR="3FD2F55F">
              <w:rPr>
                <w:rFonts w:asciiTheme="minorHAnsi" w:hAnsiTheme="minorHAnsi" w:eastAsiaTheme="minorEastAsia" w:cstheme="minorBidi"/>
                <w:b/>
                <w:color w:val="000000" w:themeColor="text1"/>
              </w:rPr>
              <w:t>mi</w:t>
            </w:r>
            <w:r w:rsidRPr="1DE770DF">
              <w:rPr>
                <w:rFonts w:asciiTheme="minorHAnsi" w:hAnsiTheme="minorHAnsi" w:eastAsiaTheme="minorEastAsia" w:cstheme="minorBidi"/>
                <w:b/>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shd w:val="clear" w:color="auto" w:fill="E2EFD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Justifi</w:t>
            </w:r>
            <w:r w:rsidRPr="1DE770DF" w:rsidR="4F97E6C3">
              <w:rPr>
                <w:rFonts w:asciiTheme="minorHAnsi" w:hAnsiTheme="minorHAnsi" w:eastAsiaTheme="minorEastAsia" w:cstheme="minorBidi"/>
                <w:b/>
                <w:color w:val="000000" w:themeColor="text1"/>
              </w:rPr>
              <w:t>qué</w:t>
            </w:r>
            <w:r w:rsidRPr="1DE770DF">
              <w:rPr>
                <w:rFonts w:asciiTheme="minorHAnsi" w:hAnsiTheme="minorHAnsi" w:eastAsiaTheme="minorEastAsia" w:cstheme="minorBidi"/>
                <w:b/>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b/>
                <w:color w:val="000000" w:themeColor="text1"/>
              </w:rPr>
              <w:t>e</w:t>
            </w:r>
            <w:r w:rsidRPr="1DE770DF">
              <w:rPr>
                <w:rFonts w:asciiTheme="minorHAnsi" w:hAnsiTheme="minorHAnsi" w:eastAsiaTheme="minorEastAsia" w:cstheme="minorBidi"/>
                <w:b/>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shd w:val="clear" w:color="auto" w:fill="E2EFD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Formul</w:t>
            </w:r>
            <w:r w:rsidRPr="1DE770DF" w:rsidR="5703AA9C">
              <w:rPr>
                <w:rFonts w:asciiTheme="minorHAnsi" w:hAnsiTheme="minorHAnsi" w:eastAsiaTheme="minorEastAsia" w:cstheme="minorBidi"/>
                <w:b/>
                <w:color w:val="000000" w:themeColor="text1"/>
              </w:rPr>
              <w:t>é</w:t>
            </w:r>
            <w:r w:rsidRPr="1DE770DF">
              <w:rPr>
                <w:rFonts w:asciiTheme="minorHAnsi" w:hAnsiTheme="minorHAnsi" w:eastAsiaTheme="minorEastAsia" w:cstheme="minorBidi"/>
                <w:b/>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2EFD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Describ</w:t>
            </w:r>
            <w:r w:rsidRPr="1DE770DF" w:rsidR="5703AA9C">
              <w:rPr>
                <w:rFonts w:asciiTheme="minorHAnsi" w:hAnsiTheme="minorHAnsi" w:eastAsiaTheme="minorEastAsia" w:cstheme="minorBidi"/>
                <w:b/>
                <w:color w:val="000000" w:themeColor="text1"/>
              </w:rPr>
              <w:t>í</w:t>
            </w:r>
            <w:r w:rsidRPr="1DE770DF">
              <w:rPr>
                <w:rFonts w:asciiTheme="minorHAnsi" w:hAnsiTheme="minorHAnsi" w:eastAsiaTheme="minorEastAsia" w:cstheme="minorBidi"/>
                <w:b/>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shd w:val="clear" w:color="auto" w:fill="E2EFD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Establec</w:t>
            </w:r>
            <w:r w:rsidRPr="1DE770DF" w:rsidR="29F26AF6">
              <w:rPr>
                <w:rFonts w:asciiTheme="minorHAnsi" w:hAnsiTheme="minorHAnsi" w:eastAsiaTheme="minorEastAsia" w:cstheme="minorBidi"/>
                <w:b/>
                <w:color w:val="000000" w:themeColor="text1"/>
              </w:rPr>
              <w:t>í</w:t>
            </w:r>
            <w:r w:rsidRPr="1DE770DF">
              <w:rPr>
                <w:rFonts w:asciiTheme="minorHAnsi" w:hAnsiTheme="minorHAnsi" w:eastAsiaTheme="minorEastAsia" w:cstheme="minorBidi"/>
                <w:b/>
                <w:color w:val="000000" w:themeColor="text1"/>
              </w:rPr>
              <w:t xml:space="preserve"> un plan de trabajo con todas las actividades necesarias para cumplir </w:t>
            </w:r>
            <w:r w:rsidRPr="1DE770DF" w:rsidR="29F26AF6">
              <w:rPr>
                <w:rFonts w:asciiTheme="minorHAnsi" w:hAnsiTheme="minorHAnsi" w:eastAsiaTheme="minorEastAsia" w:cstheme="minorBidi"/>
                <w:b/>
                <w:color w:val="000000" w:themeColor="text1"/>
              </w:rPr>
              <w:t>mis</w:t>
            </w:r>
            <w:r w:rsidRPr="1DE770DF">
              <w:rPr>
                <w:rFonts w:asciiTheme="minorHAnsi" w:hAnsiTheme="minorHAnsi" w:eastAsiaTheme="minorEastAsia" w:cstheme="minorBidi"/>
                <w:b/>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shd w:val="clear" w:color="auto" w:fill="E2EFD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Describ</w:t>
            </w:r>
            <w:r w:rsidRPr="1DE770DF" w:rsidR="304C3129">
              <w:rPr>
                <w:rFonts w:asciiTheme="minorHAnsi" w:hAnsiTheme="minorHAnsi" w:eastAsiaTheme="minorEastAsia" w:cstheme="minorBidi"/>
                <w:b/>
                <w:color w:val="000000" w:themeColor="text1"/>
              </w:rPr>
              <w:t>í</w:t>
            </w:r>
            <w:r w:rsidRPr="1DE770DF">
              <w:rPr>
                <w:rFonts w:asciiTheme="minorHAnsi" w:hAnsiTheme="minorHAnsi" w:eastAsiaTheme="minorEastAsia" w:cstheme="minorBidi"/>
                <w:b/>
                <w:color w:val="000000" w:themeColor="text1"/>
              </w:rPr>
              <w:t xml:space="preserve"> evidencias que permiten dar cuenta del logro de las actividades de</w:t>
            </w:r>
            <w:r w:rsidRPr="1DE770DF" w:rsidR="304C3129">
              <w:rPr>
                <w:rFonts w:asciiTheme="minorHAnsi" w:hAnsiTheme="minorHAnsi" w:eastAsiaTheme="minorEastAsia" w:cstheme="minorBidi"/>
                <w:b/>
                <w:color w:val="000000" w:themeColor="text1"/>
              </w:rPr>
              <w:t xml:space="preserve"> mi</w:t>
            </w:r>
            <w:r w:rsidRPr="1DE770DF">
              <w:rPr>
                <w:rFonts w:asciiTheme="minorHAnsi" w:hAnsiTheme="minorHAnsi" w:eastAsiaTheme="minorEastAsia" w:cstheme="minorBidi"/>
                <w:b/>
                <w:color w:val="000000" w:themeColor="text1"/>
              </w:rPr>
              <w:t xml:space="preserve"> proyecto APT y justifi</w:t>
            </w:r>
            <w:r w:rsidRPr="1DE770DF" w:rsidR="304C3129">
              <w:rPr>
                <w:rFonts w:asciiTheme="minorHAnsi" w:hAnsiTheme="minorHAnsi" w:eastAsiaTheme="minorEastAsia" w:cstheme="minorBidi"/>
                <w:b/>
                <w:color w:val="000000" w:themeColor="text1"/>
              </w:rPr>
              <w:t>qué</w:t>
            </w:r>
            <w:r w:rsidRPr="1DE770DF">
              <w:rPr>
                <w:rFonts w:asciiTheme="minorHAnsi" w:hAnsiTheme="minorHAnsi" w:eastAsiaTheme="minorEastAsia" w:cstheme="minorBidi"/>
                <w:b/>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shd w:val="clear" w:color="auto" w:fill="E2EFD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shd w:val="clear" w:color="auto" w:fill="E2EFD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shd w:val="clear" w:color="auto" w:fill="E2EFD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lang w:eastAsia="es-CL"/>
              </w:rPr>
              <w:t>✔ 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shd w:val="clear" w:color="auto" w:fill="E2EFD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bCs w:val="0"/>
                <w:i w:val="0"/>
                <w:iCs w:val="0"/>
                <w:caps w:val="0"/>
                <w:smallCaps w:val="0"/>
                <w:color w:val="000000" w:themeColor="text1" w:themeTint="FF" w:themeShade="FF"/>
                <w:sz w:val="20"/>
                <w:szCs w:val="20"/>
                <w:lang w:val="es-ES"/>
              </w:rPr>
              <w:t>✔ 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Resultado de mi autoevaluación</w:t>
      </w:r>
    </w:p>
    <w:p>
      <w:r>
        <w:rPr>
          <w:rFonts w:ascii="Calibri" w:hAnsi="Calibri" w:eastAsia="Calibri" w:cs="Calibri"/>
          <w:b w:val="0"/>
          <w:sz w:val="22"/>
        </w:rPr>
        <w:t>Resultado ponderado: 96 % de logro. La evaluación es formativa y no lleva nota; sirve para identificar qué ajustar en la definición del proyecto.</w:t>
      </w:r>
    </w:p>
    <w:tbl>
      <w:tblPr>
        <w:tblStyle w:val="Cuadrculadetablaclara"/>
        <w:tblW w:type="auto" w:w="0"/>
        <w:tblLook w:firstColumn="1" w:firstRow="1" w:lastColumn="0" w:lastRow="0" w:noHBand="0" w:noVBand="1" w:val="04A0"/>
      </w:tblPr>
      <w:tblGrid>
        <w:gridCol w:w="3251"/>
        <w:gridCol w:w="3251"/>
        <w:gridCol w:w="3251"/>
        <w:gridCol w:w="3251"/>
      </w:tblGrid>
      <w:tr>
        <w:tc>
          <w:tcPr>
            <w:tcW w:type="dxa" w:w="3511"/>
            <w:shd w:val="clear" w:color="auto" w:fill="262626"/>
          </w:tcPr>
          <w:p>
            <w:r>
              <w:rPr>
                <w:rFonts w:ascii="Calibri" w:hAnsi="Calibri" w:eastAsia="Calibri" w:cs="Calibri"/>
                <w:b/>
                <w:color w:val="FFFFFF"/>
                <w:sz w:val="20"/>
              </w:rPr>
              <w:t>Indicador</w:t>
            </w:r>
          </w:p>
        </w:tc>
        <w:tc>
          <w:tcPr>
            <w:tcW w:type="dxa" w:w="2211"/>
            <w:shd w:val="clear" w:color="auto" w:fill="262626"/>
          </w:tcPr>
          <w:p>
            <w:r>
              <w:rPr>
                <w:rFonts w:ascii="Calibri" w:hAnsi="Calibri" w:eastAsia="Calibri" w:cs="Calibri"/>
                <w:b/>
                <w:color w:val="FFFFFF"/>
                <w:sz w:val="20"/>
              </w:rPr>
              <w:t>Nivel</w:t>
            </w:r>
          </w:p>
        </w:tc>
        <w:tc>
          <w:tcPr>
            <w:tcW w:type="dxa" w:w="5852"/>
            <w:shd w:val="clear" w:color="auto" w:fill="262626"/>
          </w:tcPr>
          <w:p>
            <w:r>
              <w:rPr>
                <w:rFonts w:ascii="Calibri" w:hAnsi="Calibri" w:eastAsia="Calibri" w:cs="Calibri"/>
                <w:b/>
                <w:color w:val="FFFFFF"/>
                <w:sz w:val="20"/>
              </w:rPr>
              <w:t>Justificación</w:t>
            </w:r>
          </w:p>
        </w:tc>
        <w:tc>
          <w:tcPr>
            <w:tcW w:type="dxa" w:w="1430"/>
            <w:shd w:val="clear" w:color="auto" w:fill="262626"/>
          </w:tcPr>
          <w:p>
            <w:r>
              <w:rPr>
                <w:rFonts w:ascii="Calibri" w:hAnsi="Calibri" w:eastAsia="Calibri" w:cs="Calibri"/>
                <w:b/>
                <w:color w:val="FFFFFF"/>
                <w:sz w:val="20"/>
              </w:rPr>
              <w:t>Aporte</w:t>
            </w:r>
          </w:p>
        </w:tc>
      </w:tr>
      <w:tr>
        <w:tc>
          <w:tcPr>
            <w:tcW w:type="dxa" w:w="3511"/>
          </w:tcPr>
          <w:p>
            <w:r>
              <w:rPr>
                <w:rFonts w:ascii="Calibri" w:hAnsi="Calibri" w:eastAsia="Calibri" w:cs="Calibri"/>
                <w:b w:val="0"/>
                <w:sz w:val="20"/>
              </w:rPr>
              <w:t>1. Descripción del proyecto y su relevancia</w:t>
            </w:r>
          </w:p>
        </w:tc>
        <w:tc>
          <w:tcPr>
            <w:tcW w:type="dxa" w:w="2211"/>
            <w:shd w:val="clear" w:color="auto" w:fill="E2EFDA"/>
          </w:tcPr>
          <w:p>
            <w:r>
              <w:rPr>
                <w:rFonts w:ascii="Calibri" w:hAnsi="Calibri" w:eastAsia="Calibri" w:cs="Calibri"/>
                <w:b/>
                <w:sz w:val="20"/>
              </w:rPr>
              <w:t>Completamente logrado</w:t>
            </w:r>
          </w:p>
        </w:tc>
        <w:tc>
          <w:tcPr>
            <w:tcW w:type="dxa" w:w="5852"/>
          </w:tcPr>
          <w:p>
            <w:r>
              <w:rPr>
                <w:rFonts w:ascii="Calibri" w:hAnsi="Calibri" w:eastAsia="Calibri" w:cs="Calibri"/>
                <w:b w:val="0"/>
                <w:sz w:val="20"/>
              </w:rPr>
              <w:t>La guía explica el DSS, el problema de la comisión en riesgo y su valor para el trabajo informático con datos.</w:t>
            </w:r>
          </w:p>
        </w:tc>
        <w:tc>
          <w:tcPr>
            <w:tcW w:type="dxa" w:w="1430"/>
          </w:tcPr>
          <w:p>
            <w:r>
              <w:rPr>
                <w:rFonts w:ascii="Calibri" w:hAnsi="Calibri" w:eastAsia="Calibri" w:cs="Calibri"/>
                <w:b w:val="0"/>
                <w:sz w:val="20"/>
              </w:rPr>
              <w:t>5 de 5</w:t>
            </w:r>
          </w:p>
        </w:tc>
      </w:tr>
      <w:tr>
        <w:tc>
          <w:tcPr>
            <w:tcW w:type="dxa" w:w="3511"/>
          </w:tcPr>
          <w:p>
            <w:r>
              <w:rPr>
                <w:rFonts w:ascii="Calibri" w:hAnsi="Calibri" w:eastAsia="Calibri" w:cs="Calibri"/>
                <w:b w:val="0"/>
                <w:sz w:val="20"/>
              </w:rPr>
              <w:t>2. Relación con las competencias del perfil de egreso</w:t>
            </w:r>
          </w:p>
        </w:tc>
        <w:tc>
          <w:tcPr>
            <w:tcW w:type="dxa" w:w="2211"/>
            <w:shd w:val="clear" w:color="auto" w:fill="E2EFDA"/>
          </w:tcPr>
          <w:p>
            <w:r>
              <w:rPr>
                <w:rFonts w:ascii="Calibri" w:hAnsi="Calibri" w:eastAsia="Calibri" w:cs="Calibri"/>
                <w:b/>
                <w:sz w:val="20"/>
              </w:rPr>
              <w:t>Completamente logrado</w:t>
            </w:r>
          </w:p>
        </w:tc>
        <w:tc>
          <w:tcPr>
            <w:tcW w:type="dxa" w:w="5852"/>
          </w:tcPr>
          <w:p>
            <w:r>
              <w:rPr>
                <w:rFonts w:ascii="Calibri" w:hAnsi="Calibri" w:eastAsia="Calibri" w:cs="Calibri"/>
                <w:b w:val="0"/>
                <w:sz w:val="20"/>
              </w:rPr>
              <w:t>Cada competencia se vincula con actividades concretas del plan y con el uso que se le da en el proyecto.</w:t>
            </w:r>
          </w:p>
        </w:tc>
        <w:tc>
          <w:tcPr>
            <w:tcW w:type="dxa" w:w="1430"/>
          </w:tcPr>
          <w:p>
            <w:r>
              <w:rPr>
                <w:rFonts w:ascii="Calibri" w:hAnsi="Calibri" w:eastAsia="Calibri" w:cs="Calibri"/>
                <w:b w:val="0"/>
                <w:sz w:val="20"/>
              </w:rPr>
              <w:t>5 de 5</w:t>
            </w:r>
          </w:p>
        </w:tc>
      </w:tr>
      <w:tr>
        <w:tc>
          <w:tcPr>
            <w:tcW w:type="dxa" w:w="3511"/>
          </w:tcPr>
          <w:p>
            <w:r>
              <w:rPr>
                <w:rFonts w:ascii="Calibri" w:hAnsi="Calibri" w:eastAsia="Calibri" w:cs="Calibri"/>
                <w:b w:val="0"/>
                <w:sz w:val="20"/>
              </w:rPr>
              <w:t>3. Relación con mis intereses profesionales</w:t>
            </w:r>
          </w:p>
        </w:tc>
        <w:tc>
          <w:tcPr>
            <w:tcW w:type="dxa" w:w="2211"/>
            <w:shd w:val="clear" w:color="auto" w:fill="E2EFDA"/>
          </w:tcPr>
          <w:p>
            <w:r>
              <w:rPr>
                <w:rFonts w:ascii="Calibri" w:hAnsi="Calibri" w:eastAsia="Calibri" w:cs="Calibri"/>
                <w:b/>
                <w:sz w:val="20"/>
              </w:rPr>
              <w:t>Completamente logrado</w:t>
            </w:r>
          </w:p>
        </w:tc>
        <w:tc>
          <w:tcPr>
            <w:tcW w:type="dxa" w:w="5852"/>
          </w:tcPr>
          <w:p>
            <w:r>
              <w:rPr>
                <w:rFonts w:ascii="Calibri" w:hAnsi="Calibri" w:eastAsia="Calibri" w:cs="Calibri"/>
                <w:b w:val="0"/>
                <w:sz w:val="20"/>
              </w:rPr>
              <w:t>Se explica el paso del desarrollo full stack a la ingeniería de datos y el modelado, con tres aspectos que el proyecto refleja.</w:t>
            </w:r>
          </w:p>
        </w:tc>
        <w:tc>
          <w:tcPr>
            <w:tcW w:type="dxa" w:w="1430"/>
          </w:tcPr>
          <w:p>
            <w:r>
              <w:rPr>
                <w:rFonts w:ascii="Calibri" w:hAnsi="Calibri" w:eastAsia="Calibri" w:cs="Calibri"/>
                <w:b w:val="0"/>
                <w:sz w:val="20"/>
              </w:rPr>
              <w:t>5 de 5</w:t>
            </w:r>
          </w:p>
        </w:tc>
      </w:tr>
      <w:tr>
        <w:tc>
          <w:tcPr>
            <w:tcW w:type="dxa" w:w="3511"/>
          </w:tcPr>
          <w:p>
            <w:r>
              <w:rPr>
                <w:rFonts w:ascii="Calibri" w:hAnsi="Calibri" w:eastAsia="Calibri" w:cs="Calibri"/>
                <w:b w:val="0"/>
                <w:sz w:val="20"/>
              </w:rPr>
              <w:t>4. Factibilidad dentro de la asignatura</w:t>
            </w:r>
          </w:p>
        </w:tc>
        <w:tc>
          <w:tcPr>
            <w:tcW w:type="dxa" w:w="2211"/>
            <w:shd w:val="clear" w:color="auto" w:fill="E2EFDA"/>
          </w:tcPr>
          <w:p>
            <w:r>
              <w:rPr>
                <w:rFonts w:ascii="Calibri" w:hAnsi="Calibri" w:eastAsia="Calibri" w:cs="Calibri"/>
                <w:b/>
                <w:sz w:val="20"/>
              </w:rPr>
              <w:t>Completamente logrado</w:t>
            </w:r>
          </w:p>
        </w:tc>
        <w:tc>
          <w:tcPr>
            <w:tcW w:type="dxa" w:w="5852"/>
          </w:tcPr>
          <w:p>
            <w:r>
              <w:rPr>
                <w:rFonts w:ascii="Calibri" w:hAnsi="Calibri" w:eastAsia="Calibri" w:cs="Calibri"/>
                <w:b w:val="0"/>
                <w:sz w:val="20"/>
              </w:rPr>
              <w:t>Se justifican el tiempo, los recursos de costo cero y el acceso a los datos, con seis riesgos y su mitigación.</w:t>
            </w:r>
          </w:p>
        </w:tc>
        <w:tc>
          <w:tcPr>
            <w:tcW w:type="dxa" w:w="1430"/>
          </w:tcPr>
          <w:p>
            <w:r>
              <w:rPr>
                <w:rFonts w:ascii="Calibri" w:hAnsi="Calibri" w:eastAsia="Calibri" w:cs="Calibri"/>
                <w:b w:val="0"/>
                <w:sz w:val="20"/>
              </w:rPr>
              <w:t>5 de 5</w:t>
            </w:r>
          </w:p>
        </w:tc>
      </w:tr>
      <w:tr>
        <w:tc>
          <w:tcPr>
            <w:tcW w:type="dxa" w:w="3511"/>
          </w:tcPr>
          <w:p>
            <w:r>
              <w:rPr>
                <w:rFonts w:ascii="Calibri" w:hAnsi="Calibri" w:eastAsia="Calibri" w:cs="Calibri"/>
                <w:b w:val="0"/>
                <w:sz w:val="20"/>
              </w:rPr>
              <w:t>5. Objetivos</w:t>
            </w:r>
          </w:p>
        </w:tc>
        <w:tc>
          <w:tcPr>
            <w:tcW w:type="dxa" w:w="2211"/>
            <w:shd w:val="clear" w:color="auto" w:fill="E2EFDA"/>
          </w:tcPr>
          <w:p>
            <w:r>
              <w:rPr>
                <w:rFonts w:ascii="Calibri" w:hAnsi="Calibri" w:eastAsia="Calibri" w:cs="Calibri"/>
                <w:b/>
                <w:sz w:val="20"/>
              </w:rPr>
              <w:t>Completamente logrado</w:t>
            </w:r>
          </w:p>
        </w:tc>
        <w:tc>
          <w:tcPr>
            <w:tcW w:type="dxa" w:w="5852"/>
          </w:tcPr>
          <w:p>
            <w:r>
              <w:rPr>
                <w:rFonts w:ascii="Calibri" w:hAnsi="Calibri" w:eastAsia="Calibri" w:cs="Calibri"/>
                <w:b w:val="0"/>
                <w:sz w:val="20"/>
              </w:rPr>
              <w:t>Un objetivo general y objetivos específicos ligados a las cuatro etapas y a sus evidencias.</w:t>
            </w:r>
          </w:p>
        </w:tc>
        <w:tc>
          <w:tcPr>
            <w:tcW w:type="dxa" w:w="1430"/>
          </w:tcPr>
          <w:p>
            <w:r>
              <w:rPr>
                <w:rFonts w:ascii="Calibri" w:hAnsi="Calibri" w:eastAsia="Calibri" w:cs="Calibri"/>
                <w:b w:val="0"/>
                <w:sz w:val="20"/>
              </w:rPr>
              <w:t>10 de 10</w:t>
            </w:r>
          </w:p>
        </w:tc>
      </w:tr>
      <w:tr>
        <w:tc>
          <w:tcPr>
            <w:tcW w:type="dxa" w:w="3511"/>
          </w:tcPr>
          <w:p>
            <w:r>
              <w:rPr>
                <w:rFonts w:ascii="Calibri" w:hAnsi="Calibri" w:eastAsia="Calibri" w:cs="Calibri"/>
                <w:b w:val="0"/>
                <w:sz w:val="20"/>
              </w:rPr>
              <w:t>6. Metodología de trabajo</w:t>
            </w:r>
          </w:p>
        </w:tc>
        <w:tc>
          <w:tcPr>
            <w:tcW w:type="dxa" w:w="2211"/>
            <w:shd w:val="clear" w:color="auto" w:fill="E2EFDA"/>
          </w:tcPr>
          <w:p>
            <w:r>
              <w:rPr>
                <w:rFonts w:ascii="Calibri" w:hAnsi="Calibri" w:eastAsia="Calibri" w:cs="Calibri"/>
                <w:b/>
                <w:sz w:val="20"/>
              </w:rPr>
              <w:t>Completamente logrado</w:t>
            </w:r>
          </w:p>
        </w:tc>
        <w:tc>
          <w:tcPr>
            <w:tcW w:type="dxa" w:w="5852"/>
          </w:tcPr>
          <w:p>
            <w:r>
              <w:rPr>
                <w:rFonts w:ascii="Calibri" w:hAnsi="Calibri" w:eastAsia="Calibri" w:cs="Calibri"/>
                <w:b w:val="0"/>
                <w:sz w:val="20"/>
              </w:rPr>
              <w:t>CRISP DM articulado con ciclos de dos semanas y ubicado en las semanas del semestre.</w:t>
            </w:r>
          </w:p>
        </w:tc>
        <w:tc>
          <w:tcPr>
            <w:tcW w:type="dxa" w:w="1430"/>
          </w:tcPr>
          <w:p>
            <w:r>
              <w:rPr>
                <w:rFonts w:ascii="Calibri" w:hAnsi="Calibri" w:eastAsia="Calibri" w:cs="Calibri"/>
                <w:b w:val="0"/>
                <w:sz w:val="20"/>
              </w:rPr>
              <w:t>10 de 10</w:t>
            </w:r>
          </w:p>
        </w:tc>
      </w:tr>
      <w:tr>
        <w:tc>
          <w:tcPr>
            <w:tcW w:type="dxa" w:w="3511"/>
          </w:tcPr>
          <w:p>
            <w:r>
              <w:rPr>
                <w:rFonts w:ascii="Calibri" w:hAnsi="Calibri" w:eastAsia="Calibri" w:cs="Calibri"/>
                <w:b w:val="0"/>
                <w:sz w:val="20"/>
              </w:rPr>
              <w:t>7. Plan de trabajo</w:t>
            </w:r>
          </w:p>
        </w:tc>
        <w:tc>
          <w:tcPr>
            <w:tcW w:type="dxa" w:w="2211"/>
            <w:shd w:val="clear" w:color="auto" w:fill="E2EFDA"/>
          </w:tcPr>
          <w:p>
            <w:r>
              <w:rPr>
                <w:rFonts w:ascii="Calibri" w:hAnsi="Calibri" w:eastAsia="Calibri" w:cs="Calibri"/>
                <w:b/>
                <w:sz w:val="20"/>
              </w:rPr>
              <w:t>Completamente logrado</w:t>
            </w:r>
          </w:p>
        </w:tc>
        <w:tc>
          <w:tcPr>
            <w:tcW w:type="dxa" w:w="5852"/>
          </w:tcPr>
          <w:p>
            <w:r>
              <w:rPr>
                <w:rFonts w:ascii="Calibri" w:hAnsi="Calibri" w:eastAsia="Calibri" w:cs="Calibri"/>
                <w:b w:val="0"/>
                <w:sz w:val="20"/>
              </w:rPr>
              <w:t>Catorce actividades con recursos, duración, responsables, facilitadores y dificultades, más la carta Gantt.</w:t>
            </w:r>
          </w:p>
        </w:tc>
        <w:tc>
          <w:tcPr>
            <w:tcW w:type="dxa" w:w="1430"/>
          </w:tcPr>
          <w:p>
            <w:r>
              <w:rPr>
                <w:rFonts w:ascii="Calibri" w:hAnsi="Calibri" w:eastAsia="Calibri" w:cs="Calibri"/>
                <w:b w:val="0"/>
                <w:sz w:val="20"/>
              </w:rPr>
              <w:t>10 de 10</w:t>
            </w:r>
          </w:p>
        </w:tc>
      </w:tr>
      <w:tr>
        <w:tc>
          <w:tcPr>
            <w:tcW w:type="dxa" w:w="3511"/>
          </w:tcPr>
          <w:p>
            <w:r>
              <w:rPr>
                <w:rFonts w:ascii="Calibri" w:hAnsi="Calibri" w:eastAsia="Calibri" w:cs="Calibri"/>
                <w:b w:val="0"/>
                <w:sz w:val="20"/>
              </w:rPr>
              <w:t>8. Evidencias</w:t>
            </w:r>
          </w:p>
        </w:tc>
        <w:tc>
          <w:tcPr>
            <w:tcW w:type="dxa" w:w="2211"/>
            <w:shd w:val="clear" w:color="auto" w:fill="E2EFDA"/>
          </w:tcPr>
          <w:p>
            <w:r>
              <w:rPr>
                <w:rFonts w:ascii="Calibri" w:hAnsi="Calibri" w:eastAsia="Calibri" w:cs="Calibri"/>
                <w:b/>
                <w:sz w:val="20"/>
              </w:rPr>
              <w:t>Completamente logrado</w:t>
            </w:r>
          </w:p>
        </w:tc>
        <w:tc>
          <w:tcPr>
            <w:tcW w:type="dxa" w:w="5852"/>
          </w:tcPr>
          <w:p>
            <w:r>
              <w:rPr>
                <w:rFonts w:ascii="Calibri" w:hAnsi="Calibri" w:eastAsia="Calibri" w:cs="Calibri"/>
                <w:b w:val="0"/>
                <w:sz w:val="20"/>
              </w:rPr>
              <w:t>Evidencias de avance y final, cada una con lo que acredita y el objetivo específico al que responde.</w:t>
            </w:r>
          </w:p>
        </w:tc>
        <w:tc>
          <w:tcPr>
            <w:tcW w:type="dxa" w:w="1430"/>
          </w:tcPr>
          <w:p>
            <w:r>
              <w:rPr>
                <w:rFonts w:ascii="Calibri" w:hAnsi="Calibri" w:eastAsia="Calibri" w:cs="Calibri"/>
                <w:b w:val="0"/>
                <w:sz w:val="20"/>
              </w:rPr>
              <w:t>10 de 10</w:t>
            </w:r>
          </w:p>
        </w:tc>
      </w:tr>
      <w:tr>
        <w:tc>
          <w:tcPr>
            <w:tcW w:type="dxa" w:w="3511"/>
          </w:tcPr>
          <w:p>
            <w:r>
              <w:rPr>
                <w:rFonts w:ascii="Calibri" w:hAnsi="Calibri" w:eastAsia="Calibri" w:cs="Calibri"/>
                <w:b w:val="0"/>
                <w:sz w:val="20"/>
              </w:rPr>
              <w:t>9. Redacción, ortografía, citas y referencias</w:t>
            </w:r>
          </w:p>
        </w:tc>
        <w:tc>
          <w:tcPr>
            <w:tcW w:type="dxa" w:w="2211"/>
          </w:tcPr>
          <w:p>
            <w:r>
              <w:rPr>
                <w:rFonts w:ascii="Calibri" w:hAnsi="Calibri" w:eastAsia="Calibri" w:cs="Calibri"/>
                <w:b/>
                <w:sz w:val="20"/>
              </w:rPr>
              <w:t>Logrado</w:t>
            </w:r>
          </w:p>
        </w:tc>
        <w:tc>
          <w:tcPr>
            <w:tcW w:type="dxa" w:w="5852"/>
          </w:tcPr>
          <w:p>
            <w:r>
              <w:rPr>
                <w:rFonts w:ascii="Calibri" w:hAnsi="Calibri" w:eastAsia="Calibri" w:cs="Calibri"/>
                <w:b w:val="0"/>
                <w:sz w:val="20"/>
              </w:rPr>
              <w:t>La redacción es cuidada, pero la guía 1.5 no incluye citas ni bibliografía y tiene errores menores de concordancia.</w:t>
            </w:r>
          </w:p>
        </w:tc>
        <w:tc>
          <w:tcPr>
            <w:tcW w:type="dxa" w:w="1430"/>
          </w:tcPr>
          <w:p>
            <w:r>
              <w:rPr>
                <w:rFonts w:ascii="Calibri" w:hAnsi="Calibri" w:eastAsia="Calibri" w:cs="Calibri"/>
                <w:b w:val="0"/>
                <w:sz w:val="20"/>
              </w:rPr>
              <w:t>3 de 5</w:t>
            </w:r>
          </w:p>
        </w:tc>
      </w:tr>
      <w:tr>
        <w:tc>
          <w:tcPr>
            <w:tcW w:type="dxa" w:w="3511"/>
          </w:tcPr>
          <w:p>
            <w:r>
              <w:rPr>
                <w:rFonts w:ascii="Calibri" w:hAnsi="Calibri" w:eastAsia="Calibri" w:cs="Calibri"/>
                <w:b w:val="0"/>
                <w:sz w:val="20"/>
              </w:rPr>
              <w:t>10. Formato del informe</w:t>
            </w:r>
          </w:p>
        </w:tc>
        <w:tc>
          <w:tcPr>
            <w:tcW w:type="dxa" w:w="2211"/>
          </w:tcPr>
          <w:p>
            <w:r>
              <w:rPr>
                <w:rFonts w:ascii="Calibri" w:hAnsi="Calibri" w:eastAsia="Calibri" w:cs="Calibri"/>
                <w:b/>
                <w:sz w:val="20"/>
              </w:rPr>
              <w:t>Logrado</w:t>
            </w:r>
          </w:p>
        </w:tc>
        <w:tc>
          <w:tcPr>
            <w:tcW w:type="dxa" w:w="5852"/>
          </w:tcPr>
          <w:p>
            <w:r>
              <w:rPr>
                <w:rFonts w:ascii="Calibri" w:hAnsi="Calibri" w:eastAsia="Calibri" w:cs="Calibri"/>
                <w:b w:val="0"/>
                <w:sz w:val="20"/>
              </w:rPr>
              <w:t>El informe 1.4 tiene portada, índice, abstract, desarrollo, conclusiones y bibliografía, pero no numera las páginas y usa Cambria.</w:t>
            </w:r>
          </w:p>
        </w:tc>
        <w:tc>
          <w:tcPr>
            <w:tcW w:type="dxa" w:w="1430"/>
          </w:tcPr>
          <w:p>
            <w:r>
              <w:rPr>
                <w:rFonts w:ascii="Calibri" w:hAnsi="Calibri" w:eastAsia="Calibri" w:cs="Calibri"/>
                <w:b w:val="0"/>
                <w:sz w:val="20"/>
              </w:rPr>
              <w:t>3 de 5</w:t>
            </w:r>
          </w:p>
        </w:tc>
      </w:tr>
      <w:tr>
        <w:tc>
          <w:tcPr>
            <w:tcW w:type="dxa" w:w="3511"/>
          </w:tcPr>
          <w:p>
            <w:r>
              <w:rPr>
                <w:rFonts w:ascii="Calibri" w:hAnsi="Calibri" w:eastAsia="Calibri" w:cs="Calibri"/>
                <w:b w:val="0"/>
                <w:sz w:val="20"/>
              </w:rPr>
              <w:t>11. Indicadores de calidad disciplinarios</w:t>
            </w:r>
          </w:p>
        </w:tc>
        <w:tc>
          <w:tcPr>
            <w:tcW w:type="dxa" w:w="2211"/>
            <w:shd w:val="clear" w:color="auto" w:fill="E2EFDA"/>
          </w:tcPr>
          <w:p>
            <w:r>
              <w:rPr>
                <w:rFonts w:ascii="Calibri" w:hAnsi="Calibri" w:eastAsia="Calibri" w:cs="Calibri"/>
                <w:b/>
                <w:sz w:val="20"/>
              </w:rPr>
              <w:t>Completamente logrado</w:t>
            </w:r>
          </w:p>
        </w:tc>
        <w:tc>
          <w:tcPr>
            <w:tcW w:type="dxa" w:w="5852"/>
          </w:tcPr>
          <w:p>
            <w:r>
              <w:rPr>
                <w:rFonts w:ascii="Calibri" w:hAnsi="Calibri" w:eastAsia="Calibri" w:cs="Calibri"/>
                <w:b w:val="0"/>
                <w:sz w:val="20"/>
              </w:rPr>
              <w:t>El diseño cubre los diez indicadores: pruebas de validación, planificación y control, modelo de datos y solución de software.</w:t>
            </w:r>
          </w:p>
        </w:tc>
        <w:tc>
          <w:tcPr>
            <w:tcW w:type="dxa" w:w="1430"/>
          </w:tcPr>
          <w:p>
            <w:r>
              <w:rPr>
                <w:rFonts w:ascii="Calibri" w:hAnsi="Calibri" w:eastAsia="Calibri" w:cs="Calibri"/>
                <w:b w:val="0"/>
                <w:sz w:val="20"/>
              </w:rPr>
              <w:t>20 de 20</w:t>
            </w:r>
          </w:p>
        </w:tc>
      </w:tr>
      <w:tr>
        <w:tc>
          <w:tcPr>
            <w:tcW w:type="dxa" w:w="3511"/>
          </w:tcPr>
          <w:p>
            <w:r>
              <w:rPr>
                <w:rFonts w:ascii="Calibri" w:hAnsi="Calibri" w:eastAsia="Calibri" w:cs="Calibri"/>
                <w:b w:val="0"/>
                <w:sz w:val="20"/>
              </w:rPr>
              <w:t>12. Comunicación escrita en inglés</w:t>
            </w:r>
          </w:p>
        </w:tc>
        <w:tc>
          <w:tcPr>
            <w:tcW w:type="dxa" w:w="2211"/>
            <w:shd w:val="clear" w:color="auto" w:fill="E2EFDA"/>
          </w:tcPr>
          <w:p>
            <w:r>
              <w:rPr>
                <w:rFonts w:ascii="Calibri" w:hAnsi="Calibri" w:eastAsia="Calibri" w:cs="Calibri"/>
                <w:b/>
                <w:sz w:val="20"/>
              </w:rPr>
              <w:t>Completamente logrado</w:t>
            </w:r>
          </w:p>
        </w:tc>
        <w:tc>
          <w:tcPr>
            <w:tcW w:type="dxa" w:w="5852"/>
          </w:tcPr>
          <w:p>
            <w:r>
              <w:rPr>
                <w:rFonts w:ascii="Calibri" w:hAnsi="Calibri" w:eastAsia="Calibri" w:cs="Calibri"/>
                <w:b w:val="0"/>
                <w:sz w:val="20"/>
              </w:rPr>
              <w:t>El abstract y las conclusiones y reflexiones individuales del informe 1.4 están redactados en inglés.</w:t>
            </w:r>
          </w:p>
        </w:tc>
        <w:tc>
          <w:tcPr>
            <w:tcW w:type="dxa" w:w="1430"/>
          </w:tcPr>
          <w:p>
            <w:r>
              <w:rPr>
                <w:rFonts w:ascii="Calibri" w:hAnsi="Calibri" w:eastAsia="Calibri" w:cs="Calibri"/>
                <w:b w:val="0"/>
                <w:sz w:val="20"/>
              </w:rPr>
              <w:t>10 de 10</w:t>
            </w:r>
          </w:p>
        </w:tc>
      </w:tr>
      <w:tr>
        <w:tc>
          <w:tcPr>
            <w:tcW w:type="dxa" w:w="3511"/>
          </w:tcPr>
          <w:p>
            <w:r>
              <w:rPr>
                <w:rFonts w:ascii="Calibri" w:hAnsi="Calibri" w:eastAsia="Calibri" w:cs="Calibri"/>
                <w:b/>
                <w:sz w:val="20"/>
              </w:rPr>
              <w:t>Total</w:t>
            </w:r>
          </w:p>
        </w:tc>
        <w:tc>
          <w:tcPr>
            <w:tcW w:type="dxa" w:w="2211"/>
          </w:tcPr>
          <w:p>
            <w:r>
              <w:rPr>
                <w:rFonts w:ascii="Calibri" w:hAnsi="Calibri" w:eastAsia="Calibri" w:cs="Calibri"/>
                <w:b w:val="0"/>
                <w:sz w:val="20"/>
              </w:rPr>
            </w:r>
          </w:p>
        </w:tc>
        <w:tc>
          <w:tcPr>
            <w:tcW w:type="dxa" w:w="5852"/>
          </w:tcPr>
          <w:p>
            <w:r>
              <w:rPr>
                <w:rFonts w:ascii="Calibri" w:hAnsi="Calibri" w:eastAsia="Calibri" w:cs="Calibri"/>
                <w:b w:val="0"/>
                <w:sz w:val="20"/>
              </w:rPr>
            </w:r>
          </w:p>
        </w:tc>
        <w:tc>
          <w:tcPr>
            <w:tcW w:type="dxa" w:w="1430"/>
          </w:tcPr>
          <w:p>
            <w:r>
              <w:rPr>
                <w:rFonts w:ascii="Calibri" w:hAnsi="Calibri" w:eastAsia="Calibri" w:cs="Calibri"/>
                <w:b/>
                <w:sz w:val="20"/>
              </w:rPr>
              <w:t>96 %</w:t>
            </w:r>
          </w:p>
        </w:tc>
      </w:tr>
    </w:tbl>
    <w:p/>
    <w:p>
      <w:pPr>
        <w:keepNext/>
      </w:pPr>
      <w:r>
        <w:rPr>
          <w:rFonts w:ascii="Calibri" w:hAnsi="Calibri" w:eastAsia="Calibri" w:cs="Calibri"/>
          <w:b/>
          <w:sz w:val="22"/>
        </w:rPr>
        <w:t>Fortalezas</w:t>
      </w:r>
    </w:p>
    <w:p>
      <w:pPr>
        <w:pStyle w:val="Prrafodelista"/>
      </w:pPr>
      <w:r>
        <w:rPr>
          <w:rFonts w:ascii="Calibri" w:hAnsi="Calibri" w:eastAsia="Calibri" w:cs="Calibri"/>
          <w:b w:val="0"/>
          <w:sz w:val="22"/>
        </w:rPr>
        <w:t>• El problema está planteado en términos de negocio medibles: la comisión recurrente que se pierde cuando una póliza no se renueva.</w:t>
      </w:r>
    </w:p>
    <w:p>
      <w:pPr>
        <w:pStyle w:val="Prrafodelista"/>
      </w:pPr>
      <w:r>
        <w:rPr>
          <w:rFonts w:ascii="Calibri" w:hAnsi="Calibri" w:eastAsia="Calibri" w:cs="Calibri"/>
          <w:b w:val="0"/>
          <w:sz w:val="22"/>
        </w:rPr>
        <w:t>• La factibilidad no es solo declarativa: cada riesgo tiene su mitigación, incluido el plan alternativo con datos sintéticos si los siniestros llegan sin detalle.</w:t>
      </w:r>
    </w:p>
    <w:p>
      <w:pPr>
        <w:pStyle w:val="Prrafodelista"/>
      </w:pPr>
      <w:r>
        <w:rPr>
          <w:rFonts w:ascii="Calibri" w:hAnsi="Calibri" w:eastAsia="Calibri" w:cs="Calibri"/>
          <w:b w:val="0"/>
          <w:sz w:val="22"/>
        </w:rPr>
        <w:t>• El plan es trazable: cada actividad tiene responsable, semanas y una evidencia que responde a un objetivo específico. Parte del diseño ya se comprobó, porque la interfaz del tablero está construida, probada y publicada.</w:t>
      </w:r>
    </w:p>
    <w:p>
      <w:pPr>
        <w:keepNext/>
      </w:pPr>
      <w:r>
        <w:rPr>
          <w:rFonts w:ascii="Calibri" w:hAnsi="Calibri" w:eastAsia="Calibri" w:cs="Calibri"/>
          <w:b/>
          <w:sz w:val="22"/>
        </w:rPr>
        <w:t>Aspectos por mejorar</w:t>
      </w:r>
    </w:p>
    <w:p>
      <w:pPr>
        <w:pStyle w:val="Prrafodelista"/>
      </w:pPr>
      <w:r>
        <w:rPr>
          <w:rFonts w:ascii="Calibri" w:hAnsi="Calibri" w:eastAsia="Calibri" w:cs="Calibri"/>
          <w:b w:val="0"/>
          <w:sz w:val="22"/>
        </w:rPr>
        <w:t>• Agregar bibliografía y citas a la guía 1.5 (CRISP DM, scikit learn, Ley 21.719 y precision@k), que hoy solo aparecen en el informe 1.4.</w:t>
      </w:r>
    </w:p>
    <w:p>
      <w:pPr>
        <w:pStyle w:val="Prrafodelista"/>
      </w:pPr>
      <w:r>
        <w:rPr>
          <w:rFonts w:ascii="Calibri" w:hAnsi="Calibri" w:eastAsia="Calibri" w:cs="Calibri"/>
          <w:b w:val="0"/>
          <w:sz w:val="22"/>
        </w:rPr>
        <w:t>• Numerar las páginas del informe 1.4 y usar Arial, Verdana o Calibri, como pide el formato de la escuela.</w:t>
      </w:r>
    </w:p>
    <w:p>
      <w:pPr>
        <w:pStyle w:val="Prrafodelista"/>
      </w:pPr>
      <w:r>
        <w:rPr>
          <w:rFonts w:ascii="Calibri" w:hAnsi="Calibri" w:eastAsia="Calibri" w:cs="Calibri"/>
          <w:b w:val="0"/>
          <w:sz w:val="22"/>
        </w:rPr>
        <w:t>• Corregir la tabla de intereses del informe 1.4: los roles de Guillermo Mora y José Montesino quedaron intercambiados respecto de la guía.</w:t>
      </w:r>
    </w:p>
    <w:p>
      <w:pPr>
        <w:pStyle w:val="Prrafodelista"/>
      </w:pPr>
      <w:r>
        <w:rPr>
          <w:rFonts w:ascii="Calibri" w:hAnsi="Calibri" w:eastAsia="Calibri" w:cs="Calibri"/>
          <w:b w:val="0"/>
          <w:sz w:val="22"/>
        </w:rPr>
        <w:t>• Alinear las tecnologías declaradas con las implementadas: la guía y el informe mencionan Streamlit y Plotly, y la aplicación se construyó con Next.js y Recharts.</w:t>
      </w:r>
    </w:p>
    <w:p>
      <w:pPr>
        <w:pStyle w:val="Prrafodelista"/>
      </w:pPr>
      <w:r>
        <w:rPr>
          <w:rFonts w:ascii="Calibri" w:hAnsi="Calibri" w:eastAsia="Calibri" w:cs="Calibri"/>
          <w:b w:val="0"/>
          <w:sz w:val="22"/>
        </w:rPr>
        <w:t>• Revisar concordancias como “nos desempeñamos como desarrollador” y el cambio de persona en “antes de comprometerme”.</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