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1152525</wp:posOffset>
            </wp:positionH>
            <wp:positionV relativeFrom="paragraph">
              <wp:posOffset>635</wp:posOffset>
            </wp:positionV>
            <wp:extent cx="2435225" cy="914400"/>
            <wp:effectExtent b="0" l="0" r="0" t="0"/>
            <wp:wrapSquare wrapText="bothSides" distB="0" distT="0" distL="0" distR="0"/>
            <wp:docPr id="3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435225" cy="9144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after="280" w:before="280" w:line="240" w:lineRule="auto"/>
        <w:ind w:left="720" w:firstLine="720"/>
        <w:rPr>
          <w:b w:val="1"/>
          <w:sz w:val="36"/>
          <w:szCs w:val="36"/>
        </w:rPr>
      </w:pPr>
      <w:r w:rsidDel="00000000" w:rsidR="00000000" w:rsidRPr="00000000">
        <w:rPr>
          <w:b w:val="1"/>
          <w:sz w:val="36"/>
          <w:szCs w:val="36"/>
          <w:rtl w:val="0"/>
        </w:rPr>
        <w:t xml:space="preserve">ML Challenge 2 Milestone 2 Report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16" w:right="0" w:firstLine="707.9999999999998"/>
        <w:jc w:val="left"/>
        <w:rPr>
          <w:b w:val="1"/>
        </w:rPr>
      </w:pPr>
      <w:r w:rsidDel="00000000" w:rsidR="00000000" w:rsidRPr="00000000">
        <w:rPr>
          <w:rtl w:val="0"/>
        </w:rPr>
      </w:r>
    </w:p>
    <w:p w:rsidR="00000000" w:rsidDel="00000000" w:rsidP="00000000" w:rsidRDefault="00000000" w:rsidRPr="00000000" w14:paraId="00000007">
      <w:pPr>
        <w:spacing w:after="280" w:before="280" w:line="240" w:lineRule="auto"/>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2575701" cy="2615327"/>
            <wp:effectExtent b="0" l="0" r="0" t="0"/>
            <wp:docPr id="4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75701" cy="261532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80" w:before="280" w:line="240" w:lineRule="auto"/>
        <w:rPr/>
      </w:pPr>
      <w:r w:rsidDel="00000000" w:rsidR="00000000" w:rsidRPr="00000000">
        <w:rPr>
          <w:rtl w:val="0"/>
        </w:rPr>
      </w:r>
    </w:p>
    <w:p w:rsidR="00000000" w:rsidDel="00000000" w:rsidP="00000000" w:rsidRDefault="00000000" w:rsidRPr="00000000" w14:paraId="00000009">
      <w:pPr>
        <w:spacing w:after="280" w:before="280" w:line="240" w:lineRule="auto"/>
        <w:rPr/>
      </w:pPr>
      <w:r w:rsidDel="00000000" w:rsidR="00000000" w:rsidRPr="00000000">
        <w:rPr>
          <w:rtl w:val="0"/>
        </w:rPr>
        <w:t xml:space="preserve">Aleix Ramon Brugada Iglesias, 41655484T</w:t>
      </w:r>
    </w:p>
    <w:p w:rsidR="00000000" w:rsidDel="00000000" w:rsidP="00000000" w:rsidRDefault="00000000" w:rsidRPr="00000000" w14:paraId="0000000A">
      <w:pPr>
        <w:spacing w:after="280" w:before="280" w:line="240" w:lineRule="auto"/>
        <w:rPr/>
      </w:pPr>
      <w:r w:rsidDel="00000000" w:rsidR="00000000" w:rsidRPr="00000000">
        <w:rPr>
          <w:rtl w:val="0"/>
        </w:rPr>
        <w:t xml:space="preserve">Adrián Redondo Fernández, 48181224L</w:t>
      </w:r>
    </w:p>
    <w:p w:rsidR="00000000" w:rsidDel="00000000" w:rsidP="00000000" w:rsidRDefault="00000000" w:rsidRPr="00000000" w14:paraId="0000000B">
      <w:pPr>
        <w:spacing w:after="280" w:before="280" w:line="240" w:lineRule="auto"/>
        <w:rPr/>
      </w:pPr>
      <w:r w:rsidDel="00000000" w:rsidR="00000000" w:rsidRPr="00000000">
        <w:rPr>
          <w:rtl w:val="0"/>
        </w:rPr>
        <w:t xml:space="preserve">María Fernández Barrera, 46837717B</w:t>
      </w:r>
    </w:p>
    <w:p w:rsidR="00000000" w:rsidDel="00000000" w:rsidP="00000000" w:rsidRDefault="00000000" w:rsidRPr="00000000" w14:paraId="0000000C">
      <w:pPr>
        <w:spacing w:after="280" w:before="280" w:line="240" w:lineRule="auto"/>
        <w:rPr/>
      </w:pPr>
      <w:r w:rsidDel="00000000" w:rsidR="00000000" w:rsidRPr="00000000">
        <w:rPr>
          <w:rtl w:val="0"/>
        </w:rPr>
        <w:t xml:space="preserve">Soufiane Aatab, X6132088N</w:t>
      </w:r>
    </w:p>
    <w:p w:rsidR="00000000" w:rsidDel="00000000" w:rsidP="00000000" w:rsidRDefault="00000000" w:rsidRPr="00000000" w14:paraId="0000000D">
      <w:pPr>
        <w:spacing w:after="280" w:before="280" w:line="240" w:lineRule="auto"/>
        <w:rPr/>
      </w:pPr>
      <w:r w:rsidDel="00000000" w:rsidR="00000000" w:rsidRPr="00000000">
        <w:rPr>
          <w:rtl w:val="0"/>
        </w:rPr>
        <w:t xml:space="preserve">Júlia Casanovas i Saumell, 26071980P</w:t>
      </w:r>
    </w:p>
    <w:p w:rsidR="00000000" w:rsidDel="00000000" w:rsidP="00000000" w:rsidRDefault="00000000" w:rsidRPr="00000000" w14:paraId="0000000E">
      <w:pPr>
        <w:spacing w:after="280" w:before="280" w:line="240" w:lineRule="auto"/>
        <w:rPr/>
      </w:pPr>
      <w:r w:rsidDel="00000000" w:rsidR="00000000" w:rsidRPr="00000000">
        <w:rPr>
          <w:rtl w:val="0"/>
        </w:rPr>
      </w:r>
    </w:p>
    <w:p w:rsidR="00000000" w:rsidDel="00000000" w:rsidP="00000000" w:rsidRDefault="00000000" w:rsidRPr="00000000" w14:paraId="0000000F">
      <w:pPr>
        <w:spacing w:after="280" w:before="280" w:line="240" w:lineRule="auto"/>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0" w:line="240" w:lineRule="auto"/>
        <w:ind w:left="720" w:hanging="360"/>
        <w:jc w:val="center"/>
        <w:rPr>
          <w:color w:val="1d2125"/>
          <w:sz w:val="23"/>
          <w:szCs w:val="23"/>
        </w:rPr>
      </w:pPr>
      <w:r w:rsidDel="00000000" w:rsidR="00000000" w:rsidRPr="00000000">
        <w:rPr>
          <w:color w:val="1d2125"/>
          <w:sz w:val="23"/>
          <w:szCs w:val="23"/>
          <w:rtl w:val="0"/>
        </w:rPr>
        <w:t xml:space="preserve">24-25 MACHINE LEARNING (150400)</w:t>
      </w:r>
      <w:r w:rsidDel="00000000" w:rsidR="00000000" w:rsidRPr="00000000">
        <w:rPr>
          <w:rtl w:val="0"/>
        </w:rPr>
      </w:r>
    </w:p>
    <w:p w:rsidR="00000000" w:rsidDel="00000000" w:rsidP="00000000" w:rsidRDefault="00000000" w:rsidRPr="00000000" w14:paraId="00000011">
      <w:pPr>
        <w:spacing w:after="280" w:before="280" w:line="240" w:lineRule="auto"/>
        <w:jc w:val="center"/>
        <w:rPr/>
      </w:pPr>
      <w:r w:rsidDel="00000000" w:rsidR="00000000" w:rsidRPr="00000000">
        <w:rPr>
          <w:sz w:val="28"/>
          <w:szCs w:val="28"/>
          <w:rtl w:val="0"/>
        </w:rPr>
        <w:t xml:space="preserve">16/05/2025</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1. Introduction</w:t>
      </w:r>
    </w:p>
    <w:p w:rsidR="00000000" w:rsidDel="00000000" w:rsidP="00000000" w:rsidRDefault="00000000" w:rsidRPr="00000000" w14:paraId="00000014">
      <w:pPr>
        <w:rPr/>
      </w:pPr>
      <w:r w:rsidDel="00000000" w:rsidR="00000000" w:rsidRPr="00000000">
        <w:rPr>
          <w:rtl w:val="0"/>
        </w:rPr>
        <w:t xml:space="preserve">In Milestone 2, we delve deeper into the radiological annotations in file ‘MetadatabyNoduleMaxVoting.xlsx’ to uncover underlying structure in lung nodule annotations. Building on our initial data preparation, we leverage unsupervised learning to group nodules by texture, shape, and margin characteristics, aiming to highlight patterns that may correlate with malignancy.</w:t>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1.1 Goals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 exploratory clustering to identify natural groupings in </w:t>
      </w:r>
      <w:r w:rsidDel="00000000" w:rsidR="00000000" w:rsidRPr="00000000">
        <w:rPr>
          <w:rtl w:val="0"/>
        </w:rPr>
        <w:t xml:space="preserve">the radiological annotations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feature data.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statistical tests to determine which features drive cluster separation.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clustering stability across K-Means and hierarchical methods.</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2. Methodology</w:t>
      </w:r>
    </w:p>
    <w:p w:rsidR="00000000" w:rsidDel="00000000" w:rsidP="00000000" w:rsidRDefault="00000000" w:rsidRPr="00000000" w14:paraId="00000018">
      <w:pPr>
        <w:rPr/>
      </w:pPr>
      <w:r w:rsidDel="00000000" w:rsidR="00000000" w:rsidRPr="00000000">
        <w:rPr>
          <w:rtl w:val="0"/>
        </w:rPr>
        <w:t xml:space="preserve">Our methodology involves four key steps: preprocessing the annotation features, applying two clustering techniques, reducing dimensionality for visualization, and conducting statistical evaluations to interpret cluster differences.</w:t>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2.1 K-Means Clustering</w:t>
      </w:r>
    </w:p>
    <w:p w:rsidR="00000000" w:rsidDel="00000000" w:rsidP="00000000" w:rsidRDefault="00000000" w:rsidRPr="00000000" w14:paraId="0000001A">
      <w:pPr>
        <w:rPr/>
      </w:pPr>
      <w:r w:rsidDel="00000000" w:rsidR="00000000" w:rsidRPr="00000000">
        <w:rPr>
          <w:rtl w:val="0"/>
        </w:rPr>
        <w:t xml:space="preserve">We applied K-Means over K=1 to 10 clusters, evaluating inertia and silhouette metrics to select the optimal cluster count.</w:t>
      </w:r>
    </w:p>
    <w:p w:rsidR="00000000" w:rsidDel="00000000" w:rsidP="00000000" w:rsidRDefault="00000000" w:rsidRPr="00000000" w14:paraId="0000001B">
      <w:pPr>
        <w:rPr>
          <w:i w:val="1"/>
        </w:rPr>
      </w:pPr>
      <w:r w:rsidDel="00000000" w:rsidR="00000000" w:rsidRPr="00000000">
        <w:rPr>
          <w:i w:val="1"/>
          <w:rtl w:val="0"/>
        </w:rPr>
        <w:t xml:space="preserve">(Figure 1: Elbow plot showing inertia vs. number of clusters)</w:t>
      </w:r>
    </w:p>
    <w:p w:rsidR="00000000" w:rsidDel="00000000" w:rsidP="00000000" w:rsidRDefault="00000000" w:rsidRPr="00000000" w14:paraId="0000001C">
      <w:pPr>
        <w:rPr/>
      </w:pPr>
      <w:r w:rsidDel="00000000" w:rsidR="00000000" w:rsidRPr="00000000">
        <w:rPr/>
        <w:drawing>
          <wp:inline distB="0" distT="0" distL="114300" distR="114300">
            <wp:extent cx="3657600" cy="2194560"/>
            <wp:effectExtent b="0" l="0" r="0" t="0"/>
            <wp:docPr id="3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5760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Figure 2: Silhouette scores for K from 2 to 10)</w:t>
      </w:r>
    </w:p>
    <w:p w:rsidR="00000000" w:rsidDel="00000000" w:rsidP="00000000" w:rsidRDefault="00000000" w:rsidRPr="00000000" w14:paraId="00000023">
      <w:pPr>
        <w:rPr/>
      </w:pPr>
      <w:r w:rsidDel="00000000" w:rsidR="00000000" w:rsidRPr="00000000">
        <w:rPr/>
        <w:drawing>
          <wp:inline distB="0" distT="0" distL="114300" distR="114300">
            <wp:extent cx="3657600" cy="2194560"/>
            <wp:effectExtent b="0" l="0" r="0" t="0"/>
            <wp:docPr id="3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5760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(Figure 3: PCA projection of data colored by K-Means cluster assignments)</w:t>
      </w:r>
    </w:p>
    <w:p w:rsidR="00000000" w:rsidDel="00000000" w:rsidP="00000000" w:rsidRDefault="00000000" w:rsidRPr="00000000" w14:paraId="00000025">
      <w:pPr>
        <w:rPr/>
      </w:pPr>
      <w:r w:rsidDel="00000000" w:rsidR="00000000" w:rsidRPr="00000000">
        <w:rPr/>
        <w:drawing>
          <wp:inline distB="0" distT="0" distL="114300" distR="114300">
            <wp:extent cx="3657600" cy="3657600"/>
            <wp:effectExtent b="0" l="0" r="0" t="0"/>
            <wp:docPr id="3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57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2.2 Hierarchical Clustering</w:t>
      </w:r>
    </w:p>
    <w:p w:rsidR="00000000" w:rsidDel="00000000" w:rsidP="00000000" w:rsidRDefault="00000000" w:rsidRPr="00000000" w14:paraId="00000027">
      <w:pPr>
        <w:rPr/>
      </w:pPr>
      <w:r w:rsidDel="00000000" w:rsidR="00000000" w:rsidRPr="00000000">
        <w:rPr>
          <w:rtl w:val="0"/>
        </w:rPr>
        <w:t xml:space="preserve">We used Ward’s linkage to build a dendrogram and cut at 4 clusters, paralleling our K-Means choice for comparison.</w:t>
      </w:r>
    </w:p>
    <w:p w:rsidR="00000000" w:rsidDel="00000000" w:rsidP="00000000" w:rsidRDefault="00000000" w:rsidRPr="00000000" w14:paraId="00000028">
      <w:pPr>
        <w:rPr>
          <w:i w:val="1"/>
        </w:rPr>
      </w:pPr>
      <w:r w:rsidDel="00000000" w:rsidR="00000000" w:rsidRPr="00000000">
        <w:rPr>
          <w:i w:val="1"/>
          <w:rtl w:val="0"/>
        </w:rPr>
        <w:t xml:space="preserve">(Figure 4: Hierarchical clustering dendrogram with Ward’s linkage)</w:t>
      </w:r>
    </w:p>
    <w:p w:rsidR="00000000" w:rsidDel="00000000" w:rsidP="00000000" w:rsidRDefault="00000000" w:rsidRPr="00000000" w14:paraId="00000029">
      <w:pPr>
        <w:rPr/>
      </w:pPr>
      <w:r w:rsidDel="00000000" w:rsidR="00000000" w:rsidRPr="00000000">
        <w:rPr/>
        <w:drawing>
          <wp:inline distB="0" distT="0" distL="114300" distR="114300">
            <wp:extent cx="4572000" cy="2286000"/>
            <wp:effectExtent b="0" l="0" r="0" t="0"/>
            <wp:docPr id="3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72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(Figure 5: PCA projection of data colored by hierarchical cluster assignments)</w:t>
      </w:r>
    </w:p>
    <w:p w:rsidR="00000000" w:rsidDel="00000000" w:rsidP="00000000" w:rsidRDefault="00000000" w:rsidRPr="00000000" w14:paraId="0000002C">
      <w:pPr>
        <w:rPr/>
      </w:pPr>
      <w:r w:rsidDel="00000000" w:rsidR="00000000" w:rsidRPr="00000000">
        <w:rPr/>
        <w:drawing>
          <wp:inline distB="0" distT="0" distL="114300" distR="114300">
            <wp:extent cx="3657600" cy="3657600"/>
            <wp:effectExtent b="0" l="0" r="0" t="0"/>
            <wp:docPr id="3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57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3. Experimental Design</w:t>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3.1 Dataset Description</w:t>
      </w:r>
    </w:p>
    <w:p w:rsidR="00000000" w:rsidDel="00000000" w:rsidP="00000000" w:rsidRDefault="00000000" w:rsidRPr="00000000" w14:paraId="0000002F">
      <w:pPr>
        <w:rPr/>
      </w:pPr>
      <w:r w:rsidDel="00000000" w:rsidR="00000000" w:rsidRPr="00000000">
        <w:rPr>
          <w:rtl w:val="0"/>
        </w:rPr>
        <w:t xml:space="preserve">We utilized the LUNA16 dataset metadata, where each nodule’s features are aggregated by max-voting across expert annotations. This yielded 996 samples described by nine quantitative features.</w:t>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3.2 Statistical Metrics</w:t>
      </w:r>
    </w:p>
    <w:p w:rsidR="00000000" w:rsidDel="00000000" w:rsidP="00000000" w:rsidRDefault="00000000" w:rsidRPr="00000000" w14:paraId="00000031">
      <w:pPr>
        <w:rPr/>
      </w:pPr>
      <w:r w:rsidDel="00000000" w:rsidR="00000000" w:rsidRPr="00000000">
        <w:rPr>
          <w:rtl w:val="0"/>
        </w:rPr>
        <w:t xml:space="preserve">Cluster outcomes were assessed by one-way ANOVA to highlight features with significant between-group variance, and correlation heatmaps were generated to examine inter-feature relationships conditional on cluster membership.</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4. Results</w:t>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4.1 ANOVA on</w:t>
      </w:r>
      <w:r w:rsidDel="00000000" w:rsidR="00000000" w:rsidRPr="00000000">
        <w:rPr>
          <w:rFonts w:ascii="Liberation Sans" w:cs="Liberation Sans" w:eastAsia="Liberation Sans" w:hAnsi="Liberation Sans"/>
          <w:b w:val="1"/>
          <w:sz w:val="28"/>
          <w:szCs w:val="28"/>
          <w:rtl w:val="0"/>
        </w:rPr>
        <w:t xml:space="preserve"> </w:t>
      </w: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Clusters</w:t>
      </w:r>
    </w:p>
    <w:p w:rsidR="00000000" w:rsidDel="00000000" w:rsidP="00000000" w:rsidRDefault="00000000" w:rsidRPr="00000000" w14:paraId="00000034">
      <w:pPr>
        <w:rPr/>
      </w:pPr>
      <w:r w:rsidDel="00000000" w:rsidR="00000000" w:rsidRPr="00000000">
        <w:rPr>
          <w:rtl w:val="0"/>
        </w:rPr>
        <w:t xml:space="preserve">One-way ANOVA revealed that features such as calcification, margin, and spiculation show the strongest differences across K-Means clusters, with p-values &lt; 0.001 (Table 1). These results indicate which descriptors drive cluster formation.</w:t>
      </w:r>
    </w:p>
    <w:p w:rsidR="00000000" w:rsidDel="00000000" w:rsidP="00000000" w:rsidRDefault="00000000" w:rsidRPr="00000000" w14:paraId="00000035">
      <w:pPr>
        <w:rPr>
          <w:i w:val="1"/>
        </w:rPr>
      </w:pPr>
      <w:r w:rsidDel="00000000" w:rsidR="00000000" w:rsidRPr="00000000">
        <w:rPr>
          <w:i w:val="1"/>
          <w:rtl w:val="0"/>
        </w:rPr>
        <w:t xml:space="preserve">(Table 1: K-means ANOVA results)</w:t>
      </w:r>
    </w:p>
    <w:tbl>
      <w:tblPr>
        <w:tblStyle w:val="Table1"/>
        <w:tblW w:w="8505.0" w:type="dxa"/>
        <w:jc w:val="left"/>
        <w:tblLayout w:type="fixed"/>
        <w:tblLook w:val="0400"/>
      </w:tblPr>
      <w:tblGrid>
        <w:gridCol w:w="2835"/>
        <w:gridCol w:w="2835"/>
        <w:gridCol w:w="2835"/>
        <w:tblGridChange w:id="0">
          <w:tblGrid>
            <w:gridCol w:w="2835"/>
            <w:gridCol w:w="2835"/>
            <w:gridCol w:w="2835"/>
          </w:tblGrid>
        </w:tblGridChange>
      </w:tblGrid>
      <w:tr>
        <w:trPr>
          <w:cantSplit w:val="0"/>
          <w:tblHeader w:val="0"/>
        </w:trPr>
        <w:tc>
          <w:tcPr/>
          <w:p w:rsidR="00000000" w:rsidDel="00000000" w:rsidP="00000000" w:rsidRDefault="00000000" w:rsidRPr="00000000" w14:paraId="00000036">
            <w:pPr>
              <w:rPr/>
            </w:pPr>
            <w:r w:rsidDel="00000000" w:rsidR="00000000" w:rsidRPr="00000000">
              <w:rPr>
                <w:rtl w:val="0"/>
              </w:rPr>
              <w:t xml:space="preserve">Feature</w:t>
            </w:r>
          </w:p>
        </w:tc>
        <w:tc>
          <w:tcPr/>
          <w:p w:rsidR="00000000" w:rsidDel="00000000" w:rsidP="00000000" w:rsidRDefault="00000000" w:rsidRPr="00000000" w14:paraId="00000037">
            <w:pPr>
              <w:rPr/>
            </w:pPr>
            <w:r w:rsidDel="00000000" w:rsidR="00000000" w:rsidRPr="00000000">
              <w:rPr>
                <w:rtl w:val="0"/>
              </w:rPr>
              <w:t xml:space="preserve">F-statistic</w:t>
            </w:r>
          </w:p>
        </w:tc>
        <w:tc>
          <w:tcPr/>
          <w:p w:rsidR="00000000" w:rsidDel="00000000" w:rsidP="00000000" w:rsidRDefault="00000000" w:rsidRPr="00000000" w14:paraId="00000038">
            <w:pPr>
              <w:rPr/>
            </w:pPr>
            <w:r w:rsidDel="00000000" w:rsidR="00000000" w:rsidRPr="00000000">
              <w:rPr>
                <w:rtl w:val="0"/>
              </w:rPr>
              <w:t xml:space="preserve">p-value</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Malignancy_value</w:t>
            </w:r>
          </w:p>
        </w:tc>
        <w:tc>
          <w:tcPr/>
          <w:p w:rsidR="00000000" w:rsidDel="00000000" w:rsidP="00000000" w:rsidRDefault="00000000" w:rsidRPr="00000000" w14:paraId="0000003A">
            <w:pPr>
              <w:rPr/>
            </w:pPr>
            <w:r w:rsidDel="00000000" w:rsidR="00000000" w:rsidRPr="00000000">
              <w:rPr>
                <w:rtl w:val="0"/>
              </w:rPr>
              <w:t xml:space="preserve">361.22</w:t>
            </w:r>
          </w:p>
        </w:tc>
        <w:tc>
          <w:tcPr/>
          <w:p w:rsidR="00000000" w:rsidDel="00000000" w:rsidP="00000000" w:rsidRDefault="00000000" w:rsidRPr="00000000" w14:paraId="0000003B">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Calcification_value</w:t>
            </w:r>
          </w:p>
        </w:tc>
        <w:tc>
          <w:tcPr/>
          <w:p w:rsidR="00000000" w:rsidDel="00000000" w:rsidP="00000000" w:rsidRDefault="00000000" w:rsidRPr="00000000" w14:paraId="0000003D">
            <w:pPr>
              <w:rPr/>
            </w:pPr>
            <w:r w:rsidDel="00000000" w:rsidR="00000000" w:rsidRPr="00000000">
              <w:rPr>
                <w:rtl w:val="0"/>
              </w:rPr>
              <w:t xml:space="preserve">8672.90</w:t>
            </w:r>
          </w:p>
        </w:tc>
        <w:tc>
          <w:tcPr/>
          <w:p w:rsidR="00000000" w:rsidDel="00000000" w:rsidP="00000000" w:rsidRDefault="00000000" w:rsidRPr="00000000" w14:paraId="0000003E">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InternalStructure_value</w:t>
            </w:r>
          </w:p>
        </w:tc>
        <w:tc>
          <w:tcPr/>
          <w:p w:rsidR="00000000" w:rsidDel="00000000" w:rsidP="00000000" w:rsidRDefault="00000000" w:rsidRPr="00000000" w14:paraId="00000040">
            <w:pPr>
              <w:rPr/>
            </w:pPr>
            <w:r w:rsidDel="00000000" w:rsidR="00000000" w:rsidRPr="00000000">
              <w:rPr>
                <w:rtl w:val="0"/>
              </w:rPr>
              <w:t xml:space="preserve">2.78</w:t>
            </w:r>
          </w:p>
        </w:tc>
        <w:tc>
          <w:tcPr/>
          <w:p w:rsidR="00000000" w:rsidDel="00000000" w:rsidP="00000000" w:rsidRDefault="00000000" w:rsidRPr="00000000" w14:paraId="00000041">
            <w:pPr>
              <w:rPr/>
            </w:pPr>
            <w:r w:rsidDel="00000000" w:rsidR="00000000" w:rsidRPr="00000000">
              <w:rPr>
                <w:rtl w:val="0"/>
              </w:rPr>
              <w:t xml:space="preserve">0.0398</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Lobulation_value</w:t>
            </w:r>
          </w:p>
        </w:tc>
        <w:tc>
          <w:tcPr/>
          <w:p w:rsidR="00000000" w:rsidDel="00000000" w:rsidP="00000000" w:rsidRDefault="00000000" w:rsidRPr="00000000" w14:paraId="00000043">
            <w:pPr>
              <w:rPr/>
            </w:pPr>
            <w:r w:rsidDel="00000000" w:rsidR="00000000" w:rsidRPr="00000000">
              <w:rPr>
                <w:rtl w:val="0"/>
              </w:rPr>
              <w:t xml:space="preserve">238.77</w:t>
            </w:r>
          </w:p>
        </w:tc>
        <w:tc>
          <w:tcPr/>
          <w:p w:rsidR="00000000" w:rsidDel="00000000" w:rsidP="00000000" w:rsidRDefault="00000000" w:rsidRPr="00000000" w14:paraId="00000044">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Margin_value</w:t>
            </w:r>
          </w:p>
        </w:tc>
        <w:tc>
          <w:tcPr/>
          <w:p w:rsidR="00000000" w:rsidDel="00000000" w:rsidP="00000000" w:rsidRDefault="00000000" w:rsidRPr="00000000" w14:paraId="00000046">
            <w:pPr>
              <w:rPr/>
            </w:pPr>
            <w:r w:rsidDel="00000000" w:rsidR="00000000" w:rsidRPr="00000000">
              <w:rPr>
                <w:rtl w:val="0"/>
              </w:rPr>
              <w:t xml:space="preserve">284.36</w:t>
            </w:r>
          </w:p>
        </w:tc>
        <w:tc>
          <w:tcPr/>
          <w:p w:rsidR="00000000" w:rsidDel="00000000" w:rsidP="00000000" w:rsidRDefault="00000000" w:rsidRPr="00000000" w14:paraId="00000047">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Sphericity_value</w:t>
            </w:r>
          </w:p>
        </w:tc>
        <w:tc>
          <w:tcPr/>
          <w:p w:rsidR="00000000" w:rsidDel="00000000" w:rsidP="00000000" w:rsidRDefault="00000000" w:rsidRPr="00000000" w14:paraId="00000049">
            <w:pPr>
              <w:rPr/>
            </w:pPr>
            <w:r w:rsidDel="00000000" w:rsidR="00000000" w:rsidRPr="00000000">
              <w:rPr>
                <w:rtl w:val="0"/>
              </w:rPr>
              <w:t xml:space="preserve">25.48</w:t>
            </w:r>
          </w:p>
        </w:tc>
        <w:tc>
          <w:tcPr/>
          <w:p w:rsidR="00000000" w:rsidDel="00000000" w:rsidP="00000000" w:rsidRDefault="00000000" w:rsidRPr="00000000" w14:paraId="0000004A">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Spiculation_value</w:t>
            </w:r>
          </w:p>
        </w:tc>
        <w:tc>
          <w:tcPr/>
          <w:p w:rsidR="00000000" w:rsidDel="00000000" w:rsidP="00000000" w:rsidRDefault="00000000" w:rsidRPr="00000000" w14:paraId="0000004C">
            <w:pPr>
              <w:rPr/>
            </w:pPr>
            <w:r w:rsidDel="00000000" w:rsidR="00000000" w:rsidRPr="00000000">
              <w:rPr>
                <w:rtl w:val="0"/>
              </w:rPr>
              <w:t xml:space="preserve">356.30</w:t>
            </w:r>
          </w:p>
        </w:tc>
        <w:tc>
          <w:tcPr/>
          <w:p w:rsidR="00000000" w:rsidDel="00000000" w:rsidP="00000000" w:rsidRDefault="00000000" w:rsidRPr="00000000" w14:paraId="0000004D">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Subtlety_value</w:t>
            </w:r>
          </w:p>
        </w:tc>
        <w:tc>
          <w:tcPr/>
          <w:p w:rsidR="00000000" w:rsidDel="00000000" w:rsidP="00000000" w:rsidRDefault="00000000" w:rsidRPr="00000000" w14:paraId="0000004F">
            <w:pPr>
              <w:rPr/>
            </w:pPr>
            <w:r w:rsidDel="00000000" w:rsidR="00000000" w:rsidRPr="00000000">
              <w:rPr>
                <w:rtl w:val="0"/>
              </w:rPr>
              <w:t xml:space="preserve">114.57</w:t>
            </w:r>
          </w:p>
        </w:tc>
        <w:tc>
          <w:tcPr/>
          <w:p w:rsidR="00000000" w:rsidDel="00000000" w:rsidP="00000000" w:rsidRDefault="00000000" w:rsidRPr="00000000" w14:paraId="00000050">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Texture_value</w:t>
            </w:r>
          </w:p>
        </w:tc>
        <w:tc>
          <w:tcPr/>
          <w:p w:rsidR="00000000" w:rsidDel="00000000" w:rsidP="00000000" w:rsidRDefault="00000000" w:rsidRPr="00000000" w14:paraId="00000052">
            <w:pPr>
              <w:rPr/>
            </w:pPr>
            <w:r w:rsidDel="00000000" w:rsidR="00000000" w:rsidRPr="00000000">
              <w:rPr>
                <w:rtl w:val="0"/>
              </w:rPr>
              <w:t xml:space="preserve">2275.04</w:t>
            </w:r>
          </w:p>
        </w:tc>
        <w:tc>
          <w:tcPr/>
          <w:p w:rsidR="00000000" w:rsidDel="00000000" w:rsidP="00000000" w:rsidRDefault="00000000" w:rsidRPr="00000000" w14:paraId="00000053">
            <w:pPr>
              <w:rPr/>
            </w:pPr>
            <w:r w:rsidDel="00000000" w:rsidR="00000000" w:rsidRPr="00000000">
              <w:rPr>
                <w:rtl w:val="0"/>
              </w:rPr>
              <w:t xml:space="preserve">0.0000</w:t>
            </w:r>
          </w:p>
        </w:tc>
      </w:tr>
    </w:tbl>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One-way ANOVA on hierarchical clusters shows that calcification, texture, and spiculation exhibit the largest between-group differences (p &lt; 0.001; Table 2), indicating these high-contrast features predominantly drive the hierarchy.</w:t>
      </w: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(Table 2: HC ANOVA results)</w:t>
      </w:r>
    </w:p>
    <w:tbl>
      <w:tblPr>
        <w:tblStyle w:val="Table2"/>
        <w:tblW w:w="8505.0" w:type="dxa"/>
        <w:jc w:val="left"/>
        <w:tblLayout w:type="fixed"/>
        <w:tblLook w:val="0400"/>
      </w:tblPr>
      <w:tblGrid>
        <w:gridCol w:w="2835"/>
        <w:gridCol w:w="2835"/>
        <w:gridCol w:w="2835"/>
        <w:tblGridChange w:id="0">
          <w:tblGrid>
            <w:gridCol w:w="2835"/>
            <w:gridCol w:w="2835"/>
            <w:gridCol w:w="2835"/>
          </w:tblGrid>
        </w:tblGridChange>
      </w:tblGrid>
      <w:tr>
        <w:trPr>
          <w:cantSplit w:val="0"/>
          <w:tblHeader w:val="0"/>
        </w:trPr>
        <w:tc>
          <w:tcPr/>
          <w:p w:rsidR="00000000" w:rsidDel="00000000" w:rsidP="00000000" w:rsidRDefault="00000000" w:rsidRPr="00000000" w14:paraId="00000056">
            <w:pPr>
              <w:rPr/>
            </w:pPr>
            <w:r w:rsidDel="00000000" w:rsidR="00000000" w:rsidRPr="00000000">
              <w:rPr>
                <w:rtl w:val="0"/>
              </w:rPr>
              <w:t xml:space="preserve">Feature</w:t>
            </w:r>
          </w:p>
        </w:tc>
        <w:tc>
          <w:tcPr/>
          <w:p w:rsidR="00000000" w:rsidDel="00000000" w:rsidP="00000000" w:rsidRDefault="00000000" w:rsidRPr="00000000" w14:paraId="00000057">
            <w:pPr>
              <w:rPr/>
            </w:pPr>
            <w:r w:rsidDel="00000000" w:rsidR="00000000" w:rsidRPr="00000000">
              <w:rPr>
                <w:rtl w:val="0"/>
              </w:rPr>
              <w:t xml:space="preserve">F-statistic</w:t>
            </w:r>
          </w:p>
        </w:tc>
        <w:tc>
          <w:tcPr/>
          <w:p w:rsidR="00000000" w:rsidDel="00000000" w:rsidP="00000000" w:rsidRDefault="00000000" w:rsidRPr="00000000" w14:paraId="00000058">
            <w:pPr>
              <w:rPr/>
            </w:pPr>
            <w:r w:rsidDel="00000000" w:rsidR="00000000" w:rsidRPr="00000000">
              <w:rPr>
                <w:rtl w:val="0"/>
              </w:rPr>
              <w:t xml:space="preserve">p-value</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Malignancy_value</w:t>
            </w:r>
          </w:p>
        </w:tc>
        <w:tc>
          <w:tcPr/>
          <w:p w:rsidR="00000000" w:rsidDel="00000000" w:rsidP="00000000" w:rsidRDefault="00000000" w:rsidRPr="00000000" w14:paraId="0000005A">
            <w:pPr>
              <w:rPr/>
            </w:pPr>
            <w:r w:rsidDel="00000000" w:rsidR="00000000" w:rsidRPr="00000000">
              <w:rPr>
                <w:rtl w:val="0"/>
              </w:rPr>
              <w:t xml:space="preserve">296.61</w:t>
            </w:r>
          </w:p>
        </w:tc>
        <w:tc>
          <w:tcPr/>
          <w:p w:rsidR="00000000" w:rsidDel="00000000" w:rsidP="00000000" w:rsidRDefault="00000000" w:rsidRPr="00000000" w14:paraId="0000005B">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Calcification_value</w:t>
            </w:r>
          </w:p>
        </w:tc>
        <w:tc>
          <w:tcPr/>
          <w:p w:rsidR="00000000" w:rsidDel="00000000" w:rsidP="00000000" w:rsidRDefault="00000000" w:rsidRPr="00000000" w14:paraId="0000005D">
            <w:pPr>
              <w:rPr/>
            </w:pPr>
            <w:r w:rsidDel="00000000" w:rsidR="00000000" w:rsidRPr="00000000">
              <w:rPr>
                <w:rtl w:val="0"/>
              </w:rPr>
              <w:t xml:space="preserve">9524.23</w:t>
            </w:r>
          </w:p>
        </w:tc>
        <w:tc>
          <w:tcPr/>
          <w:p w:rsidR="00000000" w:rsidDel="00000000" w:rsidP="00000000" w:rsidRDefault="00000000" w:rsidRPr="00000000" w14:paraId="0000005E">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InternalStructure_value</w:t>
            </w:r>
          </w:p>
        </w:tc>
        <w:tc>
          <w:tcPr/>
          <w:p w:rsidR="00000000" w:rsidDel="00000000" w:rsidP="00000000" w:rsidRDefault="00000000" w:rsidRPr="00000000" w14:paraId="00000060">
            <w:pPr>
              <w:rPr/>
            </w:pPr>
            <w:r w:rsidDel="00000000" w:rsidR="00000000" w:rsidRPr="00000000">
              <w:rPr>
                <w:rtl w:val="0"/>
              </w:rPr>
              <w:t xml:space="preserve">3.48</w:t>
            </w:r>
          </w:p>
        </w:tc>
        <w:tc>
          <w:tcPr/>
          <w:p w:rsidR="00000000" w:rsidDel="00000000" w:rsidP="00000000" w:rsidRDefault="00000000" w:rsidRPr="00000000" w14:paraId="00000061">
            <w:pPr>
              <w:rPr/>
            </w:pPr>
            <w:r w:rsidDel="00000000" w:rsidR="00000000" w:rsidRPr="00000000">
              <w:rPr>
                <w:rtl w:val="0"/>
              </w:rPr>
              <w:t xml:space="preserve">0.0158</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Lobulation_value</w:t>
            </w:r>
          </w:p>
        </w:tc>
        <w:tc>
          <w:tcPr/>
          <w:p w:rsidR="00000000" w:rsidDel="00000000" w:rsidP="00000000" w:rsidRDefault="00000000" w:rsidRPr="00000000" w14:paraId="00000063">
            <w:pPr>
              <w:rPr/>
            </w:pPr>
            <w:r w:rsidDel="00000000" w:rsidR="00000000" w:rsidRPr="00000000">
              <w:rPr>
                <w:rtl w:val="0"/>
              </w:rPr>
              <w:t xml:space="preserve">198.10</w:t>
            </w:r>
          </w:p>
        </w:tc>
        <w:tc>
          <w:tcPr/>
          <w:p w:rsidR="00000000" w:rsidDel="00000000" w:rsidP="00000000" w:rsidRDefault="00000000" w:rsidRPr="00000000" w14:paraId="00000064">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Margin_value</w:t>
            </w:r>
          </w:p>
        </w:tc>
        <w:tc>
          <w:tcPr/>
          <w:p w:rsidR="00000000" w:rsidDel="00000000" w:rsidP="00000000" w:rsidRDefault="00000000" w:rsidRPr="00000000" w14:paraId="00000066">
            <w:pPr>
              <w:rPr/>
            </w:pPr>
            <w:r w:rsidDel="00000000" w:rsidR="00000000" w:rsidRPr="00000000">
              <w:rPr>
                <w:rtl w:val="0"/>
              </w:rPr>
              <w:t xml:space="preserve">207.01</w:t>
            </w:r>
          </w:p>
        </w:tc>
        <w:tc>
          <w:tcPr/>
          <w:p w:rsidR="00000000" w:rsidDel="00000000" w:rsidP="00000000" w:rsidRDefault="00000000" w:rsidRPr="00000000" w14:paraId="00000067">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Sphericity_value</w:t>
            </w:r>
          </w:p>
        </w:tc>
        <w:tc>
          <w:tcPr/>
          <w:p w:rsidR="00000000" w:rsidDel="00000000" w:rsidP="00000000" w:rsidRDefault="00000000" w:rsidRPr="00000000" w14:paraId="00000069">
            <w:pPr>
              <w:rPr/>
            </w:pPr>
            <w:r w:rsidDel="00000000" w:rsidR="00000000" w:rsidRPr="00000000">
              <w:rPr>
                <w:rtl w:val="0"/>
              </w:rPr>
              <w:t xml:space="preserve">13.56</w:t>
            </w:r>
          </w:p>
        </w:tc>
        <w:tc>
          <w:tcPr/>
          <w:p w:rsidR="00000000" w:rsidDel="00000000" w:rsidP="00000000" w:rsidRDefault="00000000" w:rsidRPr="00000000" w14:paraId="0000006A">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Spiculation_value</w:t>
            </w:r>
          </w:p>
        </w:tc>
        <w:tc>
          <w:tcPr/>
          <w:p w:rsidR="00000000" w:rsidDel="00000000" w:rsidP="00000000" w:rsidRDefault="00000000" w:rsidRPr="00000000" w14:paraId="0000006C">
            <w:pPr>
              <w:rPr/>
            </w:pPr>
            <w:r w:rsidDel="00000000" w:rsidR="00000000" w:rsidRPr="00000000">
              <w:rPr>
                <w:rtl w:val="0"/>
              </w:rPr>
              <w:t xml:space="preserve">445.36</w:t>
            </w:r>
          </w:p>
        </w:tc>
        <w:tc>
          <w:tcPr/>
          <w:p w:rsidR="00000000" w:rsidDel="00000000" w:rsidP="00000000" w:rsidRDefault="00000000" w:rsidRPr="00000000" w14:paraId="0000006D">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Subtlety_value</w:t>
            </w:r>
          </w:p>
        </w:tc>
        <w:tc>
          <w:tcPr/>
          <w:p w:rsidR="00000000" w:rsidDel="00000000" w:rsidP="00000000" w:rsidRDefault="00000000" w:rsidRPr="00000000" w14:paraId="0000006F">
            <w:pPr>
              <w:rPr/>
            </w:pPr>
            <w:r w:rsidDel="00000000" w:rsidR="00000000" w:rsidRPr="00000000">
              <w:rPr>
                <w:rtl w:val="0"/>
              </w:rPr>
              <w:t xml:space="preserve">111.35</w:t>
            </w:r>
          </w:p>
        </w:tc>
        <w:tc>
          <w:tcPr/>
          <w:p w:rsidR="00000000" w:rsidDel="00000000" w:rsidP="00000000" w:rsidRDefault="00000000" w:rsidRPr="00000000" w14:paraId="00000070">
            <w:pPr>
              <w:rPr/>
            </w:pPr>
            <w:r w:rsidDel="00000000" w:rsidR="00000000" w:rsidRPr="00000000">
              <w:rPr>
                <w:rtl w:val="0"/>
              </w:rPr>
              <w:t xml:space="preserve">0.0000</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Texture_value</w:t>
            </w:r>
          </w:p>
        </w:tc>
        <w:tc>
          <w:tcPr/>
          <w:p w:rsidR="00000000" w:rsidDel="00000000" w:rsidP="00000000" w:rsidRDefault="00000000" w:rsidRPr="00000000" w14:paraId="00000072">
            <w:pPr>
              <w:rPr/>
            </w:pPr>
            <w:r w:rsidDel="00000000" w:rsidR="00000000" w:rsidRPr="00000000">
              <w:rPr>
                <w:rtl w:val="0"/>
              </w:rPr>
              <w:t xml:space="preserve">1292.61</w:t>
            </w:r>
          </w:p>
        </w:tc>
        <w:tc>
          <w:tcPr/>
          <w:p w:rsidR="00000000" w:rsidDel="00000000" w:rsidP="00000000" w:rsidRDefault="00000000" w:rsidRPr="00000000" w14:paraId="00000073">
            <w:pPr>
              <w:rPr/>
            </w:pPr>
            <w:r w:rsidDel="00000000" w:rsidR="00000000" w:rsidRPr="00000000">
              <w:rPr>
                <w:rtl w:val="0"/>
              </w:rPr>
              <w:t xml:space="preserve">0.0000</w:t>
            </w:r>
          </w:p>
        </w:tc>
      </w:tr>
    </w:tbl>
    <w:p w:rsidR="00000000" w:rsidDel="00000000" w:rsidP="00000000" w:rsidRDefault="00000000" w:rsidRPr="00000000" w14:paraId="00000074">
      <w:pPr>
        <w:keepNext w:val="1"/>
        <w:spacing w:after="120" w:befor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4.2 Correlation Analysis</w:t>
      </w:r>
    </w:p>
    <w:p w:rsidR="00000000" w:rsidDel="00000000" w:rsidP="00000000" w:rsidRDefault="00000000" w:rsidRPr="00000000" w14:paraId="00000076">
      <w:pPr>
        <w:rPr/>
      </w:pPr>
      <w:r w:rsidDel="00000000" w:rsidR="00000000" w:rsidRPr="00000000">
        <w:rPr>
          <w:rtl w:val="0"/>
        </w:rPr>
        <w:t xml:space="preserve">Correlation heatmaps (Figures 6 and 7) show that texture and subtlety features correlate strongly within clusters, while the addition of cluster labels highlights how groups separate in feature–feature space.</w:t>
      </w:r>
    </w:p>
    <w:p w:rsidR="00000000" w:rsidDel="00000000" w:rsidP="00000000" w:rsidRDefault="00000000" w:rsidRPr="00000000" w14:paraId="00000077">
      <w:pPr>
        <w:rPr>
          <w:i w:val="1"/>
        </w:rPr>
      </w:pPr>
      <w:r w:rsidDel="00000000" w:rsidR="00000000" w:rsidRPr="00000000">
        <w:rPr>
          <w:i w:val="1"/>
          <w:rtl w:val="0"/>
        </w:rPr>
        <w:t xml:space="preserve">(Figure 6: Correlation matrix for K-Means clusters)</w:t>
      </w:r>
    </w:p>
    <w:p w:rsidR="00000000" w:rsidDel="00000000" w:rsidP="00000000" w:rsidRDefault="00000000" w:rsidRPr="00000000" w14:paraId="00000078">
      <w:pPr>
        <w:rPr/>
      </w:pPr>
      <w:r w:rsidDel="00000000" w:rsidR="00000000" w:rsidRPr="00000000">
        <w:rPr/>
        <w:drawing>
          <wp:inline distB="114300" distT="114300" distL="114300" distR="114300">
            <wp:extent cx="3686239" cy="3409078"/>
            <wp:effectExtent b="0" l="0" r="0" t="0"/>
            <wp:docPr id="3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86239" cy="340907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(Figure 7: Correlation matrix for hierarchical clusters)</w:t>
      </w:r>
    </w:p>
    <w:p w:rsidR="00000000" w:rsidDel="00000000" w:rsidP="00000000" w:rsidRDefault="00000000" w:rsidRPr="00000000" w14:paraId="0000007B">
      <w:pPr>
        <w:rPr/>
      </w:pPr>
      <w:r w:rsidDel="00000000" w:rsidR="00000000" w:rsidRPr="00000000">
        <w:rPr/>
        <w:drawing>
          <wp:inline distB="114300" distT="114300" distL="114300" distR="114300">
            <wp:extent cx="3767053" cy="3481161"/>
            <wp:effectExtent b="0" l="0" r="0" t="0"/>
            <wp:docPr id="3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67053" cy="348116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5. Discussion and Conclusions</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The one-way ANOVA analyses (see Table 1 for K-Means and Table 2 for Hierarchical clustering) consistently identify </w:t>
      </w:r>
      <w:r w:rsidDel="00000000" w:rsidR="00000000" w:rsidRPr="00000000">
        <w:rPr>
          <w:b w:val="1"/>
          <w:rtl w:val="0"/>
        </w:rPr>
        <w:t xml:space="preserve">calcification</w:t>
      </w:r>
      <w:r w:rsidDel="00000000" w:rsidR="00000000" w:rsidRPr="00000000">
        <w:rPr>
          <w:rtl w:val="0"/>
        </w:rPr>
        <w:t xml:space="preserve">, </w:t>
      </w:r>
      <w:r w:rsidDel="00000000" w:rsidR="00000000" w:rsidRPr="00000000">
        <w:rPr>
          <w:b w:val="1"/>
          <w:rtl w:val="0"/>
        </w:rPr>
        <w:t xml:space="preserve">texture</w:t>
      </w:r>
      <w:r w:rsidDel="00000000" w:rsidR="00000000" w:rsidRPr="00000000">
        <w:rPr>
          <w:rtl w:val="0"/>
        </w:rPr>
        <w:t xml:space="preserve">, and </w:t>
      </w:r>
      <w:r w:rsidDel="00000000" w:rsidR="00000000" w:rsidRPr="00000000">
        <w:rPr>
          <w:b w:val="1"/>
          <w:rtl w:val="0"/>
        </w:rPr>
        <w:t xml:space="preserve">spiculation</w:t>
      </w:r>
      <w:r w:rsidDel="00000000" w:rsidR="00000000" w:rsidRPr="00000000">
        <w:rPr>
          <w:rtl w:val="0"/>
        </w:rPr>
        <w:t xml:space="preserve"> as the most discriminative features driving cluster separation, while </w:t>
      </w:r>
      <w:r w:rsidDel="00000000" w:rsidR="00000000" w:rsidRPr="00000000">
        <w:rPr>
          <w:b w:val="1"/>
          <w:rtl w:val="0"/>
        </w:rPr>
        <w:t xml:space="preserve">internal structure</w:t>
      </w:r>
      <w:r w:rsidDel="00000000" w:rsidR="00000000" w:rsidRPr="00000000">
        <w:rPr>
          <w:rtl w:val="0"/>
        </w:rPr>
        <w:t xml:space="preserve"> contributes minimally in both methods. K-Means produces a more balanced distribution of feature importance—malignancy value and morphological cues (margin, lobulation) also emerge with notable between-group differences—whereas Hierarchical clustering accentuates calcification as the dominant separator, downplaying some textural descriptors relative to K-Means.</w:t>
      </w:r>
    </w:p>
    <w:p w:rsidR="00000000" w:rsidDel="00000000" w:rsidP="00000000" w:rsidRDefault="00000000" w:rsidRPr="00000000" w14:paraId="0000007F">
      <w:pPr>
        <w:spacing w:after="240" w:before="240" w:lineRule="auto"/>
        <w:rPr/>
      </w:pPr>
      <w:r w:rsidDel="00000000" w:rsidR="00000000" w:rsidRPr="00000000">
        <w:rPr>
          <w:rtl w:val="0"/>
        </w:rPr>
        <w:t xml:space="preserve">The correlation heatmaps (Figures 6 and 7) corroborate these findings: K-Means clusters reflect a blend of texture and shape characteristics, while Hierarchical clusters align more strongly with high-contrast features like calcification. This suggests that K-Means may capture multifaceted radiomic patterns useful for nuanced subgrouping, whereas Hierarchical clustering isolates the single feature with the greatest variance.</w:t>
      </w:r>
    </w:p>
    <w:p w:rsidR="00000000" w:rsidDel="00000000" w:rsidP="00000000" w:rsidRDefault="00000000" w:rsidRPr="00000000" w14:paraId="00000080">
      <w:pPr>
        <w:spacing w:after="240" w:before="240" w:lineRule="auto"/>
        <w:rPr/>
      </w:pPr>
      <w:r w:rsidDel="00000000" w:rsidR="00000000" w:rsidRPr="00000000">
        <w:rPr>
          <w:rtl w:val="0"/>
        </w:rPr>
        <w:t xml:space="preserve">In summary, features related to calcification and texture (particularly spiculation) are key drivers of the unsupervised grouping of nodules. Morphological features (margin, lobulation) play a supportive role, and less discriminative descriptors can be deprioritized. Moving forward, integrating these high-impact features into a supervised malignancy classifier is likely to yield the greatest predictive benefit.</w:t>
      </w: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6. References</w:t>
      </w:r>
    </w:p>
    <w:p w:rsidR="00000000" w:rsidDel="00000000" w:rsidP="00000000" w:rsidRDefault="00000000" w:rsidRPr="00000000" w14:paraId="00000082">
      <w:pPr>
        <w:rPr/>
      </w:pPr>
      <w:r w:rsidDel="00000000" w:rsidR="00000000" w:rsidRPr="00000000">
        <w:rPr>
          <w:rtl w:val="0"/>
        </w:rPr>
        <w:t xml:space="preserve">[1] Python Software Foundation. Python Language Reference, version 3.x.</w:t>
      </w:r>
    </w:p>
    <w:p w:rsidR="00000000" w:rsidDel="00000000" w:rsidP="00000000" w:rsidRDefault="00000000" w:rsidRPr="00000000" w14:paraId="00000083">
      <w:pPr>
        <w:rPr/>
      </w:pPr>
      <w:r w:rsidDel="00000000" w:rsidR="00000000" w:rsidRPr="00000000">
        <w:rPr>
          <w:rtl w:val="0"/>
        </w:rPr>
        <w:t xml:space="preserve">[2] Pedregosa et al. Scikit-learn: Machine Learning in Python, JMLR, 2011.</w:t>
      </w:r>
    </w:p>
    <w:p w:rsidR="00000000" w:rsidDel="00000000" w:rsidP="00000000" w:rsidRDefault="00000000" w:rsidRPr="00000000" w14:paraId="00000084">
      <w:pPr>
        <w:rPr/>
      </w:pPr>
      <w:r w:rsidDel="00000000" w:rsidR="00000000" w:rsidRPr="00000000">
        <w:rPr>
          <w:rtl w:val="0"/>
        </w:rPr>
        <w:t xml:space="preserve">[3] van Griethuysen JJ et al. Computational radiomics system to decode the radiographic phenotype. Cancer Res, 2017.</w:t>
      </w:r>
    </w:p>
    <w:p w:rsidR="00000000" w:rsidDel="00000000" w:rsidP="00000000" w:rsidRDefault="00000000" w:rsidRPr="00000000" w14:paraId="00000085">
      <w:pPr>
        <w:spacing w:after="200" w:line="276" w:lineRule="auto"/>
        <w:rPr/>
      </w:pPr>
      <w:r w:rsidDel="00000000" w:rsidR="00000000" w:rsidRPr="00000000">
        <w:rPr>
          <w:rtl w:val="0"/>
        </w:rPr>
        <w:t xml:space="preserve">[4] </w:t>
      </w:r>
      <w:hyperlink r:id="rId16">
        <w:r w:rsidDel="00000000" w:rsidR="00000000" w:rsidRPr="00000000">
          <w:rPr>
            <w:color w:val="1155cc"/>
            <w:u w:val="single"/>
            <w:rtl w:val="0"/>
          </w:rPr>
          <w:t xml:space="preserve">https://luna16.grand-challenge.org/Description/</w:t>
        </w:r>
      </w:hyperlink>
      <w:r w:rsidDel="00000000" w:rsidR="00000000" w:rsidRPr="00000000">
        <w:rPr>
          <w:rtl w:val="0"/>
        </w:rPr>
        <w:t xml:space="preserve"> (accessed May 2025).</w:t>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rFonts w:ascii="Arial" w:hAnsi="Arial"/>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Textoindependiente"/>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NormalWeb">
    <w:name w:val="Normal (Web)"/>
    <w:basedOn w:val="Normal"/>
    <w:uiPriority w:val="99"/>
    <w:unhideWhenUsed w:val="1"/>
    <w:qFormat w:val="1"/>
    <w:rsid w:val="009F12EF"/>
    <w:pPr>
      <w:spacing w:afterAutospacing="1" w:beforeAutospacing="1" w:line="240" w:lineRule="auto"/>
    </w:pPr>
    <w:rPr>
      <w:rFonts w:ascii="Times New Roman" w:cs="Times New Roman" w:eastAsia="Times New Roman" w:hAnsi="Times New Roman"/>
      <w:sz w:val="24"/>
      <w:szCs w:val="24"/>
      <w:lang w:eastAsia="es-ES"/>
    </w:rPr>
  </w:style>
  <w:style w:type="paragraph" w:styleId="Prrafodelista">
    <w:name w:val="List Paragraph"/>
    <w:basedOn w:val="Normal"/>
    <w:uiPriority w:val="34"/>
    <w:qFormat w:val="1"/>
    <w:rsid w:val="009F12EF"/>
    <w:pPr>
      <w:ind w:left="720"/>
      <w:contextualSpacing w:val="1"/>
    </w:pPr>
  </w:style>
  <w:style w:type="paragraph" w:styleId="HeaderandFooter" w:customStyle="1">
    <w:name w:val="Header and Footer"/>
    <w:basedOn w:val="Normal"/>
    <w:qFormat w:val="1"/>
    <w:pPr>
      <w:suppressLineNumbers w:val="1"/>
      <w:tabs>
        <w:tab w:val="center" w:pos="4252"/>
        <w:tab w:val="right" w:pos="8504"/>
      </w:tabs>
    </w:pPr>
  </w:style>
  <w:style w:type="paragraph" w:styleId="Piedepgina">
    <w:name w:val="footer"/>
    <w:basedOn w:val="HeaderandFooter"/>
  </w:style>
  <w:style w:type="paragraph" w:styleId="TableContents" w:customStyle="1">
    <w:name w:val="Table Contents"/>
    <w:basedOn w:val="Normal"/>
    <w:qFormat w:val="1"/>
    <w:pPr>
      <w:suppressLineNumbers w:val="1"/>
    </w:pPr>
  </w:style>
  <w:style w:type="character" w:styleId="Hipervnculo">
    <w:name w:val="Hyperlink"/>
    <w:basedOn w:val="Fuentedeprrafopredeter"/>
    <w:uiPriority w:val="99"/>
    <w:unhideWhenUsed w:val="1"/>
    <w:rsid w:val="00E67747"/>
    <w:rPr>
      <w:color w:val="0563c1" w:themeColor="hyperlink"/>
      <w:u w:val="single"/>
    </w:rPr>
  </w:style>
  <w:style w:type="character" w:styleId="Mencinsinresolver">
    <w:name w:val="Unresolved Mention"/>
    <w:basedOn w:val="Fuentedeprrafopredeter"/>
    <w:uiPriority w:val="99"/>
    <w:semiHidden w:val="1"/>
    <w:unhideWhenUsed w:val="1"/>
    <w:rsid w:val="00E67747"/>
    <w:rPr>
      <w:color w:val="605e5c"/>
      <w:shd w:color="auto" w:fill="e1dfdd" w:val="clear"/>
    </w:rPr>
  </w:style>
  <w:style w:type="table" w:styleId="Tablaconcuadrcula">
    <w:name w:val="Table Grid"/>
    <w:basedOn w:val="Tablanormal"/>
    <w:uiPriority w:val="39"/>
    <w:rsid w:val="000C21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hyperlink" Target="https://luna16.grand-challenge.org/Descrip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rWk8cdkwuO+vC92jbgY/TqKZWw==">CgMxLjA4AHIhMVFCanU2YWRpSjVKMXBiaF9zWFJxM3E0bEd4MjVtZEwz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2023-02-24T08:57:00Z</dcterms:created>
  <dc:creator>Debora Gil Resina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Universitat Autònoma de Barcelona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