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kicker"/>
        <w:bidi w:val="0"/>
        <w:jc w:val="start"/>
        <w:rPr/>
      </w:pPr>
      <w:r>
        <w:rPr/>
        <w:t>Referencia de implementación · interfaz web</w:t>
      </w:r>
    </w:p>
    <w:p>
      <w:pPr>
        <w:pStyle w:val="Heading1"/>
        <w:bidi w:val="0"/>
        <w:jc w:val="start"/>
        <w:rPr/>
      </w:pPr>
      <w:r>
        <w:rPr/>
        <w:t>Descripción visual exacta — Daily #13</w:t>
      </w:r>
    </w:p>
    <w:p>
      <w:pPr>
        <w:pStyle w:val="BodyTextsubtitle"/>
        <w:bidi w:val="0"/>
        <w:jc w:val="start"/>
        <w:rPr/>
      </w:pPr>
      <w:r>
        <w:rPr/>
        <w:t>“</w:t>
      </w:r>
      <w:r>
        <w:rPr/>
        <w:t>Fat Controllers vs Thin Controllers”</w:t>
      </w:r>
    </w:p>
    <w:p>
      <w:pPr>
        <w:pStyle w:val="BodyTextmeta"/>
        <w:bidi w:val="0"/>
        <w:ind w:hanging="0" w:start="0" w:end="0"/>
        <w:jc w:val="start"/>
        <w:rPr/>
      </w:pPr>
      <w:r>
        <w:rPr>
          <w:rStyle w:val="Strong"/>
        </w:rPr>
        <w:t>Clase seleccionada:</w:t>
      </w:r>
      <w:r>
        <w:rPr/>
        <w:t xml:space="preserve"> </w:t>
      </w:r>
      <w:r>
        <w:rPr>
          <w:rFonts w:ascii="Cascadia Code;Consolas;monospace" w:hAnsi="Cascadia Code;Consolas;monospace"/>
          <w:color w:val="9B1C1C"/>
          <w:sz w:val="17"/>
        </w:rPr>
        <w:t>/daily/13</w:t>
      </w:r>
      <w:r>
        <w:rPr/>
        <w:t xml:space="preserve">  |  </w:t>
      </w:r>
      <w:r>
        <w:rPr>
          <w:rStyle w:val="Strong"/>
        </w:rPr>
        <w:t>Componente:</w:t>
      </w:r>
      <w:r>
        <w:rPr/>
        <w:t xml:space="preserve"> </w:t>
      </w:r>
      <w:r>
        <w:rPr>
          <w:rFonts w:ascii="Cascadia Code;Consolas;monospace" w:hAnsi="Cascadia Code;Consolas;monospace"/>
          <w:color w:val="9B1C1C"/>
          <w:sz w:val="17"/>
        </w:rPr>
        <w:t>app/daily/13/daily13-client.tsx</w:t>
      </w:r>
      <w:r>
        <w:rPr/>
        <w:br/>
      </w:r>
      <w:r>
        <w:rPr>
          <w:rStyle w:val="Strong"/>
        </w:rPr>
        <w:t>Hoja de estilos:</w:t>
      </w:r>
      <w:r>
        <w:rPr/>
        <w:t xml:space="preserve"> </w:t>
      </w:r>
      <w:r>
        <w:rPr>
          <w:rFonts w:ascii="Cascadia Code;Consolas;monospace" w:hAnsi="Cascadia Code;Consolas;monospace"/>
          <w:color w:val="9B1C1C"/>
          <w:sz w:val="17"/>
        </w:rPr>
        <w:t>app/daily/daily-lesson.module.css</w:t>
      </w:r>
      <w:r>
        <w:rPr/>
        <w:t xml:space="preserve">  |  </w:t>
      </w:r>
      <w:r>
        <w:rPr>
          <w:rStyle w:val="Strong"/>
        </w:rPr>
        <w:t>Alcance:</w:t>
      </w:r>
      <w:r>
        <w:rPr/>
        <w:t xml:space="preserve"> estado base, pseudo-elementos y </w:t>
      </w:r>
      <w:r>
        <w:rPr>
          <w:rStyle w:val="Emphasis"/>
        </w:rPr>
        <w:t>hover</w:t>
      </w:r>
      <w:r>
        <w:rPr/>
        <w:t xml:space="preserve"> que afectan a esta pantalla.</w:t>
      </w:r>
    </w:p>
    <w:p>
      <w:pPr>
        <w:pStyle w:val="BodyTextlead"/>
        <w:bidi w:val="0"/>
        <w:jc w:val="start"/>
        <w:rPr/>
      </w:pPr>
      <w:r>
        <w:rPr>
          <w:rStyle w:val="Strong"/>
        </w:rPr>
        <w:t>Resultado visual.</w:t>
      </w:r>
      <w:r>
        <w:rPr/>
        <w:t xml:space="preserve"> La clase se ve como una lección técnica en tema oscuro: fondo azul profundo con halos rojo, azul y verde; barra superior translúcida fija; tarjetas oscuras de bordes redondeados; acentos rojo y cian; y texto claro. La interfaz usa una sola columna, con el resumen lateral antes que el artículo en el orden visual.</w:t>
      </w:r>
    </w:p>
    <w:p>
      <w:pPr>
        <w:pStyle w:val="Heading2"/>
        <w:bidi w:val="0"/>
        <w:jc w:val="start"/>
        <w:rPr/>
      </w:pPr>
      <w:r>
        <w:rPr/>
        <w:t>1. Base global y paleta heredada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El </w:t>
      </w:r>
      <w:r>
        <w:rPr>
          <w:rFonts w:ascii="Cascadia Code;Consolas;monospace" w:hAnsi="Cascadia Code;Consolas;monospace"/>
          <w:color w:val="9B1C1C"/>
          <w:sz w:val="17"/>
        </w:rPr>
        <w:t>body</w:t>
      </w:r>
      <w:r>
        <w:rPr/>
        <w:t xml:space="preserve"> global hereda </w:t>
      </w:r>
      <w:r>
        <w:rPr>
          <w:rFonts w:ascii="Cascadia Code;Consolas;monospace" w:hAnsi="Cascadia Code;Consolas;monospace"/>
          <w:color w:val="26364C"/>
          <w:sz w:val="15"/>
        </w:rPr>
        <w:t>font-family: "Segoe UI", "Inter", "Aptos", Arial, sans-serif</w:t>
      </w:r>
      <w:r>
        <w:rPr/>
        <w:t xml:space="preserve">, fondo </w:t>
      </w:r>
      <w:r>
        <w:rPr>
          <w:rFonts w:ascii="Cascadia Code;Consolas;monospace" w:hAnsi="Cascadia Code;Consolas;monospace"/>
          <w:color w:val="26364C"/>
          <w:sz w:val="15"/>
        </w:rPr>
        <w:t>#79d2ff</w:t>
      </w:r>
      <w:r>
        <w:rPr/>
        <w:t xml:space="preserve"> y texto </w:t>
      </w:r>
      <w:r>
        <w:rPr>
          <w:rFonts w:ascii="Cascadia Code;Consolas;monospace" w:hAnsi="Cascadia Code;Consolas;monospace"/>
          <w:color w:val="26364C"/>
          <w:sz w:val="15"/>
        </w:rPr>
        <w:t>#12213a</w:t>
      </w:r>
      <w:r>
        <w:rPr/>
        <w:t xml:space="preserve">. Dentro de la lección, </w:t>
      </w:r>
      <w:r>
        <w:rPr>
          <w:rFonts w:ascii="Cascadia Code;Consolas;monospace" w:hAnsi="Cascadia Code;Consolas;monospace"/>
          <w:color w:val="9B1C1C"/>
          <w:sz w:val="17"/>
        </w:rPr>
        <w:t>.page</w:t>
      </w:r>
      <w:r>
        <w:rPr/>
        <w:t xml:space="preserve"> sustituye visualmente esos colores con sus propias variables. Los </w:t>
      </w:r>
      <w:r>
        <w:rPr>
          <w:rFonts w:ascii="Cascadia Code;Consolas;monospace" w:hAnsi="Cascadia Code;Consolas;monospace"/>
          <w:color w:val="9B1C1C"/>
          <w:sz w:val="17"/>
        </w:rPr>
        <w:t>h1, h2 y h3</w:t>
      </w:r>
      <w:r>
        <w:rPr/>
        <w:t xml:space="preserve"> usan además la pila global </w:t>
      </w:r>
      <w:r>
        <w:rPr>
          <w:rFonts w:ascii="Cascadia Code;Consolas;monospace" w:hAnsi="Cascadia Code;Consolas;monospace"/>
          <w:color w:val="26364C"/>
          <w:sz w:val="15"/>
        </w:rPr>
        <w:t>"Arial Black", "Segoe UI", Arial, sans-serif</w:t>
      </w:r>
      <w:r>
        <w:rPr/>
        <w:t xml:space="preserve"> y </w:t>
      </w:r>
      <w:r>
        <w:rPr>
          <w:rFonts w:ascii="Cascadia Code;Consolas;monospace" w:hAnsi="Cascadia Code;Consolas;monospace"/>
          <w:color w:val="26364C"/>
          <w:sz w:val="15"/>
        </w:rPr>
        <w:t>letter-spacing: 0.02em</w:t>
      </w:r>
      <w:r>
        <w:rPr/>
        <w:t>.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06"/>
        <w:gridCol w:w="9333"/>
      </w:tblGrid>
      <w:tr>
        <w:trPr/>
        <w:tc>
          <w:tcPr>
            <w:tcW w:w="2006" w:type="dxa"/>
            <w:tcBorders/>
            <w:vAlign w:val="center"/>
          </w:tcPr>
          <w:p>
            <w:pPr>
              <w:pStyle w:val="TableHeading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 xml:space="preserve">Variable de </w:t>
            </w:r>
            <w:r>
              <w:rPr>
                <w:rFonts w:ascii="Cascadia Code;Consolas;monospace" w:hAnsi="Cascadia Code;Consolas;monospace"/>
                <w:color w:val="9B1C1C"/>
                <w:sz w:val="17"/>
              </w:rPr>
              <w:t>.page</w:t>
            </w:r>
          </w:p>
        </w:tc>
        <w:tc>
          <w:tcPr>
            <w:tcW w:w="9333" w:type="dxa"/>
            <w:tcBorders/>
            <w:vAlign w:val="center"/>
          </w:tcPr>
          <w:p>
            <w:pPr>
              <w:pStyle w:val="TableHeading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Valor exacto y uso visual</w:t>
            </w:r>
          </w:p>
        </w:tc>
      </w:tr>
      <w:tr>
        <w:trPr/>
        <w:tc>
          <w:tcPr>
            <w:tcW w:w="200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>
                <w:rFonts w:ascii="Cascadia Code;Consolas;monospace" w:hAnsi="Cascadia Code;Consolas;monospace"/>
                <w:color w:val="9B1C1C"/>
                <w:sz w:val="17"/>
              </w:rPr>
            </w:pPr>
            <w:r>
              <w:rPr>
                <w:rFonts w:ascii="Cascadia Code;Consolas;monospace" w:hAnsi="Cascadia Code;Consolas;monospace"/>
                <w:color w:val="9B1C1C"/>
                <w:sz w:val="17"/>
              </w:rPr>
              <w:t>--bg</w:t>
            </w:r>
          </w:p>
        </w:tc>
        <w:tc>
          <w:tcPr>
            <w:tcW w:w="933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>
                <w:rFonts w:ascii="Cascadia Code;Consolas;monospace" w:hAnsi="Cascadia Code;Consolas;monospace"/>
                <w:color w:val="26364C"/>
                <w:sz w:val="15"/>
              </w:rPr>
              <w:t>#0f3d8f</w:t>
            </w:r>
            <w:r>
              <w:rPr/>
              <w:t>; azul de base del fondo.</w:t>
            </w:r>
          </w:p>
        </w:tc>
      </w:tr>
      <w:tr>
        <w:trPr/>
        <w:tc>
          <w:tcPr>
            <w:tcW w:w="200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>
                <w:rFonts w:ascii="Cascadia Code;Consolas;monospace" w:hAnsi="Cascadia Code;Consolas;monospace"/>
                <w:color w:val="9B1C1C"/>
                <w:sz w:val="17"/>
              </w:rPr>
            </w:pPr>
            <w:r>
              <w:rPr>
                <w:rFonts w:ascii="Cascadia Code;Consolas;monospace" w:hAnsi="Cascadia Code;Consolas;monospace"/>
                <w:color w:val="9B1C1C"/>
                <w:sz w:val="17"/>
              </w:rPr>
              <w:t>--panel / --panel2</w:t>
            </w:r>
          </w:p>
        </w:tc>
        <w:tc>
          <w:tcPr>
            <w:tcW w:w="933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>
                <w:rFonts w:ascii="Cascadia Code;Consolas;monospace" w:hAnsi="Cascadia Code;Consolas;monospace"/>
                <w:color w:val="26364C"/>
                <w:sz w:val="15"/>
              </w:rPr>
              <w:t>#11336d / #0b2b5d</w:t>
            </w:r>
            <w:r>
              <w:rPr/>
              <w:t>; definidos, pero no los consume ningún selector renderizado de Daily #13.</w:t>
            </w:r>
          </w:p>
        </w:tc>
      </w:tr>
      <w:tr>
        <w:trPr/>
        <w:tc>
          <w:tcPr>
            <w:tcW w:w="200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>
                <w:rFonts w:ascii="Cascadia Code;Consolas;monospace" w:hAnsi="Cascadia Code;Consolas;monospace"/>
                <w:color w:val="9B1C1C"/>
                <w:sz w:val="17"/>
              </w:rPr>
            </w:pPr>
            <w:r>
              <w:rPr>
                <w:rFonts w:ascii="Cascadia Code;Consolas;monospace" w:hAnsi="Cascadia Code;Consolas;monospace"/>
                <w:color w:val="9B1C1C"/>
                <w:sz w:val="17"/>
              </w:rPr>
              <w:t>--stroke / --stroke2</w:t>
            </w:r>
          </w:p>
        </w:tc>
        <w:tc>
          <w:tcPr>
            <w:tcW w:w="933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>
                <w:rFonts w:ascii="Cascadia Code;Consolas;monospace" w:hAnsi="Cascadia Code;Consolas;monospace"/>
                <w:color w:val="26364C"/>
                <w:sz w:val="15"/>
              </w:rPr>
              <w:t>rgba(255,255,255,0.08) / rgba(255,255,255,0.12)</w:t>
            </w:r>
            <w:r>
              <w:rPr/>
              <w:t>; bordes blancos muy transparentes, y su variante de interacción.</w:t>
            </w:r>
          </w:p>
        </w:tc>
      </w:tr>
      <w:tr>
        <w:trPr/>
        <w:tc>
          <w:tcPr>
            <w:tcW w:w="200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>
                <w:rFonts w:ascii="Cascadia Code;Consolas;monospace" w:hAnsi="Cascadia Code;Consolas;monospace"/>
                <w:color w:val="9B1C1C"/>
                <w:sz w:val="17"/>
              </w:rPr>
            </w:pPr>
            <w:r>
              <w:rPr>
                <w:rFonts w:ascii="Cascadia Code;Consolas;monospace" w:hAnsi="Cascadia Code;Consolas;monospace"/>
                <w:color w:val="9B1C1C"/>
                <w:sz w:val="17"/>
              </w:rPr>
              <w:t>--text / --muted / --muted2</w:t>
            </w:r>
          </w:p>
        </w:tc>
        <w:tc>
          <w:tcPr>
            <w:tcW w:w="933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>
                <w:rFonts w:ascii="Cascadia Code;Consolas;monospace" w:hAnsi="Cascadia Code;Consolas;monospace"/>
                <w:color w:val="26364C"/>
                <w:sz w:val="15"/>
              </w:rPr>
              <w:t>rgba(255,255,255,0.92) / 0.68 / 0.52</w:t>
            </w:r>
            <w:r>
              <w:rPr/>
              <w:t>; jerarquía de blanco casi pleno, texto secundario y texto aún más atenuado.</w:t>
            </w:r>
          </w:p>
        </w:tc>
      </w:tr>
      <w:tr>
        <w:trPr/>
        <w:tc>
          <w:tcPr>
            <w:tcW w:w="200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>
                <w:rFonts w:ascii="Cascadia Code;Consolas;monospace" w:hAnsi="Cascadia Code;Consolas;monospace"/>
                <w:color w:val="9B1C1C"/>
                <w:sz w:val="17"/>
              </w:rPr>
            </w:pPr>
            <w:r>
              <w:rPr>
                <w:rFonts w:ascii="Cascadia Code;Consolas;monospace" w:hAnsi="Cascadia Code;Consolas;monospace"/>
                <w:color w:val="9B1C1C"/>
                <w:sz w:val="17"/>
              </w:rPr>
              <w:t>--accent / --accent2 / --ok</w:t>
            </w:r>
          </w:p>
        </w:tc>
        <w:tc>
          <w:tcPr>
            <w:tcW w:w="933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>
                <w:rFonts w:ascii="Cascadia Code;Consolas;monospace" w:hAnsi="Cascadia Code;Consolas;monospace"/>
                <w:color w:val="26364C"/>
                <w:sz w:val="15"/>
              </w:rPr>
              <w:t>#e52521 / #049cd8 / #43b047</w:t>
            </w:r>
            <w:r>
              <w:rPr/>
              <w:t>; rojo, cian y verde para halos, etiquetas y estados.</w:t>
            </w:r>
          </w:p>
        </w:tc>
      </w:tr>
      <w:tr>
        <w:trPr/>
        <w:tc>
          <w:tcPr>
            <w:tcW w:w="200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>
                <w:rFonts w:ascii="Cascadia Code;Consolas;monospace" w:hAnsi="Cascadia Code;Consolas;monospace"/>
                <w:color w:val="9B1C1C"/>
                <w:sz w:val="17"/>
              </w:rPr>
            </w:pPr>
            <w:r>
              <w:rPr>
                <w:rFonts w:ascii="Cascadia Code;Consolas;monospace" w:hAnsi="Cascadia Code;Consolas;monospace"/>
                <w:color w:val="9B1C1C"/>
                <w:sz w:val="17"/>
              </w:rPr>
              <w:t>--warn / --bad</w:t>
            </w:r>
          </w:p>
        </w:tc>
        <w:tc>
          <w:tcPr>
            <w:tcW w:w="933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>
                <w:rFonts w:ascii="Cascadia Code;Consolas;monospace" w:hAnsi="Cascadia Code;Consolas;monospace"/>
                <w:color w:val="26364C"/>
                <w:sz w:val="15"/>
              </w:rPr>
              <w:t>#fbd000 / #b52e25</w:t>
            </w:r>
            <w:r>
              <w:rPr/>
              <w:t>; definidos pero sin aplicación directa en Daily #13.</w:t>
            </w:r>
          </w:p>
        </w:tc>
      </w:tr>
      <w:tr>
        <w:trPr/>
        <w:tc>
          <w:tcPr>
            <w:tcW w:w="200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>
                <w:rFonts w:ascii="Cascadia Code;Consolas;monospace" w:hAnsi="Cascadia Code;Consolas;monospace"/>
                <w:color w:val="9B1C1C"/>
                <w:sz w:val="17"/>
              </w:rPr>
            </w:pPr>
            <w:r>
              <w:rPr>
                <w:rFonts w:ascii="Cascadia Code;Consolas;monospace" w:hAnsi="Cascadia Code;Consolas;monospace"/>
                <w:color w:val="9B1C1C"/>
                <w:sz w:val="17"/>
              </w:rPr>
              <w:t>--mono</w:t>
            </w:r>
          </w:p>
        </w:tc>
        <w:tc>
          <w:tcPr>
            <w:tcW w:w="933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>
                <w:rFonts w:ascii="Cascadia Code;Consolas;monospace" w:hAnsi="Cascadia Code;Consolas;monospace"/>
                <w:color w:val="26364C"/>
                <w:sz w:val="15"/>
              </w:rPr>
              <w:t>ui-monospace, SFMono-Regular, Menlo, Monaco, Consolas, "Liberation Mono", "Courier New", monospace</w:t>
            </w:r>
            <w:r>
              <w:rPr/>
              <w:t>; para código, chips y tecla.</w:t>
            </w:r>
          </w:p>
        </w:tc>
      </w:tr>
      <w:tr>
        <w:trPr/>
        <w:tc>
          <w:tcPr>
            <w:tcW w:w="200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>
                <w:rFonts w:ascii="Cascadia Code;Consolas;monospace" w:hAnsi="Cascadia Code;Consolas;monospace"/>
                <w:color w:val="9B1C1C"/>
                <w:sz w:val="17"/>
              </w:rPr>
            </w:pPr>
            <w:r>
              <w:rPr>
                <w:rFonts w:ascii="Cascadia Code;Consolas;monospace" w:hAnsi="Cascadia Code;Consolas;monospace"/>
                <w:color w:val="9B1C1C"/>
                <w:sz w:val="17"/>
              </w:rPr>
              <w:t>--shadow / --r</w:t>
            </w:r>
          </w:p>
        </w:tc>
        <w:tc>
          <w:tcPr>
            <w:tcW w:w="933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>
                <w:rFonts w:ascii="Cascadia Code;Consolas;monospace" w:hAnsi="Cascadia Code;Consolas;monospace"/>
                <w:color w:val="26364C"/>
                <w:sz w:val="15"/>
              </w:rPr>
              <w:t>0 10px 30px rgba(0,0,0,0.35)</w:t>
            </w:r>
            <w:r>
              <w:rPr/>
              <w:t xml:space="preserve"> y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16px</w:t>
            </w:r>
            <w:r>
              <w:rPr/>
              <w:t>; sombra profunda y radio base de tarjeta.</w:t>
            </w:r>
          </w:p>
        </w:tc>
      </w:tr>
    </w:tbl>
    <w:p>
      <w:pPr>
        <w:pStyle w:val="Heading2"/>
        <w:bidi w:val="0"/>
        <w:ind w:hanging="0" w:start="0" w:end="0"/>
        <w:jc w:val="start"/>
        <w:rPr/>
      </w:pPr>
      <w:r>
        <w:rPr/>
        <w:t>2. Lienzo y estructura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10"/>
        <w:gridCol w:w="2909"/>
        <w:gridCol w:w="7220"/>
      </w:tblGrid>
      <w:tr>
        <w:trPr/>
        <w:tc>
          <w:tcPr>
            <w:tcW w:w="1210" w:type="dxa"/>
            <w:tcBorders/>
            <w:vAlign w:val="center"/>
          </w:tcPr>
          <w:p>
            <w:pPr>
              <w:pStyle w:val="TableHeading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Selector</w:t>
            </w:r>
          </w:p>
        </w:tc>
        <w:tc>
          <w:tcPr>
            <w:tcW w:w="2909" w:type="dxa"/>
            <w:tcBorders/>
            <w:vAlign w:val="center"/>
          </w:tcPr>
          <w:p>
            <w:pPr>
              <w:pStyle w:val="TableHeading"/>
              <w:suppressLineNumbers/>
              <w:shd w:fill="E8EEF5" w:val="clear"/>
              <w:bidi w:val="0"/>
              <w:spacing w:before="0" w:after="140"/>
              <w:jc w:val="start"/>
              <w:rPr/>
            </w:pPr>
            <w:r>
              <w:rPr/>
              <w:t>Declaraciones efectivas</w:t>
            </w:r>
          </w:p>
        </w:tc>
        <w:tc>
          <w:tcPr>
            <w:tcW w:w="7220" w:type="dxa"/>
            <w:tcBorders/>
            <w:vAlign w:val="center"/>
          </w:tcPr>
          <w:p>
            <w:pPr>
              <w:pStyle w:val="TableHeading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Efecto visible</w:t>
            </w:r>
          </w:p>
        </w:tc>
      </w:tr>
      <w:tr>
        <w:trPr/>
        <w:tc>
          <w:tcPr>
            <w:tcW w:w="121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>
                <w:rFonts w:ascii="Cascadia Code;Consolas;monospace" w:hAnsi="Cascadia Code;Consolas;monospace"/>
                <w:color w:val="9B1C1C"/>
                <w:sz w:val="17"/>
              </w:rPr>
            </w:pPr>
            <w:r>
              <w:rPr>
                <w:rFonts w:ascii="Cascadia Code;Consolas;monospace" w:hAnsi="Cascadia Code;Consolas;monospace"/>
                <w:color w:val="9B1C1C"/>
                <w:sz w:val="17"/>
              </w:rPr>
              <w:t>.page</w:t>
            </w:r>
          </w:p>
        </w:tc>
        <w:tc>
          <w:tcPr>
            <w:tcW w:w="290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>
                <w:rFonts w:ascii="Cascadia Code;Consolas;monospace" w:hAnsi="Cascadia Code;Consolas;monospace"/>
                <w:color w:val="26364C"/>
                <w:sz w:val="15"/>
              </w:rPr>
              <w:t>min-height: 100vh; color: var(--text); position: relative; overflow: hidden</w:t>
            </w:r>
            <w:r>
              <w:rPr/>
              <w:t>.</w:t>
            </w:r>
          </w:p>
        </w:tc>
        <w:tc>
          <w:tcPr>
            <w:tcW w:w="722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 xml:space="preserve">Ocupa al menos la altura de la ventana, texto claro y recorta cualquier desborde. Su fondo combina tres gradientes radiales y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var(--bg)</w:t>
            </w:r>
            <w:r>
              <w:rPr/>
              <w:t xml:space="preserve">: rojo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1200×800px</w:t>
            </w:r>
            <w:r>
              <w:rPr/>
              <w:t xml:space="preserve"> en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18% 12%</w:t>
            </w:r>
            <w:r>
              <w:rPr/>
              <w:t xml:space="preserve"> a 14%; cian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900×700px</w:t>
            </w:r>
            <w:r>
              <w:rPr/>
              <w:t xml:space="preserve"> en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82% 20%</w:t>
            </w:r>
            <w:r>
              <w:rPr/>
              <w:t xml:space="preserve"> a 10%; verde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700×600px</w:t>
            </w:r>
            <w:r>
              <w:rPr/>
              <w:t xml:space="preserve"> en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45% 90%</w:t>
            </w:r>
            <w:r>
              <w:rPr/>
              <w:t xml:space="preserve"> a 8%.</w:t>
            </w:r>
          </w:p>
        </w:tc>
      </w:tr>
      <w:tr>
        <w:trPr/>
        <w:tc>
          <w:tcPr>
            <w:tcW w:w="121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>
                <w:rFonts w:ascii="Cascadia Code;Consolas;monospace" w:hAnsi="Cascadia Code;Consolas;monospace"/>
                <w:color w:val="9B1C1C"/>
                <w:sz w:val="17"/>
              </w:rPr>
            </w:pPr>
            <w:r>
              <w:rPr>
                <w:rFonts w:ascii="Cascadia Code;Consolas;monospace" w:hAnsi="Cascadia Code;Consolas;monospace"/>
                <w:color w:val="9B1C1C"/>
                <w:sz w:val="17"/>
              </w:rPr>
              <w:t>.page::before</w:t>
            </w:r>
          </w:p>
        </w:tc>
        <w:tc>
          <w:tcPr>
            <w:tcW w:w="290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>
                <w:rFonts w:ascii="Cascadia Code;Consolas;monospace" w:hAnsi="Cascadia Code;Consolas;monospace"/>
                <w:color w:val="26364C"/>
                <w:sz w:val="15"/>
              </w:rPr>
              <w:t>position: absolute; inset: 0; pointer-events: none</w:t>
            </w:r>
            <w:r>
              <w:rPr/>
              <w:t>.</w:t>
            </w:r>
          </w:p>
        </w:tc>
        <w:tc>
          <w:tcPr>
            <w:tcW w:w="722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 xml:space="preserve">Capa no interactiva con dos brillos blancos: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170×80px</w:t>
            </w:r>
            <w:r>
              <w:rPr/>
              <w:t xml:space="preserve"> en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10% 16%</w:t>
            </w:r>
            <w:r>
              <w:rPr/>
              <w:t xml:space="preserve"> (28%) y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210×90px</w:t>
            </w:r>
            <w:r>
              <w:rPr/>
              <w:t xml:space="preserve"> en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90% 20%</w:t>
            </w:r>
            <w:r>
              <w:rPr/>
              <w:t xml:space="preserve"> (25%). Se anima con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skyShift 11s ease-in-out infinite alternate</w:t>
            </w:r>
            <w:r>
              <w:rPr/>
              <w:t xml:space="preserve">, de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translateX(-8px)</w:t>
            </w:r>
            <w:r>
              <w:rPr/>
              <w:t xml:space="preserve"> a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translateX(8px)</w:t>
            </w:r>
            <w:r>
              <w:rPr/>
              <w:t>.</w:t>
            </w:r>
          </w:p>
        </w:tc>
      </w:tr>
      <w:tr>
        <w:trPr/>
        <w:tc>
          <w:tcPr>
            <w:tcW w:w="121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>
                <w:rFonts w:ascii="Cascadia Code;Consolas;monospace" w:hAnsi="Cascadia Code;Consolas;monospace"/>
                <w:color w:val="9B1C1C"/>
                <w:sz w:val="17"/>
              </w:rPr>
            </w:pPr>
            <w:r>
              <w:rPr>
                <w:rFonts w:ascii="Cascadia Code;Consolas;monospace" w:hAnsi="Cascadia Code;Consolas;monospace"/>
                <w:color w:val="9B1C1C"/>
                <w:sz w:val="17"/>
              </w:rPr>
              <w:t>.page *</w:t>
            </w:r>
          </w:p>
        </w:tc>
        <w:tc>
          <w:tcPr>
            <w:tcW w:w="290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>
                <w:rFonts w:ascii="Cascadia Code;Consolas;monospace" w:hAnsi="Cascadia Code;Consolas;monospace"/>
                <w:color w:val="26364C"/>
                <w:sz w:val="15"/>
              </w:rPr>
              <w:t>box-sizing: border-box</w:t>
            </w:r>
            <w:r>
              <w:rPr/>
              <w:t>.</w:t>
            </w:r>
          </w:p>
        </w:tc>
        <w:tc>
          <w:tcPr>
            <w:tcW w:w="722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El tamaño declarado incluye bordes y rellenos.</w:t>
            </w:r>
          </w:p>
        </w:tc>
      </w:tr>
      <w:tr>
        <w:trPr/>
        <w:tc>
          <w:tcPr>
            <w:tcW w:w="121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>
                <w:rFonts w:ascii="Cascadia Code;Consolas;monospace" w:hAnsi="Cascadia Code;Consolas;monospace"/>
                <w:color w:val="9B1C1C"/>
                <w:sz w:val="17"/>
              </w:rPr>
            </w:pPr>
            <w:r>
              <w:rPr>
                <w:rFonts w:ascii="Cascadia Code;Consolas;monospace" w:hAnsi="Cascadia Code;Consolas;monospace"/>
                <w:color w:val="9B1C1C"/>
                <w:sz w:val="17"/>
              </w:rPr>
              <w:t>.page a</w:t>
            </w:r>
          </w:p>
        </w:tc>
        <w:tc>
          <w:tcPr>
            <w:tcW w:w="290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>
                <w:rFonts w:ascii="Cascadia Code;Consolas;monospace" w:hAnsi="Cascadia Code;Consolas;monospace"/>
                <w:color w:val="26364C"/>
                <w:sz w:val="15"/>
              </w:rPr>
              <w:t>color: inherit; text-decoration: none</w:t>
            </w:r>
            <w:r>
              <w:rPr/>
              <w:t>.</w:t>
            </w:r>
          </w:p>
        </w:tc>
        <w:tc>
          <w:tcPr>
            <w:tcW w:w="722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Los enlaces no muestran subrayado ni color del navegador.</w:t>
            </w:r>
          </w:p>
        </w:tc>
      </w:tr>
      <w:tr>
        <w:trPr/>
        <w:tc>
          <w:tcPr>
            <w:tcW w:w="121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>
                <w:rFonts w:ascii="Cascadia Code;Consolas;monospace" w:hAnsi="Cascadia Code;Consolas;monospace"/>
                <w:color w:val="9B1C1C"/>
                <w:sz w:val="17"/>
              </w:rPr>
            </w:pPr>
            <w:r>
              <w:rPr>
                <w:rFonts w:ascii="Cascadia Code;Consolas;monospace" w:hAnsi="Cascadia Code;Consolas;monospace"/>
                <w:color w:val="9B1C1C"/>
                <w:sz w:val="17"/>
              </w:rPr>
              <w:t>.container</w:t>
            </w:r>
          </w:p>
        </w:tc>
        <w:tc>
          <w:tcPr>
            <w:tcW w:w="290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>
                <w:rFonts w:ascii="Cascadia Code;Consolas;monospace" w:hAnsi="Cascadia Code;Consolas;monospace"/>
                <w:color w:val="26364C"/>
                <w:sz w:val="15"/>
              </w:rPr>
              <w:t>max-width: 1120px; margin: 0 auto; padding: 18px 18px 70px</w:t>
            </w:r>
            <w:r>
              <w:rPr/>
              <w:t>.</w:t>
            </w:r>
          </w:p>
        </w:tc>
        <w:tc>
          <w:tcPr>
            <w:tcW w:w="722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Contenido centrado, con 18 px laterales/superiores y 70 px al final.</w:t>
            </w:r>
          </w:p>
        </w:tc>
      </w:tr>
      <w:tr>
        <w:trPr/>
        <w:tc>
          <w:tcPr>
            <w:tcW w:w="121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>
                <w:rFonts w:ascii="Cascadia Code;Consolas;monospace" w:hAnsi="Cascadia Code;Consolas;monospace"/>
                <w:color w:val="9B1C1C"/>
                <w:sz w:val="17"/>
              </w:rPr>
            </w:pPr>
            <w:r>
              <w:rPr>
                <w:rFonts w:ascii="Cascadia Code;Consolas;monospace" w:hAnsi="Cascadia Code;Consolas;monospace"/>
                <w:color w:val="9B1C1C"/>
                <w:sz w:val="17"/>
              </w:rPr>
              <w:t>.grid</w:t>
            </w:r>
          </w:p>
        </w:tc>
        <w:tc>
          <w:tcPr>
            <w:tcW w:w="290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>
                <w:rFonts w:ascii="Cascadia Code;Consolas;monospace" w:hAnsi="Cascadia Code;Consolas;monospace"/>
                <w:color w:val="26364C"/>
                <w:sz w:val="15"/>
              </w:rPr>
              <w:t>display: grid; grid-template-columns: 1fr; gap: 16px; margin-top: 16px; align-items: start</w:t>
            </w:r>
            <w:r>
              <w:rPr/>
              <w:t>.</w:t>
            </w:r>
          </w:p>
        </w:tc>
        <w:tc>
          <w:tcPr>
            <w:tcW w:w="722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 xml:space="preserve">Siempre una columna; no existe </w:t>
            </w:r>
            <w:r>
              <w:rPr>
                <w:rStyle w:val="Emphasis"/>
              </w:rPr>
              <w:t>media query</w:t>
            </w:r>
            <w:r>
              <w:rPr/>
              <w:t xml:space="preserve"> en el módulo.</w:t>
            </w:r>
          </w:p>
        </w:tc>
      </w:tr>
      <w:tr>
        <w:trPr/>
        <w:tc>
          <w:tcPr>
            <w:tcW w:w="121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>
                <w:rFonts w:ascii="Cascadia Code;Consolas;monospace" w:hAnsi="Cascadia Code;Consolas;monospace"/>
                <w:color w:val="9B1C1C"/>
                <w:sz w:val="17"/>
              </w:rPr>
            </w:pPr>
            <w:r>
              <w:rPr>
                <w:rFonts w:ascii="Cascadia Code;Consolas;monospace" w:hAnsi="Cascadia Code;Consolas;monospace"/>
                <w:color w:val="9B1C1C"/>
                <w:sz w:val="17"/>
              </w:rPr>
              <w:t>.grid &gt; .card / .sidebar</w:t>
            </w:r>
          </w:p>
        </w:tc>
        <w:tc>
          <w:tcPr>
            <w:tcW w:w="290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>
                <w:rFonts w:ascii="Cascadia Code;Consolas;monospace" w:hAnsi="Cascadia Code;Consolas;monospace"/>
                <w:color w:val="26364C"/>
                <w:sz w:val="15"/>
              </w:rPr>
              <w:t>order: 2</w:t>
            </w:r>
            <w:r>
              <w:rPr/>
              <w:t xml:space="preserve"> para el artículo y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order: 1</w:t>
            </w:r>
            <w:r>
              <w:rPr/>
              <w:t xml:space="preserve"> para la barra lateral.</w:t>
            </w:r>
          </w:p>
        </w:tc>
        <w:tc>
          <w:tcPr>
            <w:tcW w:w="722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Aunque el artículo está primero en el JSX, el “Resumen rápido” se presenta antes en la columna.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3. Barra superior y navegación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04"/>
        <w:gridCol w:w="9835"/>
      </w:tblGrid>
      <w:tr>
        <w:trPr/>
        <w:tc>
          <w:tcPr>
            <w:tcW w:w="1504" w:type="dxa"/>
            <w:tcBorders/>
            <w:vAlign w:val="center"/>
          </w:tcPr>
          <w:p>
            <w:pPr>
              <w:pStyle w:val="TableHeading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Selector</w:t>
            </w:r>
          </w:p>
        </w:tc>
        <w:tc>
          <w:tcPr>
            <w:tcW w:w="9835" w:type="dxa"/>
            <w:tcBorders/>
            <w:vAlign w:val="center"/>
          </w:tcPr>
          <w:p>
            <w:pPr>
              <w:pStyle w:val="TableHeading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Descripción exacta</w:t>
            </w:r>
          </w:p>
        </w:tc>
      </w:tr>
      <w:tr>
        <w:trPr/>
        <w:tc>
          <w:tcPr>
            <w:tcW w:w="150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>
                <w:rFonts w:ascii="Cascadia Code;Consolas;monospace" w:hAnsi="Cascadia Code;Consolas;monospace"/>
                <w:color w:val="9B1C1C"/>
                <w:sz w:val="17"/>
              </w:rPr>
            </w:pPr>
            <w:r>
              <w:rPr>
                <w:rFonts w:ascii="Cascadia Code;Consolas;monospace" w:hAnsi="Cascadia Code;Consolas;monospace"/>
                <w:color w:val="9B1C1C"/>
                <w:sz w:val="17"/>
              </w:rPr>
              <w:t>.topbar</w:t>
            </w:r>
          </w:p>
        </w:tc>
        <w:tc>
          <w:tcPr>
            <w:tcW w:w="983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>
                <w:rFonts w:ascii="Cascadia Code;Consolas;monospace" w:hAnsi="Cascadia Code;Consolas;monospace"/>
                <w:color w:val="26364C"/>
                <w:sz w:val="15"/>
              </w:rPr>
              <w:t>position: sticky; top: 0; z-index: 50; backdrop-filter: blur(10px)</w:t>
            </w:r>
            <w:r>
              <w:rPr/>
              <w:t xml:space="preserve">, fondo lineal vertical de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rgba(11,15,23,0.78)</w:t>
            </w:r>
            <w:r>
              <w:rPr/>
              <w:t xml:space="preserve"> a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rgba(11,15,23,0.45)</w:t>
            </w:r>
            <w:r>
              <w:rPr/>
              <w:t xml:space="preserve"> y borde inferior de 1 px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var(--stroke)</w:t>
            </w:r>
            <w:r>
              <w:rPr/>
              <w:t>. Permanece arriba al desplazarse y deja ver el fondo desenfocado.</w:t>
            </w:r>
          </w:p>
        </w:tc>
      </w:tr>
      <w:tr>
        <w:trPr/>
        <w:tc>
          <w:tcPr>
            <w:tcW w:w="150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>
                <w:rFonts w:ascii="Cascadia Code;Consolas;monospace" w:hAnsi="Cascadia Code;Consolas;monospace"/>
                <w:color w:val="9B1C1C"/>
                <w:sz w:val="17"/>
              </w:rPr>
            </w:pPr>
            <w:r>
              <w:rPr>
                <w:rFonts w:ascii="Cascadia Code;Consolas;monospace" w:hAnsi="Cascadia Code;Consolas;monospace"/>
                <w:color w:val="9B1C1C"/>
                <w:sz w:val="17"/>
              </w:rPr>
              <w:t>.topbarInner</w:t>
            </w:r>
          </w:p>
        </w:tc>
        <w:tc>
          <w:tcPr>
            <w:tcW w:w="983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>
                <w:rFonts w:ascii="Cascadia Code;Consolas;monospace" w:hAnsi="Cascadia Code;Consolas;monospace"/>
                <w:color w:val="26364C"/>
                <w:sz w:val="15"/>
              </w:rPr>
              <w:t>max-width: 1120px; margin: 0 auto; padding: 14px 18px; display: flex; align-items: center; justify-content: space-between; gap: 12px</w:t>
            </w:r>
            <w:r>
              <w:rPr/>
              <w:t>.</w:t>
            </w:r>
          </w:p>
        </w:tc>
      </w:tr>
      <w:tr>
        <w:trPr/>
        <w:tc>
          <w:tcPr>
            <w:tcW w:w="150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>
                <w:rFonts w:ascii="Cascadia Code;Consolas;monospace" w:hAnsi="Cascadia Code;Consolas;monospace"/>
                <w:color w:val="9B1C1C"/>
                <w:sz w:val="17"/>
              </w:rPr>
            </w:pPr>
            <w:r>
              <w:rPr>
                <w:rFonts w:ascii="Cascadia Code;Consolas;monospace" w:hAnsi="Cascadia Code;Consolas;monospace"/>
                <w:color w:val="9B1C1C"/>
                <w:sz w:val="17"/>
              </w:rPr>
              <w:t>.brand / .brand h1 / .brandSub</w:t>
            </w:r>
          </w:p>
        </w:tc>
        <w:tc>
          <w:tcPr>
            <w:tcW w:w="983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 xml:space="preserve">Marca en fila, centrada verticalmente, con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gap: 10px</w:t>
            </w:r>
            <w:r>
              <w:rPr/>
              <w:t xml:space="preserve">. El nombre mide 13 px, sin margen y con 0.4 px de espaciado. El subtítulo mide 12 px, color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var(--muted2)</w:t>
            </w:r>
            <w:r>
              <w:rPr/>
              <w:t xml:space="preserve"> y margen superior de 2 px.</w:t>
            </w:r>
          </w:p>
        </w:tc>
      </w:tr>
      <w:tr>
        <w:trPr/>
        <w:tc>
          <w:tcPr>
            <w:tcW w:w="150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>
                <w:rFonts w:ascii="Cascadia Code;Consolas;monospace" w:hAnsi="Cascadia Code;Consolas;monospace"/>
                <w:color w:val="9B1C1C"/>
                <w:sz w:val="17"/>
              </w:rPr>
            </w:pPr>
            <w:r>
              <w:rPr>
                <w:rFonts w:ascii="Cascadia Code;Consolas;monospace" w:hAnsi="Cascadia Code;Consolas;monospace"/>
                <w:color w:val="9B1C1C"/>
                <w:sz w:val="17"/>
              </w:rPr>
              <w:t>.logo / .logo::after</w:t>
            </w:r>
          </w:p>
        </w:tc>
        <w:tc>
          <w:tcPr>
            <w:tcW w:w="983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 xml:space="preserve">Cuadrado de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34×34px</w:t>
            </w:r>
            <w:r>
              <w:rPr/>
              <w:t xml:space="preserve">, radio 10 px, gradiente 135° de rojo a cian y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var(--shadow)</w:t>
            </w:r>
            <w:r>
              <w:rPr/>
              <w:t xml:space="preserve">. Su pseudo-elemento interior está a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inset: 9px</w:t>
            </w:r>
            <w:r>
              <w:rPr/>
              <w:t>, radio 8 px y borde blanco de 22% de opacidad.</w:t>
            </w:r>
          </w:p>
        </w:tc>
      </w:tr>
      <w:tr>
        <w:trPr/>
        <w:tc>
          <w:tcPr>
            <w:tcW w:w="150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>
                <w:rFonts w:ascii="Cascadia Code;Consolas;monospace" w:hAnsi="Cascadia Code;Consolas;monospace"/>
                <w:color w:val="9B1C1C"/>
                <w:sz w:val="17"/>
              </w:rPr>
            </w:pPr>
            <w:r>
              <w:rPr>
                <w:rFonts w:ascii="Cascadia Code;Consolas;monospace" w:hAnsi="Cascadia Code;Consolas;monospace"/>
                <w:color w:val="9B1C1C"/>
                <w:sz w:val="17"/>
              </w:rPr>
              <w:t>.nav / .actions</w:t>
            </w:r>
          </w:p>
        </w:tc>
        <w:tc>
          <w:tcPr>
            <w:tcW w:w="983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 xml:space="preserve">Ambos son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flex</w:t>
            </w:r>
            <w:r>
              <w:rPr/>
              <w:t xml:space="preserve">, con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gap: 10px</w:t>
            </w:r>
            <w:r>
              <w:rPr/>
              <w:t xml:space="preserve"> y salto de línea. La navegación se centra; las acciones se alinean al final.</w:t>
            </w:r>
          </w:p>
        </w:tc>
      </w:tr>
      <w:tr>
        <w:trPr/>
        <w:tc>
          <w:tcPr>
            <w:tcW w:w="150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>
                <w:rFonts w:ascii="Cascadia Code;Consolas;monospace" w:hAnsi="Cascadia Code;Consolas;monospace"/>
                <w:color w:val="9B1C1C"/>
                <w:sz w:val="17"/>
              </w:rPr>
            </w:pPr>
            <w:r>
              <w:rPr>
                <w:rFonts w:ascii="Cascadia Code;Consolas;monospace" w:hAnsi="Cascadia Code;Consolas;monospace"/>
                <w:color w:val="9B1C1C"/>
                <w:sz w:val="17"/>
              </w:rPr>
              <w:t>.pill</w:t>
            </w:r>
          </w:p>
        </w:tc>
        <w:tc>
          <w:tcPr>
            <w:tcW w:w="983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 xml:space="preserve">Relleno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8px 10px</w:t>
            </w:r>
            <w:r>
              <w:rPr/>
              <w:t xml:space="preserve">, borde de 1 px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var(--stroke)</w:t>
            </w:r>
            <w:r>
              <w:rPr/>
              <w:t>, cápsula (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999px</w:t>
            </w:r>
            <w:r>
              <w:rPr/>
              <w:t xml:space="preserve">), 12 px, texto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var(--muted)</w:t>
            </w:r>
            <w:r>
              <w:rPr/>
              <w:t xml:space="preserve"> y fondo blanco al 3%. En </w:t>
            </w:r>
            <w:r>
              <w:rPr>
                <w:rStyle w:val="Emphasis"/>
              </w:rPr>
              <w:t>hover</w:t>
            </w:r>
            <w:r>
              <w:rPr/>
              <w:t xml:space="preserve">: borde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var(--stroke2)</w:t>
            </w:r>
            <w:r>
              <w:rPr/>
              <w:t xml:space="preserve"> y texto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var(--text)</w:t>
            </w:r>
            <w:r>
              <w:rPr/>
              <w:t>.</w:t>
            </w:r>
          </w:p>
        </w:tc>
      </w:tr>
      <w:tr>
        <w:trPr/>
        <w:tc>
          <w:tcPr>
            <w:tcW w:w="150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>
                <w:rFonts w:ascii="Cascadia Code;Consolas;monospace" w:hAnsi="Cascadia Code;Consolas;monospace"/>
                <w:color w:val="9B1C1C"/>
                <w:sz w:val="17"/>
              </w:rPr>
            </w:pPr>
            <w:r>
              <w:rPr>
                <w:rFonts w:ascii="Cascadia Code;Consolas;monospace" w:hAnsi="Cascadia Code;Consolas;monospace"/>
                <w:color w:val="9B1C1C"/>
                <w:sz w:val="17"/>
              </w:rPr>
              <w:t>.btn / .kbd</w:t>
            </w:r>
          </w:p>
        </w:tc>
        <w:tc>
          <w:tcPr>
            <w:tcW w:w="983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 xml:space="preserve">Botón: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inline-flex</w:t>
            </w:r>
            <w:r>
              <w:rPr/>
              <w:t xml:space="preserve">, centrado, 8 px de separación, relleno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10px 12px</w:t>
            </w:r>
            <w:r>
              <w:rPr/>
              <w:t xml:space="preserve">, radio 12 px, 13 px, borde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var(--stroke)</w:t>
            </w:r>
            <w:r>
              <w:rPr/>
              <w:t xml:space="preserve">, fondo blanco 3% y cursor de mano. En </w:t>
            </w:r>
            <w:r>
              <w:rPr>
                <w:rStyle w:val="Emphasis"/>
              </w:rPr>
              <w:t>hover</w:t>
            </w:r>
            <w:r>
              <w:rPr/>
              <w:t xml:space="preserve">, borde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var(--stroke2)</w:t>
            </w:r>
            <w:r>
              <w:rPr/>
              <w:t xml:space="preserve">. La tecla ← usa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--mono</w:t>
            </w:r>
            <w:r>
              <w:rPr/>
              <w:t xml:space="preserve">, 11 px, relleno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2px 6px</w:t>
            </w:r>
            <w:r>
              <w:rPr/>
              <w:t>, radio 8 px, fondo negro 25%, borde y texto atenuados.</w:t>
            </w:r>
          </w:p>
        </w:tc>
      </w:tr>
    </w:tbl>
    <w:p>
      <w:pPr>
        <w:pStyle w:val="Heading2"/>
        <w:bidi w:val="0"/>
        <w:ind w:hanging="0" w:start="0" w:end="0"/>
        <w:jc w:val="start"/>
        <w:rPr/>
      </w:pPr>
      <w:r>
        <w:rPr/>
        <w:t>4. Tarjetas, cabecera de la lección y metadatos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92"/>
        <w:gridCol w:w="10147"/>
      </w:tblGrid>
      <w:tr>
        <w:trPr/>
        <w:tc>
          <w:tcPr>
            <w:tcW w:w="1192" w:type="dxa"/>
            <w:tcBorders/>
            <w:vAlign w:val="center"/>
          </w:tcPr>
          <w:p>
            <w:pPr>
              <w:pStyle w:val="TableHeading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Selector</w:t>
            </w:r>
          </w:p>
        </w:tc>
        <w:tc>
          <w:tcPr>
            <w:tcW w:w="10147" w:type="dxa"/>
            <w:tcBorders/>
            <w:vAlign w:val="center"/>
          </w:tcPr>
          <w:p>
            <w:pPr>
              <w:pStyle w:val="TableHeading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Descripción exacta</w:t>
            </w:r>
          </w:p>
        </w:tc>
      </w:tr>
      <w:tr>
        <w:trPr/>
        <w:tc>
          <w:tcPr>
            <w:tcW w:w="11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>
                <w:rFonts w:ascii="Cascadia Code;Consolas;monospace" w:hAnsi="Cascadia Code;Consolas;monospace"/>
                <w:color w:val="9B1C1C"/>
                <w:sz w:val="17"/>
              </w:rPr>
            </w:pPr>
            <w:r>
              <w:rPr>
                <w:rFonts w:ascii="Cascadia Code;Consolas;monospace" w:hAnsi="Cascadia Code;Consolas;monospace"/>
                <w:color w:val="9B1C1C"/>
                <w:sz w:val="17"/>
              </w:rPr>
              <w:t>.card</w:t>
            </w:r>
          </w:p>
        </w:tc>
        <w:tc>
          <w:tcPr>
            <w:tcW w:w="1014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 xml:space="preserve">Fondo lineal de 180°: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rgba(15,22,35,0.92)</w:t>
            </w:r>
            <w:r>
              <w:rPr/>
              <w:t xml:space="preserve"> a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rgba(12,18,32,0.92)</w:t>
            </w:r>
            <w:r>
              <w:rPr/>
              <w:t xml:space="preserve">; borde de 1 px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var(--stroke)</w:t>
            </w:r>
            <w:r>
              <w:rPr/>
              <w:t xml:space="preserve">, radio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var(--r)</w:t>
            </w:r>
            <w:r>
              <w:rPr/>
              <w:t xml:space="preserve"> (16 px),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var(--shadow)</w:t>
            </w:r>
            <w:r>
              <w:rPr/>
              <w:t xml:space="preserve"> y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overflow: hidden</w:t>
            </w:r>
            <w:r>
              <w:rPr/>
              <w:t>.</w:t>
            </w:r>
          </w:p>
        </w:tc>
      </w:tr>
      <w:tr>
        <w:trPr/>
        <w:tc>
          <w:tcPr>
            <w:tcW w:w="11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>
                <w:rFonts w:ascii="Cascadia Code;Consolas;monospace" w:hAnsi="Cascadia Code;Consolas;monospace"/>
                <w:color w:val="9B1C1C"/>
                <w:sz w:val="17"/>
              </w:rPr>
            </w:pPr>
            <w:r>
              <w:rPr>
                <w:rFonts w:ascii="Cascadia Code;Consolas;monospace" w:hAnsi="Cascadia Code;Consolas;monospace"/>
                <w:color w:val="9B1C1C"/>
                <w:sz w:val="17"/>
              </w:rPr>
              <w:t>.bd</w:t>
            </w:r>
          </w:p>
        </w:tc>
        <w:tc>
          <w:tcPr>
            <w:tcW w:w="1014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>
                <w:rFonts w:ascii="Cascadia Code;Consolas;monospace" w:hAnsi="Cascadia Code;Consolas;monospace"/>
                <w:color w:val="26364C"/>
                <w:sz w:val="15"/>
              </w:rPr>
              <w:t>padding: 16px</w:t>
            </w:r>
            <w:r>
              <w:rPr/>
              <w:t xml:space="preserve">. En la tarjeta dentro de </w:t>
            </w:r>
            <w:r>
              <w:rPr>
                <w:rFonts w:ascii="Cascadia Code;Consolas;monospace" w:hAnsi="Cascadia Code;Consolas;monospace"/>
                <w:color w:val="9B1C1C"/>
                <w:sz w:val="17"/>
              </w:rPr>
              <w:t>.sidebar</w:t>
            </w:r>
            <w:r>
              <w:rPr/>
              <w:t xml:space="preserve"> se reemplaza por una cuadrícula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repeat(auto-fit, minmax(220px, 1fr))</w:t>
            </w:r>
            <w:r>
              <w:rPr/>
              <w:t xml:space="preserve"> con separación de 8 px.</w:t>
            </w:r>
          </w:p>
        </w:tc>
      </w:tr>
      <w:tr>
        <w:trPr/>
        <w:tc>
          <w:tcPr>
            <w:tcW w:w="11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>
                <w:rFonts w:ascii="Cascadia Code;Consolas;monospace" w:hAnsi="Cascadia Code;Consolas;monospace"/>
                <w:color w:val="9B1C1C"/>
                <w:sz w:val="17"/>
              </w:rPr>
            </w:pPr>
            <w:r>
              <w:rPr>
                <w:rFonts w:ascii="Cascadia Code;Consolas;monospace" w:hAnsi="Cascadia Code;Consolas;monospace"/>
                <w:color w:val="9B1C1C"/>
                <w:sz w:val="17"/>
              </w:rPr>
              <w:t>.dailyHero</w:t>
            </w:r>
          </w:p>
        </w:tc>
        <w:tc>
          <w:tcPr>
            <w:tcW w:w="1014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 xml:space="preserve">Relleno 18 px, borde de 1 px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var(--stroke)</w:t>
            </w:r>
            <w:r>
              <w:rPr/>
              <w:t xml:space="preserve">, radio 18 px, fondo blanco al 2%, posición relativa y recorte. Su pseudo-elemento es una mancha radial roja al 30%, ubicada desde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inset: -90px -90px auto auto</w:t>
            </w:r>
            <w:r>
              <w:rPr/>
              <w:t xml:space="preserve">, de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260×260px</w:t>
            </w:r>
            <w:r>
              <w:rPr/>
              <w:t xml:space="preserve"> y rotada 12°.</w:t>
            </w:r>
          </w:p>
        </w:tc>
      </w:tr>
      <w:tr>
        <w:trPr/>
        <w:tc>
          <w:tcPr>
            <w:tcW w:w="11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>
                <w:rFonts w:ascii="Cascadia Code;Consolas;monospace" w:hAnsi="Cascadia Code;Consolas;monospace"/>
                <w:color w:val="9B1C1C"/>
                <w:sz w:val="17"/>
              </w:rPr>
            </w:pPr>
            <w:r>
              <w:rPr>
                <w:rFonts w:ascii="Cascadia Code;Consolas;monospace" w:hAnsi="Cascadia Code;Consolas;monospace"/>
                <w:color w:val="9B1C1C"/>
                <w:sz w:val="17"/>
              </w:rPr>
              <w:t>.badge</w:t>
            </w:r>
          </w:p>
        </w:tc>
        <w:tc>
          <w:tcPr>
            <w:tcW w:w="1014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 xml:space="preserve">Cápsula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inline-flex</w:t>
            </w:r>
            <w:r>
              <w:rPr/>
              <w:t xml:space="preserve">, centrada, separación 8 px, relleno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6px 10px</w:t>
            </w:r>
            <w:r>
              <w:rPr/>
              <w:t xml:space="preserve">, borde cian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rgba(4,156,216,0.28)</w:t>
            </w:r>
            <w:r>
              <w:rPr/>
              <w:t>, radio 999 px, fondo cian 10%, texto blanco 86%, 12 px y posición relativa.</w:t>
            </w:r>
          </w:p>
        </w:tc>
      </w:tr>
      <w:tr>
        <w:trPr/>
        <w:tc>
          <w:tcPr>
            <w:tcW w:w="11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>
                <w:rFonts w:ascii="Cascadia Code;Consolas;monospace" w:hAnsi="Cascadia Code;Consolas;monospace"/>
                <w:color w:val="9B1C1C"/>
                <w:sz w:val="17"/>
              </w:rPr>
            </w:pPr>
            <w:r>
              <w:rPr>
                <w:rFonts w:ascii="Cascadia Code;Consolas;monospace" w:hAnsi="Cascadia Code;Consolas;monospace"/>
                <w:color w:val="9B1C1C"/>
                <w:sz w:val="17"/>
              </w:rPr>
              <w:t>.title</w:t>
            </w:r>
          </w:p>
        </w:tc>
        <w:tc>
          <w:tcPr>
            <w:tcW w:w="1014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 xml:space="preserve">Encabezado </w:t>
            </w:r>
            <w:r>
              <w:rPr>
                <w:rFonts w:ascii="Cascadia Code;Consolas;monospace" w:hAnsi="Cascadia Code;Consolas;monospace"/>
                <w:color w:val="9B1C1C"/>
                <w:sz w:val="17"/>
              </w:rPr>
              <w:t>h2</w:t>
            </w:r>
            <w:r>
              <w:rPr/>
              <w:t xml:space="preserve"> de 26 px,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line-height: 1.15</w:t>
            </w:r>
            <w:r>
              <w:rPr/>
              <w:t xml:space="preserve">, márgenes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10px 0 6px</w:t>
            </w:r>
            <w:r>
              <w:rPr/>
              <w:t xml:space="preserve"> y posición relativa. También hereda la familia de titulares global.</w:t>
            </w:r>
          </w:p>
        </w:tc>
      </w:tr>
      <w:tr>
        <w:trPr/>
        <w:tc>
          <w:tcPr>
            <w:tcW w:w="11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>
                <w:rFonts w:ascii="Cascadia Code;Consolas;monospace" w:hAnsi="Cascadia Code;Consolas;monospace"/>
                <w:color w:val="9B1C1C"/>
                <w:sz w:val="17"/>
              </w:rPr>
            </w:pPr>
            <w:r>
              <w:rPr>
                <w:rFonts w:ascii="Cascadia Code;Consolas;monospace" w:hAnsi="Cascadia Code;Consolas;monospace"/>
                <w:color w:val="9B1C1C"/>
                <w:sz w:val="17"/>
              </w:rPr>
              <w:t>.meta</w:t>
            </w:r>
          </w:p>
        </w:tc>
        <w:tc>
          <w:tcPr>
            <w:tcW w:w="1014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>
                <w:rFonts w:ascii="Cascadia Code;Consolas;monospace" w:hAnsi="Cascadia Code;Consolas;monospace"/>
                <w:color w:val="26364C"/>
                <w:sz w:val="15"/>
              </w:rPr>
              <w:t>flex</w:t>
            </w:r>
            <w:r>
              <w:rPr/>
              <w:t xml:space="preserve"> con salto, separación 10 px, margen superior 10 px y posición relativa.</w:t>
            </w:r>
          </w:p>
        </w:tc>
      </w:tr>
      <w:tr>
        <w:trPr/>
        <w:tc>
          <w:tcPr>
            <w:tcW w:w="11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>
                <w:rFonts w:ascii="Cascadia Code;Consolas;monospace" w:hAnsi="Cascadia Code;Consolas;monospace"/>
                <w:color w:val="9B1C1C"/>
                <w:sz w:val="17"/>
              </w:rPr>
            </w:pPr>
            <w:r>
              <w:rPr>
                <w:rFonts w:ascii="Cascadia Code;Consolas;monospace" w:hAnsi="Cascadia Code;Consolas;monospace"/>
                <w:color w:val="9B1C1C"/>
                <w:sz w:val="17"/>
              </w:rPr>
              <w:t>.chip</w:t>
            </w:r>
          </w:p>
        </w:tc>
        <w:tc>
          <w:tcPr>
            <w:tcW w:w="1014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 xml:space="preserve">Cápsula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inline-flex</w:t>
            </w:r>
            <w:r>
              <w:rPr/>
              <w:t xml:space="preserve">, centrada, separación 6 px, familia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--mono</w:t>
            </w:r>
            <w:r>
              <w:rPr/>
              <w:t xml:space="preserve">, 11 px, relleno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3px 8px</w:t>
            </w:r>
            <w:r>
              <w:rPr/>
              <w:t xml:space="preserve">, radio 999 px, borde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var(--stroke)</w:t>
            </w:r>
            <w:r>
              <w:rPr/>
              <w:t xml:space="preserve">, texto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var(--muted)</w:t>
            </w:r>
            <w:r>
              <w:rPr/>
              <w:t xml:space="preserve"> y fondo negro 18%.</w:t>
            </w:r>
          </w:p>
        </w:tc>
      </w:tr>
      <w:tr>
        <w:trPr/>
        <w:tc>
          <w:tcPr>
            <w:tcW w:w="11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>
                <w:rFonts w:ascii="Cascadia Code;Consolas;monospace" w:hAnsi="Cascadia Code;Consolas;monospace"/>
                <w:color w:val="9B1C1C"/>
                <w:sz w:val="17"/>
              </w:rPr>
            </w:pPr>
            <w:r>
              <w:rPr>
                <w:rFonts w:ascii="Cascadia Code;Consolas;monospace" w:hAnsi="Cascadia Code;Consolas;monospace"/>
                <w:color w:val="9B1C1C"/>
                <w:sz w:val="17"/>
              </w:rPr>
              <w:t>.chipOk / .chipPro</w:t>
            </w:r>
          </w:p>
        </w:tc>
        <w:tc>
          <w:tcPr>
            <w:tcW w:w="1014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“</w:t>
            </w:r>
            <w:r>
              <w:rPr/>
              <w:t>3–6 min” y “Cierre” añaden borde verde 28% y fondo verde 10%. “Tag: Arquitectura” añade borde rojo 28% y fondo rojo 10%. Los demás chips conservan el estilo base.</w:t>
            </w:r>
          </w:p>
        </w:tc>
      </w:tr>
      <w:tr>
        <w:trPr/>
        <w:tc>
          <w:tcPr>
            <w:tcW w:w="11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>
                <w:rFonts w:ascii="Cascadia Code;Consolas;monospace" w:hAnsi="Cascadia Code;Consolas;monospace"/>
                <w:color w:val="9B1C1C"/>
                <w:sz w:val="17"/>
              </w:rPr>
            </w:pPr>
            <w:r>
              <w:rPr>
                <w:rFonts w:ascii="Cascadia Code;Consolas;monospace" w:hAnsi="Cascadia Code;Consolas;monospace"/>
                <w:color w:val="9B1C1C"/>
                <w:sz w:val="17"/>
              </w:rPr>
              <w:t>.lead</w:t>
            </w:r>
          </w:p>
        </w:tc>
        <w:tc>
          <w:tcPr>
            <w:tcW w:w="1014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 xml:space="preserve">Margen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12px 0 0</w:t>
            </w:r>
            <w:r>
              <w:rPr/>
              <w:t xml:space="preserve">, color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var(--muted)</w:t>
            </w:r>
            <w:r>
              <w:rPr/>
              <w:t xml:space="preserve">, 14 px,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line-height: 1.65</w:t>
            </w:r>
            <w:r>
              <w:rPr/>
              <w:t>, ancho máximo de 72 caracteres y posición relativa.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5. Secciones de contenido y código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72"/>
        <w:gridCol w:w="10067"/>
      </w:tblGrid>
      <w:tr>
        <w:trPr/>
        <w:tc>
          <w:tcPr>
            <w:tcW w:w="1272" w:type="dxa"/>
            <w:tcBorders/>
            <w:vAlign w:val="center"/>
          </w:tcPr>
          <w:p>
            <w:pPr>
              <w:pStyle w:val="TableHeading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Selector</w:t>
            </w:r>
          </w:p>
        </w:tc>
        <w:tc>
          <w:tcPr>
            <w:tcW w:w="10067" w:type="dxa"/>
            <w:tcBorders/>
            <w:vAlign w:val="center"/>
          </w:tcPr>
          <w:p>
            <w:pPr>
              <w:pStyle w:val="TableHeading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Descripción exacta</w:t>
            </w:r>
          </w:p>
        </w:tc>
      </w:tr>
      <w:tr>
        <w:trPr/>
        <w:tc>
          <w:tcPr>
            <w:tcW w:w="127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>
                <w:rFonts w:ascii="Cascadia Code;Consolas;monospace" w:hAnsi="Cascadia Code;Consolas;monospace"/>
                <w:color w:val="9B1C1C"/>
                <w:sz w:val="17"/>
              </w:rPr>
            </w:pPr>
            <w:r>
              <w:rPr>
                <w:rFonts w:ascii="Cascadia Code;Consolas;monospace" w:hAnsi="Cascadia Code;Consolas;monospace"/>
                <w:color w:val="9B1C1C"/>
                <w:sz w:val="17"/>
              </w:rPr>
              <w:t>.section</w:t>
            </w:r>
          </w:p>
        </w:tc>
        <w:tc>
          <w:tcPr>
            <w:tcW w:w="1006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 xml:space="preserve">Margen superior 14 px, borde de 1 px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var(--stroke)</w:t>
            </w:r>
            <w:r>
              <w:rPr/>
              <w:t>, radio 18 px, fondo blanco 2% y recorte. Cada una de las seis secciones de la clase usa este contenedor.</w:t>
            </w:r>
          </w:p>
        </w:tc>
      </w:tr>
      <w:tr>
        <w:trPr/>
        <w:tc>
          <w:tcPr>
            <w:tcW w:w="127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>
                <w:rFonts w:ascii="Cascadia Code;Consolas;monospace" w:hAnsi="Cascadia Code;Consolas;monospace"/>
                <w:color w:val="9B1C1C"/>
                <w:sz w:val="17"/>
              </w:rPr>
            </w:pPr>
            <w:r>
              <w:rPr>
                <w:rFonts w:ascii="Cascadia Code;Consolas;monospace" w:hAnsi="Cascadia Code;Consolas;monospace"/>
                <w:color w:val="9B1C1C"/>
                <w:sz w:val="17"/>
              </w:rPr>
              <w:t>.shd / .section h3 / .sub</w:t>
            </w:r>
          </w:p>
        </w:tc>
        <w:tc>
          <w:tcPr>
            <w:tcW w:w="1006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 xml:space="preserve">Cabecera con relleno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14px 14px 12px</w:t>
            </w:r>
            <w:r>
              <w:rPr/>
              <w:t xml:space="preserve">, borde inferior,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flex</w:t>
            </w:r>
            <w:r>
              <w:rPr/>
              <w:t xml:space="preserve">, alineación superior, distribución entre extremos y 12 px de separación. El </w:t>
            </w:r>
            <w:r>
              <w:rPr>
                <w:rFonts w:ascii="Cascadia Code;Consolas;monospace" w:hAnsi="Cascadia Code;Consolas;monospace"/>
                <w:color w:val="9B1C1C"/>
                <w:sz w:val="17"/>
              </w:rPr>
              <w:t>h3</w:t>
            </w:r>
            <w:r>
              <w:rPr/>
              <w:t xml:space="preserve"> no tiene margen, mide 16 px y añade 0.2 px de espaciado. El subtítulo tiene margen superior 8 px, color atenuado, 13 px e interlineado 1.6.</w:t>
            </w:r>
          </w:p>
        </w:tc>
      </w:tr>
      <w:tr>
        <w:trPr/>
        <w:tc>
          <w:tcPr>
            <w:tcW w:w="127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>
                <w:rFonts w:ascii="Cascadia Code;Consolas;monospace" w:hAnsi="Cascadia Code;Consolas;monospace"/>
                <w:color w:val="9B1C1C"/>
                <w:sz w:val="17"/>
              </w:rPr>
            </w:pPr>
            <w:r>
              <w:rPr>
                <w:rFonts w:ascii="Cascadia Code;Consolas;monospace" w:hAnsi="Cascadia Code;Consolas;monospace"/>
                <w:color w:val="9B1C1C"/>
                <w:sz w:val="17"/>
              </w:rPr>
              <w:t>.sbd / .bullets</w:t>
            </w:r>
          </w:p>
        </w:tc>
        <w:tc>
          <w:tcPr>
            <w:tcW w:w="1006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 xml:space="preserve">Cuerpo con relleno 14 px. Las listas tienen margen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10px 0 0</w:t>
            </w:r>
            <w:r>
              <w:rPr/>
              <w:t>, sangría izquierda 18 px, blanco 82%, 13 px e interlineado 1.7.</w:t>
            </w:r>
          </w:p>
        </w:tc>
      </w:tr>
      <w:tr>
        <w:trPr/>
        <w:tc>
          <w:tcPr>
            <w:tcW w:w="127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>
                <w:rFonts w:ascii="Cascadia Code;Consolas;monospace" w:hAnsi="Cascadia Code;Consolas;monospace"/>
                <w:color w:val="9B1C1C"/>
                <w:sz w:val="17"/>
              </w:rPr>
            </w:pPr>
            <w:r>
              <w:rPr>
                <w:rFonts w:ascii="Cascadia Code;Consolas;monospace" w:hAnsi="Cascadia Code;Consolas;monospace"/>
                <w:color w:val="9B1C1C"/>
                <w:sz w:val="17"/>
              </w:rPr>
              <w:t>.callout</w:t>
            </w:r>
          </w:p>
        </w:tc>
        <w:tc>
          <w:tcPr>
            <w:tcW w:w="1006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Relleno 12 px, borde cian 25%, radio 16 px, fondo cian 6%, blanco 86%, 13 px e interlineado 1.6.</w:t>
            </w:r>
          </w:p>
        </w:tc>
      </w:tr>
      <w:tr>
        <w:trPr/>
        <w:tc>
          <w:tcPr>
            <w:tcW w:w="127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>
                <w:rFonts w:ascii="Cascadia Code;Consolas;monospace" w:hAnsi="Cascadia Code;Consolas;monospace"/>
                <w:color w:val="9B1C1C"/>
                <w:sz w:val="17"/>
              </w:rPr>
            </w:pPr>
            <w:r>
              <w:rPr>
                <w:rFonts w:ascii="Cascadia Code;Consolas;monospace" w:hAnsi="Cascadia Code;Consolas;monospace"/>
                <w:color w:val="9B1C1C"/>
                <w:sz w:val="17"/>
              </w:rPr>
              <w:t>.quote</w:t>
            </w:r>
          </w:p>
        </w:tc>
        <w:tc>
          <w:tcPr>
            <w:tcW w:w="1006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Margen superior 10 px, relleno 12 px, borde izquierdo rojo de 3 px al 80%, radio 12 px, fondo rojo 8%, blanco 86%, 13 px e interlineado 1.6.</w:t>
            </w:r>
          </w:p>
        </w:tc>
      </w:tr>
      <w:tr>
        <w:trPr/>
        <w:tc>
          <w:tcPr>
            <w:tcW w:w="127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>
                <w:rFonts w:ascii="Cascadia Code;Consolas;monospace" w:hAnsi="Cascadia Code;Consolas;monospace"/>
                <w:color w:val="9B1C1C"/>
                <w:sz w:val="17"/>
              </w:rPr>
            </w:pPr>
            <w:r>
              <w:rPr>
                <w:rFonts w:ascii="Cascadia Code;Consolas;monospace" w:hAnsi="Cascadia Code;Consolas;monospace"/>
                <w:color w:val="9B1C1C"/>
                <w:sz w:val="17"/>
              </w:rPr>
              <w:t>.page pre</w:t>
            </w:r>
          </w:p>
        </w:tc>
        <w:tc>
          <w:tcPr>
            <w:tcW w:w="1006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 xml:space="preserve">Además de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--mono</w:t>
            </w:r>
            <w:r>
              <w:rPr/>
              <w:t xml:space="preserve">, los bloques de código usan margen superior 10 px, relleno 12 px, borde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var(--stroke)</w:t>
            </w:r>
            <w:r>
              <w:rPr/>
              <w:t>, radio 16 px, fondo negro 22%, desplazamiento automático, 12 px, interlineado 1.55 y blanco 86%.</w:t>
            </w:r>
          </w:p>
        </w:tc>
      </w:tr>
      <w:tr>
        <w:trPr/>
        <w:tc>
          <w:tcPr>
            <w:tcW w:w="127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>
                <w:rFonts w:ascii="Cascadia Code;Consolas;monospace" w:hAnsi="Cascadia Code;Consolas;monospace"/>
                <w:color w:val="9B1C1C"/>
                <w:sz w:val="17"/>
              </w:rPr>
            </w:pPr>
            <w:r>
              <w:rPr>
                <w:rFonts w:ascii="Cascadia Code;Consolas;monospace" w:hAnsi="Cascadia Code;Consolas;monospace"/>
                <w:color w:val="9B1C1C"/>
                <w:sz w:val="17"/>
              </w:rPr>
              <w:t>.footerNav</w:t>
            </w:r>
          </w:p>
        </w:tc>
        <w:tc>
          <w:tcPr>
            <w:tcW w:w="1006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 xml:space="preserve">Margen superior 14 px,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flex</w:t>
            </w:r>
            <w:r>
              <w:rPr/>
              <w:t xml:space="preserve"> con salto y separación de 10 px, relleno superior 12 px y borde superior de 1 px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var(--stroke)</w:t>
            </w:r>
            <w:r>
              <w:rPr/>
              <w:t>.</w:t>
            </w:r>
          </w:p>
        </w:tc>
      </w:tr>
    </w:tbl>
    <w:p>
      <w:pPr>
        <w:pStyle w:val="Heading2"/>
        <w:bidi w:val="0"/>
        <w:ind w:hanging="0" w:start="0" w:end="0"/>
        <w:jc w:val="start"/>
        <w:rPr/>
      </w:pPr>
      <w:r>
        <w:rPr/>
        <w:t>6. Resumen lateral e interacción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96"/>
        <w:gridCol w:w="10043"/>
      </w:tblGrid>
      <w:tr>
        <w:trPr/>
        <w:tc>
          <w:tcPr>
            <w:tcW w:w="1296" w:type="dxa"/>
            <w:tcBorders/>
            <w:vAlign w:val="center"/>
          </w:tcPr>
          <w:p>
            <w:pPr>
              <w:pStyle w:val="TableHeading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Selector</w:t>
            </w:r>
          </w:p>
        </w:tc>
        <w:tc>
          <w:tcPr>
            <w:tcW w:w="10043" w:type="dxa"/>
            <w:tcBorders/>
            <w:vAlign w:val="center"/>
          </w:tcPr>
          <w:p>
            <w:pPr>
              <w:pStyle w:val="TableHeading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Descripción exacta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>
                <w:rFonts w:ascii="Cascadia Code;Consolas;monospace" w:hAnsi="Cascadia Code;Consolas;monospace"/>
                <w:color w:val="9B1C1C"/>
                <w:sz w:val="17"/>
              </w:rPr>
            </w:pPr>
            <w:r>
              <w:rPr>
                <w:rFonts w:ascii="Cascadia Code;Consolas;monospace" w:hAnsi="Cascadia Code;Consolas;monospace"/>
                <w:color w:val="9B1C1C"/>
                <w:sz w:val="17"/>
              </w:rPr>
              <w:t>.sidebar</w:t>
            </w:r>
          </w:p>
        </w:tc>
        <w:tc>
          <w:tcPr>
            <w:tcW w:w="1004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>
                <w:rFonts w:ascii="Cascadia Code;Consolas;monospace" w:hAnsi="Cascadia Code;Consolas;monospace"/>
                <w:color w:val="26364C"/>
                <w:sz w:val="15"/>
              </w:rPr>
              <w:t>order: 1; display: grid; grid-template-columns: repeat(auto-fit, minmax(260px, 1fr)); gap: 12px</w:t>
            </w:r>
            <w:r>
              <w:rPr/>
              <w:t xml:space="preserve">. En esta clase contiene una única tarjeta; su tarjeta toma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height: 100%</w:t>
            </w:r>
            <w:r>
              <w:rPr/>
              <w:t>.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>
                <w:rFonts w:ascii="Cascadia Code;Consolas;monospace" w:hAnsi="Cascadia Code;Consolas;monospace"/>
                <w:color w:val="9B1C1C"/>
                <w:sz w:val="17"/>
              </w:rPr>
            </w:pPr>
            <w:r>
              <w:rPr>
                <w:rFonts w:ascii="Cascadia Code;Consolas;monospace" w:hAnsi="Cascadia Code;Consolas;monospace"/>
                <w:color w:val="9B1C1C"/>
                <w:sz w:val="17"/>
              </w:rPr>
              <w:t>.hd / .hd h2 / .hd p</w:t>
            </w:r>
          </w:p>
        </w:tc>
        <w:tc>
          <w:tcPr>
            <w:tcW w:w="1004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 xml:space="preserve">Cabecera de tarjeta con relleno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16px 16px 12px</w:t>
            </w:r>
            <w:r>
              <w:rPr/>
              <w:t xml:space="preserve">, borde inferior,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flex</w:t>
            </w:r>
            <w:r>
              <w:rPr/>
              <w:t xml:space="preserve">, distribución entre extremos, 12 px de separación y alineación superior. El </w:t>
            </w:r>
            <w:r>
              <w:rPr>
                <w:rFonts w:ascii="Cascadia Code;Consolas;monospace" w:hAnsi="Cascadia Code;Consolas;monospace"/>
                <w:color w:val="9B1C1C"/>
                <w:sz w:val="17"/>
              </w:rPr>
              <w:t>h2</w:t>
            </w:r>
            <w:r>
              <w:rPr/>
              <w:t xml:space="preserve"> tiene margen 0, tamaño 18 px y 0.2 px de espaciado; el párrafo tiene margen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8px 0 0</w:t>
            </w:r>
            <w:r>
              <w:rPr/>
              <w:t>, color atenuado, 13 px e interlineado 1.6.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>
                <w:rFonts w:ascii="Cascadia Code;Consolas;monospace" w:hAnsi="Cascadia Code;Consolas;monospace"/>
                <w:color w:val="9B1C1C"/>
                <w:sz w:val="17"/>
              </w:rPr>
            </w:pPr>
            <w:r>
              <w:rPr>
                <w:rFonts w:ascii="Cascadia Code;Consolas;monospace" w:hAnsi="Cascadia Code;Consolas;monospace"/>
                <w:color w:val="9B1C1C"/>
                <w:sz w:val="17"/>
              </w:rPr>
              <w:t>.li / .li strong</w:t>
            </w:r>
          </w:p>
        </w:tc>
        <w:tc>
          <w:tcPr>
            <w:tcW w:w="1004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 xml:space="preserve">Cada resumen tiene relleno 10 px, borde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var(--stroke)</w:t>
            </w:r>
            <w:r>
              <w:rPr/>
              <w:t>, radio 14 px, fondo negro 14%, margen superior 8 px, blanco 82%, 13 px e interlineado 1.55. Dentro de la barra lateral el margen superior se fuerza a 0. El texto fuerte cambia a blanco 92%.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>
                <w:rFonts w:ascii="Cascadia Code;Consolas;monospace" w:hAnsi="Cascadia Code;Consolas;monospace"/>
                <w:color w:val="9B1C1C"/>
                <w:sz w:val="17"/>
              </w:rPr>
            </w:pPr>
            <w:r>
              <w:rPr>
                <w:rFonts w:ascii="Cascadia Code;Consolas;monospace" w:hAnsi="Cascadia Code;Consolas;monospace"/>
                <w:color w:val="9B1C1C"/>
                <w:sz w:val="17"/>
              </w:rPr>
              <w:t>.btn, .pill, .section, .card</w:t>
            </w:r>
          </w:p>
        </w:tc>
        <w:tc>
          <w:tcPr>
            <w:tcW w:w="1004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 xml:space="preserve">Todos tienen transición de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transform, border-color, box-shadow 160ms ease</w:t>
            </w:r>
            <w:r>
              <w:rPr/>
              <w:t xml:space="preserve">. En </w:t>
            </w:r>
            <w:r>
              <w:rPr>
                <w:rStyle w:val="Emphasis"/>
              </w:rPr>
              <w:t>hover</w:t>
            </w:r>
            <w:r>
              <w:rPr/>
              <w:t xml:space="preserve">, botones y cápsulas suben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translateY(-2px)</w:t>
            </w:r>
            <w:r>
              <w:rPr/>
              <w:t xml:space="preserve">. Tarjetas y secciones también suben 2 px y cambian su borde a cian </w:t>
            </w:r>
            <w:r>
              <w:rPr>
                <w:rFonts w:ascii="Cascadia Code;Consolas;monospace" w:hAnsi="Cascadia Code;Consolas;monospace"/>
                <w:color w:val="26364C"/>
                <w:sz w:val="15"/>
              </w:rPr>
              <w:t>rgba(4,156,216,0.34)</w:t>
            </w:r>
            <w:r>
              <w:rPr/>
              <w:t>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7. Límites de esta descripción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 documentaron los selectores aplicados por el JSX de Daily #13, incluidas las reglas descendientes y de interacción que sí lo afectan.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El módulo contiene otros estilos (</w:t>
      </w:r>
      <w:r>
        <w:rPr>
          <w:rFonts w:ascii="Cascadia Code;Consolas;monospace" w:hAnsi="Cascadia Code;Consolas;monospace"/>
          <w:color w:val="9B1C1C"/>
          <w:sz w:val="17"/>
        </w:rPr>
        <w:t>.toc</w:t>
      </w:r>
      <w:r>
        <w:rPr/>
        <w:t xml:space="preserve">, </w:t>
      </w:r>
      <w:r>
        <w:rPr>
          <w:rFonts w:ascii="Cascadia Code;Consolas;monospace" w:hAnsi="Cascadia Code;Consolas;monospace"/>
          <w:color w:val="9B1C1C"/>
          <w:sz w:val="17"/>
        </w:rPr>
        <w:t>.createdAt</w:t>
      </w:r>
      <w:r>
        <w:rPr/>
        <w:t xml:space="preserve">, </w:t>
      </w:r>
      <w:r>
        <w:rPr>
          <w:rFonts w:ascii="Cascadia Code;Consolas;monospace" w:hAnsi="Cascadia Code;Consolas;monospace"/>
          <w:color w:val="9B1C1C"/>
          <w:sz w:val="17"/>
        </w:rPr>
        <w:t>.primary</w:t>
      </w:r>
      <w:r>
        <w:rPr/>
        <w:t xml:space="preserve">, </w:t>
      </w:r>
      <w:r>
        <w:rPr>
          <w:rFonts w:ascii="Cascadia Code;Consolas;monospace" w:hAnsi="Cascadia Code;Consolas;monospace"/>
          <w:color w:val="9B1C1C"/>
          <w:sz w:val="17"/>
        </w:rPr>
        <w:t>.copy</w:t>
      </w:r>
      <w:r>
        <w:rPr/>
        <w:t xml:space="preserve">, </w:t>
      </w:r>
      <w:r>
        <w:rPr>
          <w:rFonts w:ascii="Cascadia Code;Consolas;monospace" w:hAnsi="Cascadia Code;Consolas;monospace"/>
          <w:color w:val="9B1C1C"/>
          <w:sz w:val="17"/>
        </w:rPr>
        <w:t>.proDetails</w:t>
      </w:r>
      <w:r>
        <w:rPr/>
        <w:t xml:space="preserve">, etc.) que no se renderizan en esta clase; por ello no forman parte de su aspecto actual.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No hay puntos de ruptura ni reglas </w:t>
      </w:r>
      <w:r>
        <w:rPr>
          <w:rStyle w:val="Emphasis"/>
        </w:rPr>
        <w:t>responsive</w:t>
      </w:r>
      <w:r>
        <w:rPr/>
        <w:t xml:space="preserve"> en </w:t>
      </w:r>
      <w:r>
        <w:rPr>
          <w:rFonts w:ascii="Cascadia Code;Consolas;monospace" w:hAnsi="Cascadia Code;Consolas;monospace"/>
          <w:color w:val="9B1C1C"/>
          <w:sz w:val="17"/>
        </w:rPr>
        <w:t>daily-lesson.module.css</w:t>
      </w:r>
      <w:r>
        <w:rPr/>
        <w:t xml:space="preserve">. La adaptación disponible procede de </w:t>
      </w:r>
      <w:r>
        <w:rPr>
          <w:rFonts w:ascii="Cascadia Code;Consolas;monospace" w:hAnsi="Cascadia Code;Consolas;monospace"/>
          <w:color w:val="26364C"/>
          <w:sz w:val="15"/>
        </w:rPr>
        <w:t>flex-wrap</w:t>
      </w:r>
      <w:r>
        <w:rPr/>
        <w:t xml:space="preserve"> y de las cuadrículas </w:t>
      </w:r>
      <w:r>
        <w:rPr>
          <w:rFonts w:ascii="Cascadia Code;Consolas;monospace" w:hAnsi="Cascadia Code;Consolas;monospace"/>
          <w:color w:val="26364C"/>
          <w:sz w:val="15"/>
        </w:rPr>
        <w:t>auto-fit/minmax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El desenfoque de la barra depende de que el navegador soporte </w:t>
      </w:r>
      <w:r>
        <w:rPr>
          <w:rFonts w:ascii="Cascadia Code;Consolas;monospace" w:hAnsi="Cascadia Code;Consolas;monospace"/>
          <w:color w:val="26364C"/>
          <w:sz w:val="15"/>
        </w:rPr>
        <w:t>backdrop-filter</w:t>
      </w:r>
      <w:r>
        <w:rPr/>
        <w:t xml:space="preserve">; el resto de propiedades indicadas se aplica como CSS estándar. </w:t>
      </w:r>
    </w:p>
    <w:p>
      <w:pPr>
        <w:pStyle w:val="BodyTextsource"/>
        <w:bidi w:val="0"/>
        <w:spacing w:before="240" w:after="140"/>
        <w:ind w:hanging="0" w:start="0" w:end="0"/>
        <w:jc w:val="start"/>
        <w:rPr/>
      </w:pPr>
      <w:r>
        <w:rPr/>
        <w:t xml:space="preserve">Fuente verificada: </w:t>
      </w:r>
      <w:r>
        <w:rPr>
          <w:rFonts w:ascii="Cascadia Code;Consolas;monospace" w:hAnsi="Cascadia Code;Consolas;monospace"/>
          <w:color w:val="9B1C1C"/>
          <w:sz w:val="17"/>
        </w:rPr>
        <w:t>app/daily/13/daily13-client.tsx</w:t>
      </w:r>
      <w:r>
        <w:rPr/>
        <w:t xml:space="preserve">, </w:t>
      </w:r>
      <w:r>
        <w:rPr>
          <w:rFonts w:ascii="Cascadia Code;Consolas;monospace" w:hAnsi="Cascadia Code;Consolas;monospace"/>
          <w:color w:val="9B1C1C"/>
          <w:sz w:val="17"/>
        </w:rPr>
        <w:t>app/daily/daily-lesson.module.css</w:t>
      </w:r>
      <w:r>
        <w:rPr/>
        <w:t xml:space="preserve"> y </w:t>
      </w:r>
      <w:r>
        <w:rPr>
          <w:rFonts w:ascii="Cascadia Code;Consolas;monospace" w:hAnsi="Cascadia Code;Consolas;monospace"/>
          <w:color w:val="9B1C1C"/>
          <w:sz w:val="17"/>
        </w:rPr>
        <w:t>app/globals.css</w:t>
      </w:r>
      <w:r>
        <w:rPr/>
        <w:t>. Documento generado el 5 de septiembre de 2026.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altName w:val="Arial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Cascadia Code">
    <w:altName w:val="Consolas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19"/>
    </w:pPr>
    <w:rPr>
      <w:rFonts w:ascii="Calibri;Arial;sans-serif" w:hAnsi="Calibri;Arial;sans-serif" w:eastAsia="Calibri;Arial;sans-serif" w:cs="Calibri;Arial;sans-serif"/>
      <w:color w:val="172033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lineRule="auto" w:line="268" w:before="240" w:after="80"/>
    </w:pPr>
    <w:rPr>
      <w:rFonts w:ascii="Noto Sans" w:hAnsi="Noto Sans"/>
      <w:b/>
      <w:bCs/>
      <w:color w:val="0B2545"/>
      <w:sz w:val="48"/>
      <w:szCs w:val="48"/>
    </w:rPr>
  </w:style>
  <w:style w:type="paragraph" w:styleId="Heading2">
    <w:name w:val="Heading 2"/>
    <w:basedOn w:val="Heading"/>
    <w:next w:val="BodyText"/>
    <w:qFormat/>
    <w:pPr>
      <w:keepNext w:val="true"/>
      <w:spacing w:before="320" w:after="160"/>
      <w:ind w:start="320" w:end="320"/>
      <w:outlineLvl w:val="1"/>
    </w:pPr>
    <w:rPr>
      <w:rFonts w:ascii="Liberation Serif" w:hAnsi="Liberation Serif" w:eastAsia="Noto Serif CJK SC" w:cs="FreeSans"/>
      <w:b/>
      <w:bCs/>
      <w:color w:val="2E74B5"/>
      <w:sz w:val="32"/>
      <w:szCs w:val="32"/>
    </w:rPr>
  </w:style>
  <w:style w:type="paragraph" w:styleId="Heading3">
    <w:name w:val="Heading 3"/>
    <w:basedOn w:val="Heading"/>
    <w:next w:val="BodyText"/>
    <w:qFormat/>
    <w:pPr>
      <w:keepNext w:val="true"/>
      <w:spacing w:before="200" w:after="80"/>
      <w:ind w:start="200" w:end="200"/>
      <w:outlineLvl w:val="2"/>
    </w:pPr>
    <w:rPr>
      <w:rFonts w:ascii="Liberation Serif" w:hAnsi="Liberation Serif" w:eastAsia="Noto Serif CJK SC" w:cs="FreeSans"/>
      <w:b/>
      <w:bCs/>
      <w:color w:val="1F4D78"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kicker">
    <w:name w:val="Body Text.kicker"/>
    <w:basedOn w:val="BodyText"/>
    <w:qFormat/>
    <w:pPr/>
    <w:rPr>
      <w:b/>
      <w:bCs/>
      <w:color w:val="667085"/>
      <w:sz w:val="18"/>
      <w:szCs w:val="18"/>
    </w:rPr>
  </w:style>
  <w:style w:type="paragraph" w:styleId="BodyTextsubtitle">
    <w:name w:val="Body Text.subtitle"/>
    <w:basedOn w:val="BodyText"/>
    <w:qFormat/>
    <w:pPr>
      <w:spacing w:before="0" w:after="320"/>
    </w:pPr>
    <w:rPr>
      <w:color w:val="4B5563"/>
      <w:sz w:val="26"/>
      <w:szCs w:val="26"/>
    </w:rPr>
  </w:style>
  <w:style w:type="paragraph" w:styleId="BodyTextmeta">
    <w:name w:val="Body Text.meta"/>
    <w:basedOn w:val="BodyText"/>
    <w:qFormat/>
    <w:pPr>
      <w:pBdr>
        <w:top w:val="single" w:sz="8" w:space="7" w:color="2E74B5"/>
        <w:bottom w:val="single" w:sz="8" w:space="6" w:color="D9E2F0"/>
      </w:pBdr>
      <w:spacing w:before="0" w:after="320"/>
    </w:pPr>
    <w:rPr>
      <w:color w:val="46546B"/>
      <w:sz w:val="19"/>
      <w:szCs w:val="19"/>
    </w:rPr>
  </w:style>
  <w:style w:type="paragraph" w:styleId="BodyTextlead">
    <w:name w:val="Body Text.lead"/>
    <w:basedOn w:val="BodyText"/>
    <w:qFormat/>
    <w:pPr>
      <w:pBdr>
        <w:left w:val="single" w:sz="24" w:space="11" w:color="2E74B5"/>
      </w:pBdr>
      <w:shd w:fill="F4F6F9" w:val="clear"/>
      <w:spacing w:before="0" w:after="240"/>
    </w:pPr>
    <w:rPr/>
  </w:style>
  <w:style w:type="paragraph" w:styleId="TableHeading">
    <w:name w:val="Table Heading"/>
    <w:basedOn w:val="TableContents"/>
    <w:qFormat/>
    <w:pPr>
      <w:suppressLineNumbers/>
      <w:shd w:fill="E8EEF5" w:val="clear"/>
      <w:jc w:val="start"/>
    </w:pPr>
    <w:rPr>
      <w:b/>
      <w:bCs/>
      <w:color w:val="0B2545"/>
    </w:rPr>
  </w:style>
  <w:style w:type="paragraph" w:styleId="BodyTextsource">
    <w:name w:val="Body Text.source"/>
    <w:basedOn w:val="BodyText"/>
    <w:qFormat/>
    <w:pPr>
      <w:spacing w:before="240" w:after="140"/>
    </w:pPr>
    <w:rPr>
      <w:color w:val="667085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Descripción visual exacta — Daily #13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