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632DF5FD" w:rsidR="00A17AB2" w:rsidRPr="00CF6559" w:rsidRDefault="00A17AB2" w:rsidP="005F2600">
      <w:pPr>
        <w:spacing w:line="276" w:lineRule="auto"/>
        <w:ind w:left="720" w:hanging="360"/>
        <w:jc w:val="both"/>
        <w:rPr>
          <w:rFonts w:ascii="Arial" w:hAnsi="Arial" w:cs="Arial"/>
          <w:b/>
          <w:bCs/>
        </w:rPr>
      </w:pPr>
      <w:r w:rsidRPr="00CF6559">
        <w:rPr>
          <w:rFonts w:ascii="Arial" w:hAnsi="Arial" w:cs="Arial"/>
          <w:b/>
          <w:bCs/>
        </w:rPr>
        <w:t>METODOLOGÍA PARA EL ANÁLISIS DE ENCUESTA DE CAPACIDADES DE INNOVACIÓN EMPRESARIALES</w:t>
      </w:r>
    </w:p>
    <w:p w14:paraId="00B68AD4" w14:textId="729DB4A7" w:rsidR="001D5836" w:rsidRPr="00CF6559" w:rsidRDefault="0036686A" w:rsidP="005F2600">
      <w:pPr>
        <w:pStyle w:val="Prrafodelista"/>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sensing, seizing o transformation—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En particular, el Modelo de Respuesta Graduada (GRM), propuesto por Samejima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 xml:space="preserve">Este modelo ha sido ampliamente adoptado no solo en psicometría, sino también en áreas como educación, salud pública, análisis organizacional y marketing (Embretson &amp; Reise,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Prrafodelista"/>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CF6559" w:rsidRDefault="00FA1930" w:rsidP="00A73022">
      <w:pPr>
        <w:spacing w:line="276" w:lineRule="auto"/>
        <w:jc w:val="both"/>
        <w:rPr>
          <w:rFonts w:ascii="Arial" w:eastAsiaTheme="minorEastAsia" w:hAnsi="Arial" w:cs="Arial"/>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r w:rsidRPr="00CF6559">
        <w:rPr>
          <w:rFonts w:ascii="Arial" w:eastAsia="Arial" w:hAnsi="Arial" w:cs="Arial"/>
          <w:i/>
          <w:iCs/>
        </w:rPr>
        <w:t>sensing</w:t>
      </w:r>
      <w:r w:rsidRPr="00CF6559">
        <w:rPr>
          <w:rFonts w:ascii="Arial" w:eastAsia="Arial" w:hAnsi="Arial" w:cs="Arial"/>
        </w:rPr>
        <w:t xml:space="preserve"> de una empresa).</w:t>
      </w:r>
    </w:p>
    <w:p w14:paraId="79B43B5C" w14:textId="447B8FF0" w:rsidR="00A73022" w:rsidRPr="00CF6559" w:rsidRDefault="00E013F7"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E013F7"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El Ítem A tiende a recibir respuestas afirmativas (puntuaciones altas) por parte de la mayoría de las empresas, incluso aquellas con un nivel incipiente en capacidades de sensing. Esto sugiere que los umbrales asociados a este ítem se ubican en valores bajos del continuo ,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de .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Prrafodelista"/>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(Item Response Theory),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t xml:space="preserve">No obstante, con el fin de mitigar y evaluar este posible efecto, se realizó un análisis complementario de los errores estándar asociados a las puntuaciones latentes obtenidas </w:t>
      </w:r>
      <w:r w:rsidRPr="0E3B6F3A">
        <w:rPr>
          <w:rFonts w:ascii="Arial" w:eastAsia="Arial" w:hAnsi="Arial" w:cs="Arial"/>
        </w:rPr>
        <w:lastRenderedPageBreak/>
        <w:t xml:space="preserve">en cada una de las dimensiones estimadas por el GRM (Sensing, Seizing y Transformation). Los resultados mostraron que los errores estándar promedio se mantuvieron en niveles bajos (entre 0.120 y 0.132), con intervalos de confianza del 95% relativamente estrechos. En particular, la dimensión </w:t>
      </w:r>
      <w:r w:rsidRPr="0E3B6F3A">
        <w:rPr>
          <w:rFonts w:ascii="Arial" w:eastAsia="Arial" w:hAnsi="Arial" w:cs="Arial"/>
          <w:i/>
          <w:iCs/>
        </w:rPr>
        <w:t>Transformation</w:t>
      </w:r>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r w:rsidRPr="0E3B6F3A">
        <w:rPr>
          <w:rFonts w:ascii="Arial" w:eastAsia="Arial" w:hAnsi="Arial" w:cs="Arial"/>
          <w:i/>
          <w:iCs/>
        </w:rPr>
        <w:t>Seizing</w:t>
      </w:r>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Prrafodelista"/>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 xml:space="preserve">En esta sección se presentarán distintos análisis bivariados entre las variables latentes calculadas para cada una de las dimensiones —sensing, seizing y transformation—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Prrafodelista"/>
        <w:numPr>
          <w:ilvl w:val="1"/>
          <w:numId w:val="1"/>
        </w:numPr>
        <w:spacing w:before="240" w:after="240"/>
        <w:jc w:val="both"/>
        <w:rPr>
          <w:rFonts w:ascii="Arial" w:hAnsi="Arial" w:cs="Arial"/>
          <w:b/>
          <w:bCs/>
        </w:rPr>
      </w:pPr>
      <w:r w:rsidRPr="002325F7">
        <w:rPr>
          <w:rFonts w:ascii="Arial" w:hAnsi="Arial" w:cs="Arial"/>
          <w:b/>
          <w:bCs/>
        </w:rPr>
        <w:t>Análisis Univariados</w:t>
      </w:r>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Pr="002208B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001D38A7" w:rsidR="00373254" w:rsidRPr="00CF6559" w:rsidRDefault="00373254" w:rsidP="00373254">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sensing</w:t>
      </w:r>
    </w:p>
    <w:p w14:paraId="76039526" w14:textId="473246D4" w:rsidR="00373254" w:rsidRDefault="00CF6559" w:rsidP="00373254">
      <w:pPr>
        <w:spacing w:before="240" w:after="240"/>
        <w:jc w:val="both"/>
        <w:rPr>
          <w:rFonts w:ascii="Arial" w:hAnsi="Arial" w:cs="Arial"/>
          <w:b/>
          <w:bCs/>
        </w:rPr>
      </w:pPr>
      <w:r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sensing entre empresas grandes, medianas, pequeñas y microempresas? En otros términos, </w:t>
      </w:r>
      <w:r w:rsidRPr="002208B7">
        <w:rPr>
          <w:rFonts w:ascii="Arial" w:hAnsi="Arial" w:cs="Arial"/>
          <w:b/>
          <w:bCs/>
        </w:rPr>
        <w:t>¿la propensión al sensing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sensing entre los distintos grupos empresariales definidos según su tamaño. </w:t>
      </w:r>
    </w:p>
    <w:p w14:paraId="4DC08FE0" w14:textId="1A329F75" w:rsidR="00926AFE" w:rsidRPr="00926AFE" w:rsidRDefault="00926AFE" w:rsidP="00CE71BB">
      <w:pPr>
        <w:spacing w:before="240" w:after="240" w:line="276" w:lineRule="auto"/>
        <w:jc w:val="both"/>
        <w:rPr>
          <w:rFonts w:ascii="Arial" w:hAnsi="Arial" w:cs="Arial"/>
        </w:rPr>
      </w:pPr>
      <w:r w:rsidRPr="00926AFE">
        <w:rPr>
          <w:rFonts w:ascii="Arial" w:hAnsi="Arial" w:cs="Arial"/>
        </w:rPr>
        <w:t>Antes de responder a la pregunta central formulada previamente, es necesario presentar los resultados de una serie de pruebas estadísticas preliminares. En particular, se evalúan dos supuestos fundamentales para la comparación de medias mediante ANOVA: normalidad (es decir, que las variables latentes de sensing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reportan los resultados de la prueba de Shapiro-Wilk (SW) aplicada a cada grupo de empresas, con el objetivo de evaluar el cumplimiento del supuesto de normalidad en las variables latentes de sensing:</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4C3EBAC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r w:rsidR="00ED15EF">
              <w:rPr>
                <w:rFonts w:ascii="Aptos Narrow" w:eastAsia="Times New Roman" w:hAnsi="Aptos Narrow" w:cs="Times New Roman"/>
                <w:b/>
                <w:bCs/>
                <w:color w:val="FFFFFF"/>
                <w:kern w:val="0"/>
                <w:sz w:val="18"/>
                <w:szCs w:val="18"/>
                <w:lang w:eastAsia="es-CO"/>
                <w14:ligatures w14:val="none"/>
              </w:rPr>
              <w:t xml:space="preserve"> SW</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3CCA4080" w14:textId="7F00100D"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r w:rsidRPr="00CE71BB">
        <w:rPr>
          <w:rFonts w:ascii="Arial" w:hAnsi="Arial" w:cs="Arial"/>
          <w:i/>
          <w:iCs/>
        </w:rPr>
        <w:t>sensing</w:t>
      </w:r>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lastRenderedPageBreak/>
        <w:t xml:space="preserve">A continuación, se reportan los resultados de la prueba de Levene (LV) aplicada a los grupos definidos según el tamaño de empresa, con el propósito de evaluar la igualdad de varianzas en las variables latentes de </w:t>
      </w:r>
      <w:r w:rsidRPr="00C23F32">
        <w:rPr>
          <w:rFonts w:ascii="Arial" w:hAnsi="Arial" w:cs="Arial"/>
          <w:i/>
          <w:iCs/>
        </w:rPr>
        <w:t>sensing</w:t>
      </w:r>
      <w:r w:rsidRPr="000E129C">
        <w:rPr>
          <w:rFonts w:ascii="Arial" w:hAnsi="Arial" w:cs="Arial"/>
        </w:rPr>
        <w:t>:</w:t>
      </w:r>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360F269E" w14:textId="0A257BEA" w:rsidR="000E129C" w:rsidRPr="000E129C" w:rsidRDefault="000E129C" w:rsidP="000E129C">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Pr="005945EB" w:rsidRDefault="000E129C" w:rsidP="004C22E7">
      <w:pPr>
        <w:spacing w:before="240" w:after="240" w:line="276" w:lineRule="auto"/>
        <w:jc w:val="both"/>
        <w:rPr>
          <w:rFonts w:ascii="Arial" w:eastAsiaTheme="minorEastAsia"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r w:rsidR="004C22E7" w:rsidRPr="005945EB">
        <w:rPr>
          <w:rFonts w:ascii="Arial" w:hAnsi="Arial" w:cs="Arial"/>
          <w:i/>
          <w:iCs/>
        </w:rPr>
        <w:t>sensing</w:t>
      </w:r>
      <w:r w:rsidR="004C22E7" w:rsidRPr="004C22E7">
        <w:rPr>
          <w:rFonts w:ascii="Arial" w:hAnsi="Arial" w:cs="Arial"/>
        </w:rPr>
        <w:t>, con el fin de evaluar si existen diferencias estadísticamente significativas entre los grupos de empresas según su tamaño:</w:t>
      </w:r>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3FFDE724" w14:textId="4A363A26"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r w:rsidRPr="005945EB">
        <w:rPr>
          <w:rFonts w:ascii="Arial" w:hAnsi="Arial" w:cs="Arial"/>
          <w:i/>
          <w:iCs/>
        </w:rPr>
        <w:t>sensing</w:t>
      </w:r>
      <w:r w:rsidRPr="00325BC6">
        <w:rPr>
          <w:rFonts w:ascii="Arial" w:hAnsi="Arial" w:cs="Arial"/>
        </w:rPr>
        <w:t xml:space="preserve"> difiere significativamente entre los grupos de empresas definidos según su tamaño.</w:t>
      </w:r>
    </w:p>
    <w:p w14:paraId="775BF0F5" w14:textId="77777777" w:rsidR="007B168D" w:rsidRDefault="00325BC6" w:rsidP="00CD0290">
      <w:pPr>
        <w:spacing w:before="240" w:after="240" w:line="276" w:lineRule="auto"/>
        <w:jc w:val="both"/>
        <w:rPr>
          <w:rFonts w:ascii="Arial" w:hAnsi="Arial" w:cs="Arial"/>
        </w:rPr>
      </w:pPr>
      <w:r w:rsidRPr="00325BC6">
        <w:rPr>
          <w:rFonts w:ascii="Arial" w:hAnsi="Arial" w:cs="Arial"/>
        </w:rPr>
        <w:t>Como siguiente paso, se aplica la prueba post-hoc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r w:rsidRPr="00CD0290">
        <w:rPr>
          <w:rFonts w:ascii="Arial" w:hAnsi="Arial" w:cs="Arial"/>
          <w:i/>
          <w:iCs/>
        </w:rPr>
        <w:t>sensing</w:t>
      </w:r>
      <w:r w:rsidRPr="00325BC6">
        <w:rPr>
          <w:rFonts w:ascii="Arial" w:hAnsi="Arial" w:cs="Arial"/>
        </w:rPr>
        <w:t>.</w:t>
      </w:r>
    </w:p>
    <w:p w14:paraId="7E433808" w14:textId="63712408" w:rsidR="00BD0835" w:rsidRDefault="00870376" w:rsidP="00870376">
      <w:pPr>
        <w:spacing w:before="240" w:after="240"/>
        <w:jc w:val="center"/>
        <w:rPr>
          <w:rFonts w:ascii="Arial" w:hAnsi="Arial" w:cs="Arial"/>
        </w:rPr>
      </w:pPr>
      <w:r>
        <w:rPr>
          <w:rFonts w:ascii="Arial" w:hAnsi="Arial" w:cs="Arial"/>
          <w:noProof/>
        </w:rPr>
        <w:lastRenderedPageBreak/>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8">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14:paraId="72319078" w14:textId="77777777" w:rsidR="00E14DC1" w:rsidRPr="00E14DC1" w:rsidRDefault="00E14DC1" w:rsidP="00E14DC1">
      <w:pPr>
        <w:spacing w:before="240" w:after="240"/>
        <w:jc w:val="both"/>
        <w:rPr>
          <w:rFonts w:ascii="Arial" w:hAnsi="Arial" w:cs="Arial"/>
        </w:rPr>
      </w:pPr>
      <w:r w:rsidRPr="00E14DC1">
        <w:rPr>
          <w:rFonts w:ascii="Arial" w:hAnsi="Arial" w:cs="Arial"/>
        </w:rPr>
        <w:t>En la gráfica anterior se observa que las empresas grandes de la muestra recolectada presentan los valores más altos en la variable latente de sensing, lo que sugiere una mayor propensión al desarrollo de capacidades asociadas al sensing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sensing en comparación con los otros grupos definidos por tamaño.</w:t>
      </w:r>
    </w:p>
    <w:p w14:paraId="72803683" w14:textId="77777777" w:rsidR="00E14DC1" w:rsidRDefault="00E14DC1" w:rsidP="00E14DC1">
      <w:pPr>
        <w:spacing w:before="240" w:after="240"/>
        <w:jc w:val="both"/>
        <w:rPr>
          <w:rFonts w:ascii="Arial" w:hAnsi="Arial" w:cs="Arial"/>
        </w:rPr>
      </w:pPr>
      <w:r w:rsidRPr="00E14DC1">
        <w:rPr>
          <w:rFonts w:ascii="Arial" w:hAnsi="Arial" w:cs="Arial"/>
        </w:rPr>
        <w:t>La prueba post-hoc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sensing en comparación con los grupos de empresas medianas, pequeñas y micro. En contraste, no se encontraron diferencias estadísticamente significativas entre las medias de las variables latentes de sensing de las empresas medianas, pequeñas y micro, lo que sugiere un comportamiento similar entre estos tres grupos en términos de propensión al sensing.</w:t>
      </w:r>
    </w:p>
    <w:p w14:paraId="54C93A42" w14:textId="77777777" w:rsidR="005D4E35" w:rsidRDefault="005D4E35" w:rsidP="00E14DC1">
      <w:pPr>
        <w:spacing w:before="240" w:after="240"/>
        <w:jc w:val="both"/>
        <w:rPr>
          <w:rFonts w:ascii="Arial" w:hAnsi="Arial" w:cs="Arial"/>
        </w:rPr>
      </w:pPr>
    </w:p>
    <w:p w14:paraId="3D2A559F" w14:textId="77777777" w:rsidR="005D4E35" w:rsidRDefault="005D4E35" w:rsidP="00E14DC1">
      <w:pPr>
        <w:spacing w:before="240" w:after="240"/>
        <w:jc w:val="both"/>
        <w:rPr>
          <w:rFonts w:ascii="Arial" w:hAnsi="Arial" w:cs="Arial"/>
        </w:rPr>
      </w:pPr>
    </w:p>
    <w:p w14:paraId="68F81A81" w14:textId="01839BEC" w:rsidR="005D4E35" w:rsidRPr="005D4E35" w:rsidRDefault="005D4E35" w:rsidP="00E14DC1">
      <w:pPr>
        <w:spacing w:before="240" w:after="240"/>
        <w:jc w:val="both"/>
        <w:rPr>
          <w:rFonts w:ascii="Arial" w:hAnsi="Arial" w:cs="Arial"/>
          <w:b/>
          <w:bCs/>
        </w:rPr>
      </w:pPr>
      <w:r w:rsidRPr="005D4E35">
        <w:rPr>
          <w:rFonts w:ascii="Arial" w:hAnsi="Arial" w:cs="Arial"/>
          <w:b/>
          <w:bCs/>
        </w:rPr>
        <w:lastRenderedPageBreak/>
        <w:t>Ventas del último año</w:t>
      </w:r>
    </w:p>
    <w:p w14:paraId="00B79568" w14:textId="25D855CF" w:rsidR="00D359A1" w:rsidRDefault="00D359A1" w:rsidP="00D359A1">
      <w:pPr>
        <w:spacing w:before="240" w:after="240" w:line="276" w:lineRule="auto"/>
        <w:jc w:val="both"/>
        <w:rPr>
          <w:rFonts w:ascii="Arial" w:hAnsi="Arial" w:cs="Arial"/>
        </w:rPr>
      </w:pPr>
      <w:r>
        <w:rPr>
          <w:rFonts w:ascii="Arial" w:hAnsi="Arial" w:cs="Arial"/>
        </w:rPr>
        <w:t>Inicialmente</w:t>
      </w:r>
      <w:r>
        <w:rPr>
          <w:rFonts w:ascii="Arial" w:hAnsi="Arial" w:cs="Arial"/>
        </w:rPr>
        <w:t xml:space="preserve"> podemos revisar la correlación existente entre las variables latentes calculadas para </w:t>
      </w:r>
      <w:r w:rsidRPr="007B168D">
        <w:rPr>
          <w:rFonts w:ascii="Arial" w:hAnsi="Arial" w:cs="Arial"/>
          <w:i/>
          <w:iCs/>
        </w:rPr>
        <w:t>sensing</w:t>
      </w:r>
      <w:r>
        <w:rPr>
          <w:rFonts w:ascii="Arial" w:hAnsi="Arial" w:cs="Arial"/>
        </w:rPr>
        <w:t xml:space="preserve"> y las ventas de la empresa en el último año. Al calcular </w:t>
      </w:r>
      <w:r>
        <w:rPr>
          <w:rFonts w:ascii="Arial" w:hAnsi="Arial" w:cs="Arial"/>
        </w:rPr>
        <w:t xml:space="preserve">la </w:t>
      </w:r>
      <w:r>
        <w:rPr>
          <w:rFonts w:ascii="Arial" w:hAnsi="Arial" w:cs="Arial"/>
        </w:rPr>
        <w:t xml:space="preserve">correlación </w:t>
      </w:r>
      <w:r>
        <w:rPr>
          <w:rFonts w:ascii="Arial" w:hAnsi="Arial" w:cs="Arial"/>
        </w:rPr>
        <w:t>siguiendo</w:t>
      </w:r>
      <w:r>
        <w:rPr>
          <w:rFonts w:ascii="Arial" w:hAnsi="Arial" w:cs="Arial"/>
        </w:rPr>
        <w:t xml:space="preserve"> el método de Pearson</w:t>
      </w:r>
      <w:r>
        <w:rPr>
          <w:rFonts w:ascii="Arial" w:hAnsi="Arial" w:cs="Arial"/>
        </w:rPr>
        <w:t xml:space="preserve"> encontramos lo siguiente:</w:t>
      </w:r>
    </w:p>
    <w:p w14:paraId="1EAF13F4" w14:textId="6426225F" w:rsidR="005D4E35" w:rsidRDefault="00D359A1" w:rsidP="00D359A1">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14:paraId="20A1B9F9" w14:textId="6A218E10"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y positiva entre </w:t>
      </w:r>
      <w:r w:rsidR="00E013F7">
        <w:rPr>
          <w:rFonts w:ascii="Arial" w:hAnsi="Arial" w:cs="Arial"/>
        </w:rPr>
        <w:t>las ventas del último año de las empresas incluidas en la muestra y la variable sensing.</w:t>
      </w:r>
    </w:p>
    <w:p w14:paraId="30010BD2" w14:textId="77777777" w:rsidR="00954CCC" w:rsidRDefault="00954CCC" w:rsidP="00E14DC1">
      <w:pPr>
        <w:spacing w:before="240" w:after="240"/>
        <w:jc w:val="both"/>
        <w:rPr>
          <w:rFonts w:ascii="Arial" w:hAnsi="Arial" w:cs="Arial"/>
        </w:rPr>
      </w:pPr>
    </w:p>
    <w:p w14:paraId="39D22A74" w14:textId="77777777" w:rsidR="00954CCC" w:rsidRDefault="00954CCC" w:rsidP="00E14DC1">
      <w:pPr>
        <w:spacing w:before="240" w:after="240"/>
        <w:jc w:val="both"/>
        <w:rPr>
          <w:rFonts w:ascii="Arial" w:hAnsi="Arial" w:cs="Arial"/>
        </w:rPr>
      </w:pPr>
    </w:p>
    <w:p w14:paraId="4EEAA4CF" w14:textId="55ED1CCA" w:rsidR="00F05A53" w:rsidRPr="00F05A53" w:rsidRDefault="00F05A53" w:rsidP="00F05A53">
      <w:pPr>
        <w:pStyle w:val="Prrafodelista"/>
        <w:numPr>
          <w:ilvl w:val="0"/>
          <w:numId w:val="1"/>
        </w:numPr>
        <w:spacing w:before="240" w:after="240"/>
        <w:jc w:val="both"/>
        <w:rPr>
          <w:rFonts w:ascii="Arial" w:hAnsi="Arial" w:cs="Arial"/>
          <w:b/>
          <w:bCs/>
        </w:rPr>
      </w:pPr>
      <w:r w:rsidRPr="00F05A53">
        <w:rPr>
          <w:rFonts w:ascii="Arial" w:hAnsi="Arial" w:cs="Arial"/>
          <w:b/>
          <w:bCs/>
        </w:rPr>
        <w:t>Anexos (pruebas estadísticas)</w:t>
      </w:r>
    </w:p>
    <w:p w14:paraId="637E0F90" w14:textId="55186CC2" w:rsidR="00F05A53" w:rsidRDefault="00F05A53" w:rsidP="00F05A53">
      <w:pPr>
        <w:spacing w:before="240" w:after="240"/>
        <w:jc w:val="both"/>
        <w:rPr>
          <w:rFonts w:ascii="Arial" w:hAnsi="Arial" w:cs="Arial"/>
          <w:b/>
          <w:bCs/>
        </w:rPr>
      </w:pPr>
      <w:r w:rsidRPr="00F05A53">
        <w:rPr>
          <w:rFonts w:ascii="Arial" w:hAnsi="Arial" w:cs="Arial"/>
          <w:b/>
          <w:bCs/>
        </w:rPr>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La prueba de Shapiro-Wilk es una de las pruebas estadísticas más utilizadas para evaluar si una muestra proviene de una distribución normal. Fue propuesta por Samuel Shapiro y Martin Wilk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602BFAFD" w14:textId="77777777" w:rsidR="000E63D0" w:rsidRPr="00A77D54" w:rsidRDefault="000E63D0"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0E63D0"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lastRenderedPageBreak/>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 xml:space="preserve">Luego, se compara el valor-p obtenido en la prueba con el valor </w:t>
      </w:r>
      <w:r w:rsidR="004A0E48">
        <w:rPr>
          <w:rFonts w:ascii="Arial" w:hAnsi="Arial" w:cs="Arial"/>
        </w:rPr>
        <w:t>α</w:t>
      </w:r>
      <w:r w:rsidR="004A0E48">
        <w:rPr>
          <w:rFonts w:ascii="Arial" w:hAnsi="Arial" w:cs="Arial"/>
        </w:rPr>
        <w:t>:</w:t>
      </w:r>
    </w:p>
    <w:p w14:paraId="42DEEEE4" w14:textId="7DD43E8A" w:rsidR="004A0E48" w:rsidRPr="00C67B69" w:rsidRDefault="004A0E48" w:rsidP="004A0E48">
      <w:pPr>
        <w:pStyle w:val="Prrafodelista"/>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w:t>
      </w:r>
      <w:r w:rsidR="00C67B69">
        <w:rPr>
          <w:rFonts w:ascii="Arial" w:hAnsi="Arial" w:cs="Arial"/>
        </w:rPr>
        <w:t>α</w:t>
      </w:r>
      <w:r w:rsidR="00C67B69">
        <w:rPr>
          <w:rFonts w:ascii="Arial" w:hAnsi="Arial" w:cs="Arial"/>
        </w:rPr>
        <w:t xml:space="preserve">,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Prrafodelista"/>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123D03B7" w:rsidR="0006249F" w:rsidRPr="00650E5F" w:rsidRDefault="0006249F" w:rsidP="0006249F">
      <w:pPr>
        <w:spacing w:before="240" w:after="240"/>
        <w:jc w:val="both"/>
        <w:rPr>
          <w:rFonts w:ascii="Arial" w:hAnsi="Arial" w:cs="Arial"/>
          <w:b/>
          <w:bCs/>
        </w:rPr>
      </w:pPr>
      <w:r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La prueba de Levene es una prueba estadística utilizada para evaluar la igualdad de varianzas (homocedasticidad) entre dos o más grupos. Es una condición importante para 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06249F"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06249F"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w:t>
      </w:r>
      <w:r>
        <w:rPr>
          <w:rFonts w:ascii="Arial" w:hAnsi="Arial" w:cs="Arial"/>
        </w:rPr>
        <w:t xml:space="preserve">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3A6CF40C" w14:textId="7D344745" w:rsidR="00594CC2" w:rsidRPr="00B856B5"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homogeneidad de varianzas</w:t>
      </w:r>
      <w:r w:rsidR="00B856B5">
        <w:rPr>
          <w:rFonts w:ascii="Arial" w:eastAsiaTheme="minorEastAsia" w:hAnsi="Arial" w:cs="Arial"/>
        </w:rPr>
        <w:t xml:space="preserve"> </w:t>
      </w:r>
      <w:r>
        <w:rPr>
          <w:rFonts w:ascii="Arial" w:eastAsiaTheme="minorEastAsia" w:hAnsi="Arial" w:cs="Arial"/>
        </w:rPr>
        <w:t>(</w:t>
      </w:r>
      <w:r w:rsidR="00B856B5">
        <w:rPr>
          <w:rFonts w:ascii="Arial" w:eastAsiaTheme="minorEastAsia" w:hAnsi="Arial" w:cs="Arial"/>
        </w:rPr>
        <w:t xml:space="preserve">no </w:t>
      </w:r>
      <w:r w:rsidR="00B856B5">
        <w:rPr>
          <w:rFonts w:ascii="Arial" w:eastAsiaTheme="minorEastAsia" w:hAnsi="Arial" w:cs="Arial"/>
        </w:rPr>
        <w:t>existe igualdad de varianzas entre dos o más grupos</w:t>
      </w:r>
      <w:r>
        <w:rPr>
          <w:rFonts w:ascii="Arial" w:eastAsiaTheme="minorEastAsia" w:hAnsi="Arial" w:cs="Arial"/>
        </w:rPr>
        <w:t>).</w:t>
      </w:r>
    </w:p>
    <w:p w14:paraId="69B1D473" w14:textId="77777777" w:rsidR="00C90588" w:rsidRDefault="00C90588" w:rsidP="00B856B5">
      <w:pPr>
        <w:spacing w:before="240" w:after="240"/>
        <w:jc w:val="both"/>
        <w:rPr>
          <w:rFonts w:ascii="Arial" w:hAnsi="Arial" w:cs="Arial"/>
          <w:b/>
          <w:bCs/>
        </w:rPr>
      </w:pPr>
    </w:p>
    <w:p w14:paraId="60253F1E" w14:textId="77777777" w:rsidR="00C90588" w:rsidRDefault="00C90588" w:rsidP="00B856B5">
      <w:pPr>
        <w:spacing w:before="240" w:after="240"/>
        <w:jc w:val="both"/>
        <w:rPr>
          <w:rFonts w:ascii="Arial" w:hAnsi="Arial" w:cs="Arial"/>
          <w:b/>
          <w:bCs/>
        </w:rPr>
      </w:pPr>
    </w:p>
    <w:p w14:paraId="49E3F7F3" w14:textId="663025C1" w:rsidR="00B856B5" w:rsidRPr="00954CCC" w:rsidRDefault="00954CCC" w:rsidP="00C90588">
      <w:pPr>
        <w:spacing w:before="240" w:after="240" w:line="276" w:lineRule="auto"/>
        <w:jc w:val="both"/>
        <w:rPr>
          <w:rFonts w:ascii="Arial" w:hAnsi="Arial" w:cs="Arial"/>
          <w:b/>
          <w:bCs/>
        </w:rPr>
      </w:pPr>
      <w:r w:rsidRPr="00954CCC">
        <w:rPr>
          <w:rFonts w:ascii="Arial" w:hAnsi="Arial" w:cs="Arial"/>
          <w:b/>
          <w:bCs/>
        </w:rPr>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t>La prueba ANOVA (</w:t>
      </w:r>
      <w:r w:rsidRPr="00C90588">
        <w:rPr>
          <w:rFonts w:ascii="Arial" w:hAnsi="Arial" w:cs="Arial"/>
          <w:i/>
          <w:iCs/>
        </w:rPr>
        <w:t>Analysis of Variance</w:t>
      </w:r>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w:t>
      </w:r>
      <w:r>
        <w:rPr>
          <w:rFonts w:ascii="Arial" w:hAnsi="Arial" w:cs="Arial"/>
        </w:rPr>
        <w:t>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C90588"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C90588"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 xml:space="preserve">Para decidir si </w:t>
      </w:r>
      <w:r>
        <w:rPr>
          <w:rFonts w:ascii="Arial" w:hAnsi="Arial" w:cs="Arial"/>
        </w:rPr>
        <w:t>al menos una de las medias poblaciones difiere</w:t>
      </w:r>
      <w:r>
        <w:rPr>
          <w:rFonts w:ascii="Arial" w:hAnsi="Arial" w:cs="Arial"/>
        </w:rPr>
        <w:t>,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w:t>
      </w:r>
      <w:r>
        <w:rPr>
          <w:rFonts w:ascii="Arial" w:eastAsiaTheme="minorEastAsia" w:hAnsi="Arial" w:cs="Arial"/>
        </w:rPr>
        <w:t>no hay evidencia de diferencias significativas en las medias poblaciones entre grupos.</w:t>
      </w:r>
    </w:p>
    <w:p w14:paraId="0A9CE9A8" w14:textId="4B1CECB6" w:rsidR="00C90588" w:rsidRPr="0006249F"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w:t>
      </w:r>
      <w:r>
        <w:rPr>
          <w:rFonts w:ascii="Arial" w:eastAsiaTheme="minorEastAsia" w:hAnsi="Arial" w:cs="Arial"/>
        </w:rPr>
        <w:t xml:space="preserve">existe evidencia </w:t>
      </w:r>
      <w:r w:rsidR="005945EB">
        <w:rPr>
          <w:rFonts w:ascii="Arial" w:eastAsiaTheme="minorEastAsia" w:hAnsi="Arial" w:cs="Arial"/>
        </w:rPr>
        <w:t>de diferencias significativas en las medias poblacionales entre grupos.</w:t>
      </w:r>
    </w:p>
    <w:p w14:paraId="39A5ABD4" w14:textId="6C9172C5" w:rsidR="00954CCC" w:rsidRPr="00AB7774" w:rsidRDefault="00AB7774" w:rsidP="00C90588">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t>La prueba de Tukey HSD (</w:t>
      </w:r>
      <w:r w:rsidRPr="00923C5C">
        <w:rPr>
          <w:rFonts w:ascii="Arial" w:hAnsi="Arial" w:cs="Arial"/>
          <w:i/>
          <w:iCs/>
        </w:rPr>
        <w:t>Honest Significant Difference</w:t>
      </w:r>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923C5C"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923C5C"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w:t>
      </w:r>
      <w:r>
        <w:rPr>
          <w:rFonts w:ascii="Arial" w:hAnsi="Arial" w:cs="Arial"/>
        </w:rPr>
        <w:t>la</w:t>
      </w:r>
      <w:r>
        <w:rPr>
          <w:rFonts w:ascii="Arial" w:hAnsi="Arial" w:cs="Arial"/>
        </w:rPr>
        <w:t xml:space="preserve"> media poblaciones difiere</w:t>
      </w:r>
      <w:r>
        <w:rPr>
          <w:rFonts w:ascii="Arial" w:hAnsi="Arial" w:cs="Arial"/>
        </w:rPr>
        <w:t xml:space="preserv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2C1305A" w14:textId="6B791E14" w:rsidR="00443A1D" w:rsidRPr="0006249F"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5A978CFF" w14:textId="77777777" w:rsidR="00923C5C" w:rsidRDefault="00923C5C" w:rsidP="00923C5C">
      <w:pPr>
        <w:spacing w:before="240" w:after="240" w:line="276" w:lineRule="auto"/>
        <w:jc w:val="both"/>
        <w:rPr>
          <w:rFonts w:ascii="Arial" w:hAnsi="Arial" w:cs="Arial"/>
        </w:rPr>
      </w:pPr>
    </w:p>
    <w:p w14:paraId="7241FDBA" w14:textId="77777777" w:rsidR="00923C5C" w:rsidRPr="00923C5C" w:rsidRDefault="00923C5C" w:rsidP="00923C5C">
      <w:pPr>
        <w:spacing w:before="240" w:after="240" w:line="276" w:lineRule="auto"/>
        <w:jc w:val="both"/>
        <w:rPr>
          <w:rFonts w:ascii="Arial" w:hAnsi="Arial" w:cs="Arial"/>
        </w:rPr>
      </w:pPr>
    </w:p>
    <w:p w14:paraId="5ACE8EA0" w14:textId="77777777" w:rsidR="0006249F" w:rsidRDefault="0006249F" w:rsidP="0006249F">
      <w:pPr>
        <w:spacing w:before="240" w:after="240"/>
        <w:jc w:val="both"/>
        <w:rPr>
          <w:rFonts w:ascii="Arial" w:hAnsi="Arial" w:cs="Arial"/>
        </w:rPr>
      </w:pPr>
    </w:p>
    <w:p w14:paraId="7E7B4992" w14:textId="77777777" w:rsidR="0006249F" w:rsidRPr="0006249F" w:rsidRDefault="0006249F" w:rsidP="0006249F">
      <w:pPr>
        <w:spacing w:before="240" w:after="240"/>
        <w:jc w:val="both"/>
        <w:rPr>
          <w:rFonts w:ascii="Arial" w:hAnsi="Arial" w:cs="Arial"/>
        </w:rPr>
      </w:pPr>
    </w:p>
    <w:p w14:paraId="79CB2C1A" w14:textId="77777777" w:rsidR="00C67B69" w:rsidRPr="00C67B69" w:rsidRDefault="00C67B69" w:rsidP="00C67B69">
      <w:pPr>
        <w:spacing w:before="240" w:after="240"/>
        <w:jc w:val="both"/>
        <w:rPr>
          <w:rFonts w:ascii="Arial" w:hAnsi="Arial" w:cs="Arial"/>
        </w:rPr>
      </w:pPr>
    </w:p>
    <w:p w14:paraId="005C338A" w14:textId="7558FEBD" w:rsidR="00972E56" w:rsidRDefault="00972E56" w:rsidP="00C8574D">
      <w:pPr>
        <w:spacing w:before="240" w:after="240"/>
        <w:jc w:val="both"/>
        <w:rPr>
          <w:rFonts w:ascii="Arial" w:hAnsi="Arial" w:cs="Arial"/>
        </w:rPr>
      </w:pPr>
    </w:p>
    <w:p w14:paraId="34F85ADA" w14:textId="77777777" w:rsidR="00137938" w:rsidRDefault="00137938" w:rsidP="00137938">
      <w:pPr>
        <w:spacing w:before="240" w:after="240"/>
        <w:rPr>
          <w:rFonts w:ascii="Arial" w:hAnsi="Arial" w:cs="Arial"/>
        </w:rPr>
      </w:pPr>
    </w:p>
    <w:p w14:paraId="6A1294C5" w14:textId="77777777" w:rsidR="00137938" w:rsidRPr="00137938" w:rsidRDefault="00137938" w:rsidP="00634D57">
      <w:pPr>
        <w:spacing w:before="240" w:after="240"/>
        <w:rPr>
          <w:rFonts w:ascii="Arial" w:eastAsiaTheme="minorEastAsia" w:hAnsi="Arial" w:cs="Arial"/>
        </w:rPr>
      </w:pPr>
    </w:p>
    <w:p w14:paraId="53E3949D" w14:textId="77777777" w:rsidR="00634D57" w:rsidRDefault="00634D57" w:rsidP="004227E5">
      <w:pPr>
        <w:spacing w:before="240" w:after="240"/>
        <w:rPr>
          <w:rFonts w:ascii="Arial" w:hAnsi="Arial" w:cs="Arial"/>
        </w:rPr>
      </w:pPr>
    </w:p>
    <w:p w14:paraId="5F065473" w14:textId="77777777" w:rsidR="00657F12" w:rsidRPr="003C5147" w:rsidRDefault="00657F12" w:rsidP="004227E5">
      <w:pPr>
        <w:spacing w:before="240" w:after="240"/>
        <w:rPr>
          <w:rFonts w:ascii="Arial" w:hAnsi="Arial" w:cs="Arial"/>
        </w:rPr>
      </w:pPr>
    </w:p>
    <w:p w14:paraId="0DA8462D" w14:textId="77777777" w:rsidR="0084123A" w:rsidRDefault="0084123A" w:rsidP="00ED5328">
      <w:pPr>
        <w:spacing w:before="240" w:after="240"/>
        <w:jc w:val="both"/>
        <w:rPr>
          <w:rFonts w:ascii="Arial" w:hAnsi="Arial" w:cs="Arial"/>
        </w:rPr>
      </w:pPr>
    </w:p>
    <w:p w14:paraId="03596D1F" w14:textId="77777777" w:rsidR="0084123A" w:rsidRDefault="0084123A" w:rsidP="00ED5328">
      <w:pPr>
        <w:spacing w:before="240" w:after="240"/>
        <w:jc w:val="both"/>
        <w:rPr>
          <w:rFonts w:ascii="Arial" w:hAnsi="Arial" w:cs="Arial"/>
        </w:rPr>
      </w:pPr>
    </w:p>
    <w:p w14:paraId="7C3E7C73" w14:textId="77777777" w:rsidR="0084123A" w:rsidRDefault="0084123A" w:rsidP="00ED5328">
      <w:pPr>
        <w:spacing w:before="240" w:after="240"/>
        <w:jc w:val="both"/>
        <w:rPr>
          <w:rFonts w:ascii="Arial" w:hAnsi="Arial" w:cs="Arial"/>
        </w:rPr>
      </w:pPr>
    </w:p>
    <w:p w14:paraId="25D8AAEE" w14:textId="77777777" w:rsidR="0084123A" w:rsidRDefault="0084123A" w:rsidP="00ED5328">
      <w:pPr>
        <w:spacing w:before="240" w:after="240"/>
        <w:jc w:val="both"/>
        <w:rPr>
          <w:rFonts w:ascii="Arial" w:hAnsi="Arial" w:cs="Arial"/>
        </w:rPr>
      </w:pPr>
    </w:p>
    <w:p w14:paraId="30437CEA" w14:textId="77777777" w:rsidR="0084123A" w:rsidRDefault="0084123A" w:rsidP="00ED5328">
      <w:pPr>
        <w:spacing w:before="240" w:after="240"/>
        <w:jc w:val="both"/>
      </w:pPr>
    </w:p>
    <w:p w14:paraId="67ABC340" w14:textId="77777777" w:rsidR="00182EDE" w:rsidRDefault="00182EDE" w:rsidP="00ED5328">
      <w:pPr>
        <w:spacing w:before="240" w:after="240"/>
        <w:jc w:val="both"/>
      </w:pPr>
    </w:p>
    <w:p w14:paraId="7C0C46C7" w14:textId="77777777" w:rsidR="00182EDE" w:rsidRDefault="00182EDE" w:rsidP="00ED5328">
      <w:pPr>
        <w:spacing w:before="240" w:after="240"/>
        <w:jc w:val="both"/>
      </w:pPr>
    </w:p>
    <w:p w14:paraId="0475D686" w14:textId="77777777" w:rsidR="00182EDE" w:rsidRDefault="00182EDE" w:rsidP="00ED5328">
      <w:pPr>
        <w:spacing w:before="240" w:after="240"/>
        <w:jc w:val="both"/>
      </w:pPr>
    </w:p>
    <w:p w14:paraId="7F5C251C" w14:textId="77777777" w:rsidR="00182EDE" w:rsidRDefault="00182EDE" w:rsidP="00ED5328">
      <w:pPr>
        <w:spacing w:before="240" w:after="240"/>
        <w:jc w:val="both"/>
      </w:pPr>
    </w:p>
    <w:p w14:paraId="204AE1CC" w14:textId="77777777" w:rsidR="00182EDE" w:rsidRDefault="00182EDE" w:rsidP="00ED5328">
      <w:pPr>
        <w:spacing w:before="240" w:after="240"/>
        <w:jc w:val="both"/>
      </w:pPr>
    </w:p>
    <w:p w14:paraId="6809A5C6" w14:textId="77777777" w:rsidR="00182EDE" w:rsidRDefault="00182EDE" w:rsidP="00ED5328">
      <w:pPr>
        <w:spacing w:before="240" w:after="240"/>
        <w:jc w:val="both"/>
      </w:pPr>
    </w:p>
    <w:p w14:paraId="36954902" w14:textId="77777777" w:rsidR="00182EDE" w:rsidRDefault="00182EDE" w:rsidP="00ED5328">
      <w:pPr>
        <w:spacing w:before="240" w:after="240"/>
        <w:jc w:val="both"/>
      </w:pPr>
    </w:p>
    <w:p w14:paraId="67331132" w14:textId="268F128E" w:rsidR="0E3B6F3A" w:rsidRDefault="0E3B6F3A">
      <w:r>
        <w:br w:type="page"/>
      </w:r>
    </w:p>
    <w:p w14:paraId="7967AD5B" w14:textId="32A40A3F" w:rsidR="008B5E3D" w:rsidRPr="000506B1" w:rsidRDefault="008B5E3D" w:rsidP="00B110C0">
      <w:pPr>
        <w:spacing w:line="276" w:lineRule="auto"/>
        <w:jc w:val="both"/>
        <w:rPr>
          <w:rFonts w:ascii="Arial" w:hAnsi="Arial" w:cs="Arial"/>
          <w:b/>
          <w:bCs/>
        </w:rPr>
      </w:pPr>
      <w:r w:rsidRPr="000506B1">
        <w:rPr>
          <w:rFonts w:ascii="Arial" w:hAnsi="Arial" w:cs="Arial"/>
          <w:b/>
          <w:bCs/>
        </w:rPr>
        <w:lastRenderedPageBreak/>
        <w:t>Referencias</w:t>
      </w:r>
    </w:p>
    <w:p w14:paraId="17367F7A" w14:textId="77777777" w:rsidR="000506B1" w:rsidRPr="00F809DC" w:rsidRDefault="000506B1" w:rsidP="00F809DC">
      <w:pPr>
        <w:pStyle w:val="Prrafodelista"/>
        <w:numPr>
          <w:ilvl w:val="0"/>
          <w:numId w:val="2"/>
        </w:numPr>
        <w:spacing w:line="276" w:lineRule="auto"/>
        <w:jc w:val="both"/>
        <w:rPr>
          <w:rFonts w:ascii="Arial" w:hAnsi="Arial" w:cs="Arial"/>
        </w:rPr>
      </w:pPr>
      <w:r w:rsidRPr="00F809DC">
        <w:rPr>
          <w:rFonts w:ascii="Arial" w:hAnsi="Arial" w:cs="Arial"/>
        </w:rPr>
        <w:t xml:space="preserve">Samejima, F. (1969). </w:t>
      </w:r>
      <w:r w:rsidRPr="00F809DC">
        <w:rPr>
          <w:rFonts w:ascii="Arial" w:hAnsi="Arial" w:cs="Arial"/>
          <w:i/>
          <w:iCs/>
        </w:rPr>
        <w:t>Estimation of latent ability using a response pattern of graded scores</w:t>
      </w:r>
      <w:r w:rsidRPr="00F809DC">
        <w:rPr>
          <w:rFonts w:ascii="Arial" w:hAnsi="Arial" w:cs="Arial"/>
        </w:rPr>
        <w:t>. Psychometrika Monograph Supplement.</w:t>
      </w:r>
    </w:p>
    <w:p w14:paraId="730FF1E2" w14:textId="77777777" w:rsidR="000506B1" w:rsidRPr="00F809DC" w:rsidRDefault="000506B1" w:rsidP="00F809DC">
      <w:pPr>
        <w:pStyle w:val="Prrafodelista"/>
        <w:numPr>
          <w:ilvl w:val="0"/>
          <w:numId w:val="2"/>
        </w:numPr>
        <w:spacing w:line="276" w:lineRule="auto"/>
        <w:jc w:val="both"/>
        <w:rPr>
          <w:rFonts w:ascii="Arial" w:hAnsi="Arial" w:cs="Arial"/>
        </w:rPr>
      </w:pPr>
      <w:r w:rsidRPr="00F809DC">
        <w:rPr>
          <w:rFonts w:ascii="Arial" w:hAnsi="Arial" w:cs="Arial"/>
        </w:rPr>
        <w:t xml:space="preserve">Embretson, S. E., &amp; Reise, S. P. (2000). </w:t>
      </w:r>
      <w:r w:rsidRPr="00F809DC">
        <w:rPr>
          <w:rFonts w:ascii="Arial" w:hAnsi="Arial" w:cs="Arial"/>
          <w:i/>
          <w:iCs/>
        </w:rPr>
        <w:t>Item Response Theory for Psychologists</w:t>
      </w:r>
      <w:r w:rsidRPr="00F809DC">
        <w:rPr>
          <w:rFonts w:ascii="Arial" w:hAnsi="Arial" w:cs="Arial"/>
        </w:rPr>
        <w:t>. Lawrence Erlbaum Associates.</w:t>
      </w:r>
    </w:p>
    <w:p w14:paraId="6806F7D6" w14:textId="17640491" w:rsidR="000506B1" w:rsidRPr="00F809DC" w:rsidRDefault="000506B1" w:rsidP="00F809DC">
      <w:pPr>
        <w:pStyle w:val="Prrafodelista"/>
        <w:numPr>
          <w:ilvl w:val="0"/>
          <w:numId w:val="2"/>
        </w:numPr>
        <w:spacing w:line="276" w:lineRule="auto"/>
        <w:jc w:val="both"/>
        <w:rPr>
          <w:rFonts w:ascii="Arial" w:hAnsi="Arial" w:cs="Arial"/>
        </w:rPr>
      </w:pPr>
      <w:r w:rsidRPr="00F809DC">
        <w:rPr>
          <w:rFonts w:ascii="Arial" w:hAnsi="Arial" w:cs="Arial"/>
        </w:rPr>
        <w:t xml:space="preserve">De Ayala, R. J. (2009). </w:t>
      </w:r>
      <w:r w:rsidRPr="00F809DC">
        <w:rPr>
          <w:rFonts w:ascii="Arial" w:hAnsi="Arial" w:cs="Arial"/>
          <w:i/>
          <w:iCs/>
        </w:rPr>
        <w:t>The Theory and Practice of Item Response Theory</w:t>
      </w:r>
      <w:r w:rsidRPr="00F809DC">
        <w:rPr>
          <w:rFonts w:ascii="Arial" w:hAnsi="Arial" w:cs="Arial"/>
        </w:rPr>
        <w:t>. Guilford Press.</w:t>
      </w:r>
    </w:p>
    <w:p w14:paraId="6D6348A4" w14:textId="477A211D" w:rsidR="00F91B9F" w:rsidRPr="00F809DC" w:rsidRDefault="00F91B9F" w:rsidP="00F809DC">
      <w:pPr>
        <w:pStyle w:val="Prrafodelista"/>
        <w:numPr>
          <w:ilvl w:val="0"/>
          <w:numId w:val="2"/>
        </w:numPr>
        <w:spacing w:line="276" w:lineRule="auto"/>
        <w:jc w:val="both"/>
        <w:rPr>
          <w:rFonts w:ascii="Arial" w:hAnsi="Arial" w:cs="Arial"/>
        </w:rPr>
      </w:pPr>
      <w:r w:rsidRPr="00F809DC">
        <w:rPr>
          <w:rFonts w:ascii="Arial" w:hAnsi="Arial" w:cs="Arial"/>
        </w:rPr>
        <w:t xml:space="preserve">Baker, F. B., &amp; Kim, S.-H. (2017). </w:t>
      </w:r>
      <w:r w:rsidRPr="00F809DC">
        <w:rPr>
          <w:rFonts w:ascii="Arial" w:hAnsi="Arial" w:cs="Arial"/>
          <w:i/>
          <w:iCs/>
        </w:rPr>
        <w:t>The Basics of Item Response Theory Using R</w:t>
      </w:r>
      <w:r w:rsidRPr="00F809DC">
        <w:rPr>
          <w:rFonts w:ascii="Arial" w:hAnsi="Arial" w:cs="Arial"/>
        </w:rPr>
        <w:t xml:space="preserve"> (2nd ed.). Springer. </w:t>
      </w:r>
      <w:hyperlink r:id="rId10" w:history="1">
        <w:r w:rsidR="00F809DC" w:rsidRPr="00F809DC">
          <w:rPr>
            <w:rStyle w:val="Hipervnculo"/>
            <w:rFonts w:ascii="Arial" w:hAnsi="Arial" w:cs="Arial"/>
          </w:rPr>
          <w:t>https://doi.org/10.1007/978-3-319-54205-8</w:t>
        </w:r>
      </w:hyperlink>
    </w:p>
    <w:p w14:paraId="4C24540A" w14:textId="0D91CB87"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Shapiro, S. S., &amp; Wilk, M. B. (1965). An analysis of variance test for normality (complete samples). </w:t>
      </w:r>
      <w:r w:rsidRPr="00F809DC">
        <w:rPr>
          <w:rStyle w:val="nfasis"/>
          <w:rFonts w:ascii="Arial" w:eastAsiaTheme="majorEastAsia" w:hAnsi="Arial" w:cs="Arial"/>
          <w:sz w:val="22"/>
          <w:szCs w:val="22"/>
        </w:rPr>
        <w:t>Biometrika</w:t>
      </w:r>
      <w:r w:rsidRPr="00F809DC">
        <w:rPr>
          <w:rFonts w:ascii="Arial" w:hAnsi="Arial" w:cs="Arial"/>
          <w:sz w:val="22"/>
          <w:szCs w:val="22"/>
        </w:rPr>
        <w:t>, 52(3/4), 591–611.</w:t>
      </w:r>
    </w:p>
    <w:p w14:paraId="28B8EE2F" w14:textId="0EE52C13"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Levene, H. (1960). Robust tests for equality of variances. In I. Olkin (Ed.), </w:t>
      </w:r>
      <w:r w:rsidRPr="00F809DC">
        <w:rPr>
          <w:rStyle w:val="nfasis"/>
          <w:rFonts w:ascii="Arial" w:eastAsiaTheme="majorEastAsia" w:hAnsi="Arial" w:cs="Arial"/>
          <w:sz w:val="22"/>
          <w:szCs w:val="22"/>
        </w:rPr>
        <w:t>Contributions to Probability and Statistics: Essays in Honor of Harold Hotelling</w:t>
      </w:r>
      <w:r w:rsidRPr="00F809DC">
        <w:rPr>
          <w:rFonts w:ascii="Arial" w:hAnsi="Arial" w:cs="Arial"/>
          <w:sz w:val="22"/>
          <w:szCs w:val="22"/>
        </w:rPr>
        <w:t xml:space="preserve"> (pp. 278–292). Stanford University Press.</w:t>
      </w:r>
    </w:p>
    <w:p w14:paraId="59963FCA" w14:textId="08D89964"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Fisher, R. A. (1925). </w:t>
      </w:r>
      <w:r w:rsidRPr="00F809DC">
        <w:rPr>
          <w:rStyle w:val="nfasis"/>
          <w:rFonts w:ascii="Arial" w:eastAsiaTheme="majorEastAsia" w:hAnsi="Arial" w:cs="Arial"/>
          <w:sz w:val="22"/>
          <w:szCs w:val="22"/>
        </w:rPr>
        <w:t>Statistical Methods for Research Workers</w:t>
      </w:r>
      <w:r w:rsidRPr="00F809DC">
        <w:rPr>
          <w:rFonts w:ascii="Arial" w:hAnsi="Arial" w:cs="Arial"/>
          <w:sz w:val="22"/>
          <w:szCs w:val="22"/>
        </w:rPr>
        <w:t>. Oliver and Boyd.</w:t>
      </w:r>
    </w:p>
    <w:p w14:paraId="741A037E" w14:textId="12E6BF1D"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Tukey, J. W. (1949). Comparing individual means in the analysis of variance. </w:t>
      </w:r>
      <w:r w:rsidRPr="00F809DC">
        <w:rPr>
          <w:rStyle w:val="nfasis"/>
          <w:rFonts w:ascii="Arial" w:eastAsiaTheme="majorEastAsia" w:hAnsi="Arial" w:cs="Arial"/>
          <w:sz w:val="22"/>
          <w:szCs w:val="22"/>
        </w:rPr>
        <w:t>Biometrics</w:t>
      </w:r>
      <w:r w:rsidRPr="00F809DC">
        <w:rPr>
          <w:rFonts w:ascii="Arial" w:hAnsi="Arial" w:cs="Arial"/>
          <w:sz w:val="22"/>
          <w:szCs w:val="22"/>
        </w:rPr>
        <w:t>, 5(2), 99–114.</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226E1" w14:textId="77777777" w:rsidR="009C25B2" w:rsidRDefault="009C25B2" w:rsidP="00AD21EE">
      <w:pPr>
        <w:spacing w:after="0" w:line="240" w:lineRule="auto"/>
      </w:pPr>
      <w:r>
        <w:separator/>
      </w:r>
    </w:p>
  </w:endnote>
  <w:endnote w:type="continuationSeparator" w:id="0">
    <w:p w14:paraId="1E56A072" w14:textId="77777777" w:rsidR="009C25B2" w:rsidRDefault="009C25B2"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E1D89" w14:textId="77777777" w:rsidR="009C25B2" w:rsidRDefault="009C25B2" w:rsidP="00AD21EE">
      <w:pPr>
        <w:spacing w:after="0" w:line="240" w:lineRule="auto"/>
      </w:pPr>
      <w:r>
        <w:separator/>
      </w:r>
    </w:p>
  </w:footnote>
  <w:footnote w:type="continuationSeparator" w:id="0">
    <w:p w14:paraId="46880EFC" w14:textId="77777777" w:rsidR="009C25B2" w:rsidRDefault="009C25B2" w:rsidP="00AD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878073B"/>
    <w:multiLevelType w:val="multilevel"/>
    <w:tmpl w:val="0CF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0"/>
  </w:num>
  <w:num w:numId="2" w16cid:durableId="773745179">
    <w:abstractNumId w:val="8"/>
  </w:num>
  <w:num w:numId="3" w16cid:durableId="278074808">
    <w:abstractNumId w:val="10"/>
  </w:num>
  <w:num w:numId="4" w16cid:durableId="1611204847">
    <w:abstractNumId w:val="4"/>
  </w:num>
  <w:num w:numId="5" w16cid:durableId="1556813051">
    <w:abstractNumId w:val="7"/>
  </w:num>
  <w:num w:numId="6" w16cid:durableId="1159494391">
    <w:abstractNumId w:val="3"/>
  </w:num>
  <w:num w:numId="7" w16cid:durableId="271016374">
    <w:abstractNumId w:val="11"/>
  </w:num>
  <w:num w:numId="8" w16cid:durableId="277414717">
    <w:abstractNumId w:val="6"/>
  </w:num>
  <w:num w:numId="9" w16cid:durableId="731932535">
    <w:abstractNumId w:val="9"/>
  </w:num>
  <w:num w:numId="10" w16cid:durableId="158547823">
    <w:abstractNumId w:val="5"/>
  </w:num>
  <w:num w:numId="11" w16cid:durableId="1093470808">
    <w:abstractNumId w:val="2"/>
  </w:num>
  <w:num w:numId="12" w16cid:durableId="36702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7692F"/>
    <w:rsid w:val="00086AF7"/>
    <w:rsid w:val="000975C0"/>
    <w:rsid w:val="000B2BAD"/>
    <w:rsid w:val="000C609B"/>
    <w:rsid w:val="000E1144"/>
    <w:rsid w:val="000E129C"/>
    <w:rsid w:val="000E1823"/>
    <w:rsid w:val="000E63D0"/>
    <w:rsid w:val="00125BF3"/>
    <w:rsid w:val="001351E2"/>
    <w:rsid w:val="00137938"/>
    <w:rsid w:val="001407F7"/>
    <w:rsid w:val="0015042F"/>
    <w:rsid w:val="0017580C"/>
    <w:rsid w:val="00182EDE"/>
    <w:rsid w:val="001961F6"/>
    <w:rsid w:val="001965A5"/>
    <w:rsid w:val="001A261E"/>
    <w:rsid w:val="001C07AF"/>
    <w:rsid w:val="001D2769"/>
    <w:rsid w:val="001D4B4E"/>
    <w:rsid w:val="001D5836"/>
    <w:rsid w:val="001E67A6"/>
    <w:rsid w:val="001F084F"/>
    <w:rsid w:val="001F4D66"/>
    <w:rsid w:val="002208B7"/>
    <w:rsid w:val="00227AB3"/>
    <w:rsid w:val="002325F7"/>
    <w:rsid w:val="00244A98"/>
    <w:rsid w:val="002538BD"/>
    <w:rsid w:val="00275937"/>
    <w:rsid w:val="002952EB"/>
    <w:rsid w:val="00296F37"/>
    <w:rsid w:val="002B69FF"/>
    <w:rsid w:val="002C6064"/>
    <w:rsid w:val="002C6FC6"/>
    <w:rsid w:val="002E3EDC"/>
    <w:rsid w:val="002F013F"/>
    <w:rsid w:val="0030285F"/>
    <w:rsid w:val="003110F5"/>
    <w:rsid w:val="00325BC6"/>
    <w:rsid w:val="003369CE"/>
    <w:rsid w:val="003509A4"/>
    <w:rsid w:val="00351F84"/>
    <w:rsid w:val="00357092"/>
    <w:rsid w:val="00363687"/>
    <w:rsid w:val="0036686A"/>
    <w:rsid w:val="0037294D"/>
    <w:rsid w:val="00373254"/>
    <w:rsid w:val="003769AD"/>
    <w:rsid w:val="0038102B"/>
    <w:rsid w:val="003C3A32"/>
    <w:rsid w:val="003C40C1"/>
    <w:rsid w:val="003C5147"/>
    <w:rsid w:val="003D0780"/>
    <w:rsid w:val="003E7A4A"/>
    <w:rsid w:val="00415C8E"/>
    <w:rsid w:val="004227E5"/>
    <w:rsid w:val="00443A1D"/>
    <w:rsid w:val="004445F0"/>
    <w:rsid w:val="004575FA"/>
    <w:rsid w:val="004730E6"/>
    <w:rsid w:val="004819B5"/>
    <w:rsid w:val="004A0E48"/>
    <w:rsid w:val="004C2248"/>
    <w:rsid w:val="004C22E7"/>
    <w:rsid w:val="004C495C"/>
    <w:rsid w:val="004E2DF9"/>
    <w:rsid w:val="004F2287"/>
    <w:rsid w:val="005060E8"/>
    <w:rsid w:val="00513F94"/>
    <w:rsid w:val="00520C17"/>
    <w:rsid w:val="005357E0"/>
    <w:rsid w:val="00566492"/>
    <w:rsid w:val="0056683C"/>
    <w:rsid w:val="00581479"/>
    <w:rsid w:val="0058787C"/>
    <w:rsid w:val="005945EB"/>
    <w:rsid w:val="00594CC2"/>
    <w:rsid w:val="005D4E35"/>
    <w:rsid w:val="005E647E"/>
    <w:rsid w:val="005F2600"/>
    <w:rsid w:val="005F4180"/>
    <w:rsid w:val="00607AD0"/>
    <w:rsid w:val="006133A9"/>
    <w:rsid w:val="00613A21"/>
    <w:rsid w:val="00634D57"/>
    <w:rsid w:val="00637C45"/>
    <w:rsid w:val="00642DD8"/>
    <w:rsid w:val="00650E5F"/>
    <w:rsid w:val="006566D0"/>
    <w:rsid w:val="00657F12"/>
    <w:rsid w:val="00670592"/>
    <w:rsid w:val="0067425C"/>
    <w:rsid w:val="00676B6B"/>
    <w:rsid w:val="006C6CA5"/>
    <w:rsid w:val="006E75A9"/>
    <w:rsid w:val="00706BEF"/>
    <w:rsid w:val="00707C0C"/>
    <w:rsid w:val="007523FC"/>
    <w:rsid w:val="00755F5B"/>
    <w:rsid w:val="007B168D"/>
    <w:rsid w:val="007D5122"/>
    <w:rsid w:val="007E50FC"/>
    <w:rsid w:val="008152D4"/>
    <w:rsid w:val="008222DF"/>
    <w:rsid w:val="008302DF"/>
    <w:rsid w:val="00831C23"/>
    <w:rsid w:val="0084123A"/>
    <w:rsid w:val="0084256F"/>
    <w:rsid w:val="00847093"/>
    <w:rsid w:val="00854730"/>
    <w:rsid w:val="00870158"/>
    <w:rsid w:val="00870376"/>
    <w:rsid w:val="00874F42"/>
    <w:rsid w:val="008777D8"/>
    <w:rsid w:val="00881EBB"/>
    <w:rsid w:val="00882724"/>
    <w:rsid w:val="008900C6"/>
    <w:rsid w:val="008A1B5C"/>
    <w:rsid w:val="008A1DFD"/>
    <w:rsid w:val="008B5E3D"/>
    <w:rsid w:val="008C7F93"/>
    <w:rsid w:val="008D14AA"/>
    <w:rsid w:val="008D3A89"/>
    <w:rsid w:val="008E04E8"/>
    <w:rsid w:val="008E37C3"/>
    <w:rsid w:val="008E4963"/>
    <w:rsid w:val="008F076E"/>
    <w:rsid w:val="008F1BF0"/>
    <w:rsid w:val="008F6BD5"/>
    <w:rsid w:val="009079FE"/>
    <w:rsid w:val="009168E5"/>
    <w:rsid w:val="00923C5C"/>
    <w:rsid w:val="00926AFE"/>
    <w:rsid w:val="00954CCC"/>
    <w:rsid w:val="00954E4B"/>
    <w:rsid w:val="00956523"/>
    <w:rsid w:val="009633B1"/>
    <w:rsid w:val="00972E56"/>
    <w:rsid w:val="009C1439"/>
    <w:rsid w:val="009C25B2"/>
    <w:rsid w:val="009D0FB5"/>
    <w:rsid w:val="009D274D"/>
    <w:rsid w:val="009D714A"/>
    <w:rsid w:val="009E7625"/>
    <w:rsid w:val="00A068C2"/>
    <w:rsid w:val="00A07BAA"/>
    <w:rsid w:val="00A17AB2"/>
    <w:rsid w:val="00A23DA5"/>
    <w:rsid w:val="00A26FA3"/>
    <w:rsid w:val="00A50A37"/>
    <w:rsid w:val="00A73022"/>
    <w:rsid w:val="00A77D54"/>
    <w:rsid w:val="00A9350F"/>
    <w:rsid w:val="00A95B46"/>
    <w:rsid w:val="00AB3176"/>
    <w:rsid w:val="00AB7774"/>
    <w:rsid w:val="00AC7F4A"/>
    <w:rsid w:val="00AD21EE"/>
    <w:rsid w:val="00AD4539"/>
    <w:rsid w:val="00B06865"/>
    <w:rsid w:val="00B110C0"/>
    <w:rsid w:val="00B1583C"/>
    <w:rsid w:val="00B163A4"/>
    <w:rsid w:val="00B209A4"/>
    <w:rsid w:val="00B514B3"/>
    <w:rsid w:val="00B54BA6"/>
    <w:rsid w:val="00B62FB4"/>
    <w:rsid w:val="00B8465F"/>
    <w:rsid w:val="00B856B5"/>
    <w:rsid w:val="00B97C5B"/>
    <w:rsid w:val="00BD0835"/>
    <w:rsid w:val="00BE4B83"/>
    <w:rsid w:val="00BF4469"/>
    <w:rsid w:val="00C11A5D"/>
    <w:rsid w:val="00C172A9"/>
    <w:rsid w:val="00C200F2"/>
    <w:rsid w:val="00C23F32"/>
    <w:rsid w:val="00C35A75"/>
    <w:rsid w:val="00C405A5"/>
    <w:rsid w:val="00C645B3"/>
    <w:rsid w:val="00C67B69"/>
    <w:rsid w:val="00C70751"/>
    <w:rsid w:val="00C8574D"/>
    <w:rsid w:val="00C86C14"/>
    <w:rsid w:val="00C90588"/>
    <w:rsid w:val="00CB62D1"/>
    <w:rsid w:val="00CB7D25"/>
    <w:rsid w:val="00CC638D"/>
    <w:rsid w:val="00CC7361"/>
    <w:rsid w:val="00CD0290"/>
    <w:rsid w:val="00CE71BB"/>
    <w:rsid w:val="00CF2508"/>
    <w:rsid w:val="00CF6559"/>
    <w:rsid w:val="00D104EF"/>
    <w:rsid w:val="00D31A42"/>
    <w:rsid w:val="00D359A1"/>
    <w:rsid w:val="00D378DA"/>
    <w:rsid w:val="00D56D7B"/>
    <w:rsid w:val="00D56E40"/>
    <w:rsid w:val="00D60B6F"/>
    <w:rsid w:val="00D91D6B"/>
    <w:rsid w:val="00DC15D2"/>
    <w:rsid w:val="00DC4441"/>
    <w:rsid w:val="00DD3301"/>
    <w:rsid w:val="00DD639F"/>
    <w:rsid w:val="00DE379F"/>
    <w:rsid w:val="00E013F7"/>
    <w:rsid w:val="00E07E23"/>
    <w:rsid w:val="00E14DC1"/>
    <w:rsid w:val="00E553DF"/>
    <w:rsid w:val="00E6398C"/>
    <w:rsid w:val="00E67543"/>
    <w:rsid w:val="00E70A85"/>
    <w:rsid w:val="00E738CF"/>
    <w:rsid w:val="00E76B41"/>
    <w:rsid w:val="00E87513"/>
    <w:rsid w:val="00ED15EF"/>
    <w:rsid w:val="00ED5328"/>
    <w:rsid w:val="00F02823"/>
    <w:rsid w:val="00F05A53"/>
    <w:rsid w:val="00F21BC7"/>
    <w:rsid w:val="00F300C4"/>
    <w:rsid w:val="00F44A86"/>
    <w:rsid w:val="00F624FA"/>
    <w:rsid w:val="00F80043"/>
    <w:rsid w:val="00F809DC"/>
    <w:rsid w:val="00F82F83"/>
    <w:rsid w:val="00F8491A"/>
    <w:rsid w:val="00F91B9F"/>
    <w:rsid w:val="00FA0F51"/>
    <w:rsid w:val="00FA1930"/>
    <w:rsid w:val="00FC3475"/>
    <w:rsid w:val="00FD71DB"/>
    <w:rsid w:val="00FE1596"/>
    <w:rsid w:val="00FE1BA8"/>
    <w:rsid w:val="00FF3406"/>
    <w:rsid w:val="0E3B6F3A"/>
    <w:rsid w:val="1914F40E"/>
    <w:rsid w:val="24D4E2AA"/>
    <w:rsid w:val="26593E7A"/>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3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3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3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3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3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3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3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361"/>
    <w:rPr>
      <w:rFonts w:eastAsiaTheme="majorEastAsia" w:cstheme="majorBidi"/>
      <w:color w:val="272727" w:themeColor="text1" w:themeTint="D8"/>
    </w:rPr>
  </w:style>
  <w:style w:type="paragraph" w:styleId="Ttulo">
    <w:name w:val="Title"/>
    <w:basedOn w:val="Normal"/>
    <w:next w:val="Normal"/>
    <w:link w:val="TtuloC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3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361"/>
    <w:pPr>
      <w:spacing w:before="160"/>
      <w:jc w:val="center"/>
    </w:pPr>
    <w:rPr>
      <w:i/>
      <w:iCs/>
      <w:color w:val="404040" w:themeColor="text1" w:themeTint="BF"/>
    </w:rPr>
  </w:style>
  <w:style w:type="character" w:customStyle="1" w:styleId="CitaCar">
    <w:name w:val="Cita Car"/>
    <w:basedOn w:val="Fuentedeprrafopredeter"/>
    <w:link w:val="Cita"/>
    <w:uiPriority w:val="29"/>
    <w:rsid w:val="00CC7361"/>
    <w:rPr>
      <w:i/>
      <w:iCs/>
      <w:color w:val="404040" w:themeColor="text1" w:themeTint="BF"/>
    </w:rPr>
  </w:style>
  <w:style w:type="paragraph" w:styleId="Prrafodelista">
    <w:name w:val="List Paragraph"/>
    <w:basedOn w:val="Normal"/>
    <w:uiPriority w:val="34"/>
    <w:qFormat/>
    <w:rsid w:val="00CC7361"/>
    <w:pPr>
      <w:ind w:left="720"/>
      <w:contextualSpacing/>
    </w:pPr>
  </w:style>
  <w:style w:type="character" w:styleId="nfasisintenso">
    <w:name w:val="Intense Emphasis"/>
    <w:basedOn w:val="Fuentedeprrafopredeter"/>
    <w:uiPriority w:val="21"/>
    <w:qFormat/>
    <w:rsid w:val="00CC7361"/>
    <w:rPr>
      <w:i/>
      <w:iCs/>
      <w:color w:val="0F4761" w:themeColor="accent1" w:themeShade="BF"/>
    </w:rPr>
  </w:style>
  <w:style w:type="paragraph" w:styleId="Citadestacada">
    <w:name w:val="Intense Quote"/>
    <w:basedOn w:val="Normal"/>
    <w:next w:val="Normal"/>
    <w:link w:val="CitadestacadaC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361"/>
    <w:rPr>
      <w:i/>
      <w:iCs/>
      <w:color w:val="0F4761" w:themeColor="accent1" w:themeShade="BF"/>
    </w:rPr>
  </w:style>
  <w:style w:type="character" w:styleId="Referenciaintensa">
    <w:name w:val="Intense Reference"/>
    <w:basedOn w:val="Fuentedeprrafopredeter"/>
    <w:uiPriority w:val="32"/>
    <w:qFormat/>
    <w:rsid w:val="00CC7361"/>
    <w:rPr>
      <w:b/>
      <w:bCs/>
      <w:smallCaps/>
      <w:color w:val="0F4761" w:themeColor="accent1" w:themeShade="BF"/>
      <w:spacing w:val="5"/>
    </w:rPr>
  </w:style>
  <w:style w:type="paragraph" w:styleId="Textonotapie">
    <w:name w:val="footnote text"/>
    <w:basedOn w:val="Normal"/>
    <w:link w:val="TextonotapieCar"/>
    <w:uiPriority w:val="99"/>
    <w:semiHidden/>
    <w:unhideWhenUsed/>
    <w:rsid w:val="00AD21EE"/>
    <w:pPr>
      <w:spacing w:after="0" w:line="240" w:lineRule="auto"/>
      <w:ind w:firstLine="180"/>
      <w:jc w:val="both"/>
    </w:pPr>
    <w:rPr>
      <w:kern w:val="0"/>
      <w:sz w:val="20"/>
      <w:szCs w:val="20"/>
      <w14:ligatures w14:val="none"/>
    </w:rPr>
  </w:style>
  <w:style w:type="character" w:customStyle="1" w:styleId="TextonotapieCar">
    <w:name w:val="Texto nota pie Car"/>
    <w:basedOn w:val="Fuentedeprrafopredeter"/>
    <w:link w:val="Textonotapie"/>
    <w:uiPriority w:val="99"/>
    <w:semiHidden/>
    <w:rsid w:val="00AD21EE"/>
    <w:rPr>
      <w:kern w:val="0"/>
      <w:sz w:val="20"/>
      <w:szCs w:val="20"/>
      <w14:ligatures w14:val="none"/>
    </w:rPr>
  </w:style>
  <w:style w:type="character" w:styleId="Refdenotaalpie">
    <w:name w:val="footnote reference"/>
    <w:basedOn w:val="Fuentedeprrafopredeter"/>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F2600"/>
    <w:rPr>
      <w:b/>
      <w:bCs/>
    </w:rPr>
  </w:style>
  <w:style w:type="character" w:styleId="Textodelmarcadordeposicin">
    <w:name w:val="Placeholder Text"/>
    <w:basedOn w:val="Fuentedeprrafopredeter"/>
    <w:uiPriority w:val="99"/>
    <w:semiHidden/>
    <w:rsid w:val="008E04E8"/>
    <w:rPr>
      <w:color w:val="666666"/>
    </w:rPr>
  </w:style>
  <w:style w:type="paragraph" w:styleId="Encabezado">
    <w:name w:val="header"/>
    <w:basedOn w:val="Normal"/>
    <w:link w:val="EncabezadoCar"/>
    <w:uiPriority w:val="99"/>
    <w:semiHidden/>
    <w:unhideWhenUsed/>
    <w:rsid w:val="00AD45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5042F"/>
  </w:style>
  <w:style w:type="paragraph" w:styleId="Piedepgina">
    <w:name w:val="footer"/>
    <w:basedOn w:val="Normal"/>
    <w:link w:val="PiedepginaCar"/>
    <w:uiPriority w:val="99"/>
    <w:semiHidden/>
    <w:unhideWhenUsed/>
    <w:rsid w:val="00AD45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5042F"/>
  </w:style>
  <w:style w:type="character" w:styleId="Hipervnculo">
    <w:name w:val="Hyperlink"/>
    <w:basedOn w:val="Fuentedeprrafopredeter"/>
    <w:uiPriority w:val="99"/>
    <w:unhideWhenUsed/>
    <w:rsid w:val="00F809DC"/>
    <w:rPr>
      <w:color w:val="467886" w:themeColor="hyperlink"/>
      <w:u w:val="single"/>
    </w:rPr>
  </w:style>
  <w:style w:type="character" w:styleId="Mencinsinresolver">
    <w:name w:val="Unresolved Mention"/>
    <w:basedOn w:val="Fuentedeprrafopredeter"/>
    <w:uiPriority w:val="99"/>
    <w:semiHidden/>
    <w:unhideWhenUsed/>
    <w:rsid w:val="00F809DC"/>
    <w:rPr>
      <w:color w:val="605E5C"/>
      <w:shd w:val="clear" w:color="auto" w:fill="E1DFDD"/>
    </w:rPr>
  </w:style>
  <w:style w:type="character" w:styleId="nfasis">
    <w:name w:val="Emphasis"/>
    <w:basedOn w:val="Fuentedeprrafopredeter"/>
    <w:uiPriority w:val="20"/>
    <w:qFormat/>
    <w:rsid w:val="00F8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07/978-3-319-54205-8"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3352</Words>
  <Characters>18440</Characters>
  <Application>Microsoft Office Word</Application>
  <DocSecurity>0</DocSecurity>
  <Lines>153</Lines>
  <Paragraphs>43</Paragraphs>
  <ScaleCrop>false</ScaleCrop>
  <Company/>
  <LinksUpToDate>false</LinksUpToDate>
  <CharactersWithSpaces>21749</CharactersWithSpaces>
  <SharedDoc>false</SharedDoc>
  <HLinks>
    <vt:vector size="6" baseType="variant">
      <vt:variant>
        <vt:i4>1114199</vt:i4>
      </vt:variant>
      <vt:variant>
        <vt:i4>0</vt:i4>
      </vt:variant>
      <vt:variant>
        <vt:i4>0</vt:i4>
      </vt:variant>
      <vt:variant>
        <vt:i4>5</vt:i4>
      </vt:variant>
      <vt:variant>
        <vt:lpwstr>https://doi.org/10.1007/978-3-319-54205-8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Andres Felipe Ocampo Quiceno</cp:lastModifiedBy>
  <cp:revision>192</cp:revision>
  <dcterms:created xsi:type="dcterms:W3CDTF">2025-05-22T05:11:00Z</dcterms:created>
  <dcterms:modified xsi:type="dcterms:W3CDTF">2025-05-29T05:26:00Z</dcterms:modified>
</cp:coreProperties>
</file>