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000000"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25DA0A3E" w:rsidR="00BF446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38C7C457" w14:textId="62C412F2" w:rsidR="007C2C1E" w:rsidRDefault="007C2C1E" w:rsidP="00BF4469">
      <w:pPr>
        <w:spacing w:line="276" w:lineRule="auto"/>
        <w:jc w:val="both"/>
        <w:rPr>
          <w:rFonts w:ascii="Arial" w:hAnsi="Arial" w:cs="Arial"/>
        </w:rPr>
      </w:pPr>
    </w:p>
    <w:p w14:paraId="1717C9D9" w14:textId="06A74DF2" w:rsidR="007C2C1E" w:rsidRDefault="007C2C1E" w:rsidP="00BF4469">
      <w:pPr>
        <w:spacing w:line="276" w:lineRule="auto"/>
        <w:jc w:val="both"/>
        <w:rPr>
          <w:rFonts w:ascii="Arial" w:hAnsi="Arial" w:cs="Arial"/>
        </w:rPr>
      </w:pPr>
    </w:p>
    <w:p w14:paraId="5B65F4A9" w14:textId="77777777" w:rsidR="007C2C1E" w:rsidRPr="00CF6559" w:rsidRDefault="007C2C1E" w:rsidP="00BF4469">
      <w:pPr>
        <w:spacing w:line="276" w:lineRule="auto"/>
        <w:jc w:val="both"/>
        <w:rPr>
          <w:rFonts w:ascii="Arial" w:hAnsi="Arial" w:cs="Arial"/>
        </w:rPr>
      </w:pP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Esto sugiere que los umbrales asociados a este ítem se ubican en valores bajos del continuo ,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de .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w:t>
      </w:r>
      <w:r w:rsidR="00CB7D25" w:rsidRPr="00CB7D25">
        <w:rPr>
          <w:rFonts w:ascii="Arial" w:hAnsi="Arial" w:cs="Arial"/>
        </w:rPr>
        <w:lastRenderedPageBreak/>
        <w:t xml:space="preserve">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xml:space="preserve">, con el fin de evaluar si </w:t>
      </w:r>
      <w:r w:rsidR="004C22E7" w:rsidRPr="004C22E7">
        <w:rPr>
          <w:rFonts w:ascii="Arial" w:hAnsi="Arial" w:cs="Arial"/>
        </w:rPr>
        <w:lastRenderedPageBreak/>
        <w:t>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2A137D86">
            <wp:extent cx="3686175" cy="368617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3691991" cy="3691991"/>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lastRenderedPageBreak/>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CCE8B8E" w14:textId="77777777" w:rsidR="00502A56" w:rsidRDefault="00502A56" w:rsidP="00270F4C">
      <w:pPr>
        <w:spacing w:before="240" w:after="240" w:line="276" w:lineRule="auto"/>
        <w:jc w:val="both"/>
        <w:rPr>
          <w:rFonts w:ascii="Arial" w:hAnsi="Arial" w:cs="Arial"/>
        </w:rPr>
      </w:pPr>
    </w:p>
    <w:p w14:paraId="52483FEA" w14:textId="77777777" w:rsidR="00502A56" w:rsidRDefault="00502A56" w:rsidP="00270F4C">
      <w:pPr>
        <w:spacing w:before="240" w:after="240" w:line="276" w:lineRule="auto"/>
        <w:jc w:val="both"/>
        <w:rPr>
          <w:rFonts w:ascii="Arial" w:hAnsi="Arial" w:cs="Arial"/>
        </w:rPr>
      </w:pP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lastRenderedPageBreak/>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w:t>
      </w:r>
      <w:r w:rsidR="00CB0ED7">
        <w:rPr>
          <w:rFonts w:ascii="Arial" w:hAnsi="Arial" w:cs="Arial"/>
        </w:rPr>
        <w:lastRenderedPageBreak/>
        <w:t xml:space="preserve">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xml:space="preserve">, la cual constituye una alternativa robusta al ANOVA cuando no </w:t>
      </w:r>
      <w:r w:rsidRPr="00D42830">
        <w:rPr>
          <w:rFonts w:ascii="Arial" w:hAnsi="Arial" w:cs="Arial"/>
        </w:rPr>
        <w:lastRenderedPageBreak/>
        <w:t>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29CA115"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705DBB27">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76CA5663" w14:textId="5ED956AD" w:rsidR="00502A56" w:rsidRDefault="00502A56" w:rsidP="00502A56">
      <w:pPr>
        <w:spacing w:before="240" w:after="240" w:line="276" w:lineRule="auto"/>
        <w:jc w:val="center"/>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625E94AF" w14:textId="77777777" w:rsidR="00502A56" w:rsidRDefault="00502A56" w:rsidP="00D30841">
      <w:pPr>
        <w:spacing w:before="240" w:after="240" w:line="276" w:lineRule="auto"/>
        <w:jc w:val="both"/>
        <w:rPr>
          <w:rFonts w:ascii="Arial" w:hAnsi="Arial" w:cs="Arial"/>
        </w:rPr>
      </w:pPr>
    </w:p>
    <w:p w14:paraId="5597AE00" w14:textId="77777777" w:rsidR="00502A56" w:rsidRDefault="00502A56" w:rsidP="00D30841">
      <w:pPr>
        <w:spacing w:before="240" w:after="240" w:line="276" w:lineRule="auto"/>
        <w:jc w:val="both"/>
        <w:rPr>
          <w:rFonts w:ascii="Arial" w:hAnsi="Arial" w:cs="Arial"/>
        </w:rPr>
      </w:pPr>
    </w:p>
    <w:p w14:paraId="57708A3A" w14:textId="77777777" w:rsidR="00502A56" w:rsidRDefault="00502A56" w:rsidP="00D30841">
      <w:pPr>
        <w:spacing w:before="240" w:after="240" w:line="276" w:lineRule="auto"/>
        <w:jc w:val="both"/>
        <w:rPr>
          <w:rFonts w:ascii="Arial" w:hAnsi="Arial" w:cs="Arial"/>
        </w:rPr>
      </w:pPr>
    </w:p>
    <w:p w14:paraId="58A8EDB6" w14:textId="77777777" w:rsidR="00502A56" w:rsidRDefault="00502A56" w:rsidP="00D30841">
      <w:pPr>
        <w:spacing w:before="240" w:after="240" w:line="276" w:lineRule="auto"/>
        <w:jc w:val="both"/>
        <w:rPr>
          <w:rFonts w:ascii="Arial" w:hAnsi="Arial" w:cs="Arial"/>
        </w:rPr>
      </w:pPr>
    </w:p>
    <w:p w14:paraId="6085FA5F" w14:textId="4B60F9DE"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B74E38">
      <w:pPr>
        <w:spacing w:before="240" w:after="240" w:line="276" w:lineRule="auto"/>
        <w:jc w:val="center"/>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147EA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D628F3C" w14:textId="77777777" w:rsidR="00147EAB" w:rsidRDefault="00147EAB" w:rsidP="00380FB8">
      <w:pPr>
        <w:spacing w:before="240" w:after="240" w:line="276" w:lineRule="auto"/>
        <w:jc w:val="both"/>
        <w:rPr>
          <w:rFonts w:ascii="Arial" w:hAnsi="Arial" w:cs="Arial"/>
        </w:rPr>
      </w:pPr>
    </w:p>
    <w:p w14:paraId="36394FCB" w14:textId="081A20A2" w:rsidR="00380FB8" w:rsidRDefault="00AC4AAD" w:rsidP="00380FB8">
      <w:pPr>
        <w:spacing w:before="240" w:after="240" w:line="276" w:lineRule="auto"/>
        <w:jc w:val="both"/>
        <w:rPr>
          <w:rFonts w:ascii="Arial" w:hAnsi="Arial" w:cs="Arial"/>
        </w:rPr>
      </w:pPr>
      <w:r w:rsidRPr="00AC4AAD">
        <w:rPr>
          <w:rFonts w:ascii="Arial" w:hAnsi="Arial" w:cs="Arial"/>
        </w:rPr>
        <w:lastRenderedPageBreak/>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lastRenderedPageBreak/>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A773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50FF1403"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39927A27" w14:textId="77777777" w:rsidR="009A7739" w:rsidRPr="00B24561" w:rsidRDefault="009A7739" w:rsidP="00B24561">
      <w:pPr>
        <w:spacing w:before="240" w:after="240" w:line="276" w:lineRule="auto"/>
        <w:jc w:val="both"/>
        <w:rPr>
          <w:rFonts w:ascii="Arial" w:hAnsi="Arial" w:cs="Arial"/>
        </w:rPr>
      </w:pPr>
    </w:p>
    <w:p w14:paraId="490BEDB2" w14:textId="0F2D1EB1" w:rsidR="00B10B3A" w:rsidRDefault="00B24561" w:rsidP="00B10B3A">
      <w:pPr>
        <w:spacing w:before="240" w:after="240" w:line="276" w:lineRule="auto"/>
        <w:jc w:val="center"/>
        <w:rPr>
          <w:rFonts w:ascii="Arial" w:hAnsi="Arial" w:cs="Arial"/>
          <w:b/>
          <w:bCs/>
        </w:rPr>
      </w:pPr>
      <w:r w:rsidRPr="00B24561">
        <w:rPr>
          <w:rFonts w:ascii="Arial" w:hAnsi="Arial" w:cs="Arial"/>
          <w:b/>
          <w:bCs/>
        </w:rPr>
        <w:lastRenderedPageBreak/>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9A7739">
        <w:rPr>
          <w:rFonts w:ascii="Arial" w:hAnsi="Arial" w:cs="Arial"/>
          <w:b/>
          <w:bCs/>
        </w:rPr>
        <w:t>seizing</w:t>
      </w:r>
      <w:proofErr w:type="spellEnd"/>
      <w:r w:rsidR="009A7739" w:rsidRPr="009A7739">
        <w:rPr>
          <w:rFonts w:ascii="Arial" w:hAnsi="Arial" w:cs="Arial"/>
          <w:b/>
          <w:bCs/>
        </w:rPr>
        <w:t xml:space="preserve"> 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180"/>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GRUPO</w:t>
            </w:r>
          </w:p>
        </w:tc>
        <w:tc>
          <w:tcPr>
            <w:tcW w:w="1133" w:type="dxa"/>
            <w:shd w:val="clear" w:color="000000" w:fill="153D64"/>
            <w:noWrap/>
            <w:vAlign w:val="center"/>
            <w:hideMark/>
          </w:tcPr>
          <w:p w14:paraId="5DE5F30B" w14:textId="54307C78"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ESTADÍSTICO SW</w:t>
            </w:r>
          </w:p>
        </w:tc>
        <w:tc>
          <w:tcPr>
            <w:tcW w:w="986" w:type="dxa"/>
            <w:shd w:val="clear" w:color="000000" w:fill="153D64"/>
            <w:noWrap/>
            <w:vAlign w:val="center"/>
            <w:hideMark/>
          </w:tcPr>
          <w:p w14:paraId="59A9CFBE" w14:textId="72F96C14"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P-VALOR</w:t>
            </w:r>
          </w:p>
        </w:tc>
        <w:tc>
          <w:tcPr>
            <w:tcW w:w="5903" w:type="dxa"/>
            <w:shd w:val="clear" w:color="000000" w:fill="153D64"/>
            <w:noWrap/>
            <w:vAlign w:val="center"/>
            <w:hideMark/>
          </w:tcPr>
          <w:p w14:paraId="62938603" w14:textId="4DD0428C"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0C2F6F47" w14:textId="14A7A8AD"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índices por tamaño de compañía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B602D12" w14:textId="3E1E77D0" w:rsidR="000473D6" w:rsidRPr="000473D6" w:rsidRDefault="000473D6" w:rsidP="000473D6">
      <w:pPr>
        <w:spacing w:before="240" w:after="240" w:line="276" w:lineRule="auto"/>
        <w:jc w:val="both"/>
        <w:rPr>
          <w:rFonts w:ascii="Arial" w:hAnsi="Arial" w:cs="Arial"/>
        </w:rPr>
      </w:pPr>
      <w:r>
        <w:rPr>
          <w:rFonts w:ascii="Arial" w:hAnsi="Arial" w:cs="Arial"/>
        </w:rPr>
        <w:lastRenderedPageBreak/>
        <w:t>Ahora bien, e</w:t>
      </w:r>
      <w:r w:rsidRPr="000473D6">
        <w:rPr>
          <w:rFonts w:ascii="Arial" w:hAnsi="Arial" w:cs="Arial"/>
        </w:rPr>
        <w:t xml:space="preserve">nfocando el análisis en el gráfico anterior, se observan diferencias claras en los niveles de </w:t>
      </w:r>
      <w:proofErr w:type="spellStart"/>
      <w:r w:rsidRPr="000473D6">
        <w:rPr>
          <w:rFonts w:ascii="Arial" w:hAnsi="Arial" w:cs="Arial"/>
          <w:i/>
          <w:iCs/>
        </w:rPr>
        <w:t>Seizing</w:t>
      </w:r>
      <w:proofErr w:type="spellEnd"/>
      <w:r w:rsidRPr="000473D6">
        <w:rPr>
          <w:rFonts w:ascii="Arial" w:hAnsi="Arial" w:cs="Arial"/>
        </w:rPr>
        <w:t xml:space="preserve"> según el tamaño empresarial, </w:t>
      </w:r>
      <w:r>
        <w:rPr>
          <w:rFonts w:ascii="Arial" w:hAnsi="Arial" w:cs="Arial"/>
        </w:rPr>
        <w:t>en el que se destaca</w:t>
      </w:r>
      <w:r w:rsidRPr="000473D6">
        <w:rPr>
          <w:rFonts w:ascii="Arial" w:hAnsi="Arial" w:cs="Arial"/>
        </w:rPr>
        <w:t xml:space="preserve"> particularmente </w:t>
      </w:r>
      <w:r>
        <w:rPr>
          <w:rFonts w:ascii="Arial" w:hAnsi="Arial" w:cs="Arial"/>
        </w:rPr>
        <w:t xml:space="preserve">a </w:t>
      </w:r>
      <w:r w:rsidRPr="000473D6">
        <w:rPr>
          <w:rFonts w:ascii="Arial" w:hAnsi="Arial" w:cs="Arial"/>
        </w:rPr>
        <w:t>las empresas grandes, cuyo valor mediano alcanza 1</w:t>
      </w:r>
      <w:r>
        <w:rPr>
          <w:rFonts w:ascii="Arial" w:hAnsi="Arial" w:cs="Arial"/>
        </w:rPr>
        <w:t>,</w:t>
      </w:r>
      <w:r w:rsidRPr="000473D6">
        <w:rPr>
          <w:rFonts w:ascii="Arial" w:hAnsi="Arial" w:cs="Arial"/>
        </w:rPr>
        <w:t xml:space="preserve">50 en la variable latente. Este resultado sugiere que, en términos de capacidad de ejecución estratégica, las organizaciones de mayor tamaño cuentan con estructuras, procesos o recursos que les permiten responder con mayor </w:t>
      </w:r>
      <w:r>
        <w:rPr>
          <w:rFonts w:ascii="Arial" w:hAnsi="Arial" w:cs="Arial"/>
        </w:rPr>
        <w:t>eficiencia</w:t>
      </w:r>
      <w:r w:rsidRPr="000473D6">
        <w:rPr>
          <w:rFonts w:ascii="Arial" w:hAnsi="Arial" w:cs="Arial"/>
        </w:rPr>
        <w:t xml:space="preserve"> a oportunidades previamente identificadas.</w:t>
      </w:r>
    </w:p>
    <w:p w14:paraId="6D8E16B7" w14:textId="64072DD5" w:rsidR="000473D6" w:rsidRPr="000473D6" w:rsidRDefault="000473D6" w:rsidP="000473D6">
      <w:pPr>
        <w:spacing w:before="240" w:after="240" w:line="276" w:lineRule="auto"/>
        <w:jc w:val="both"/>
        <w:rPr>
          <w:rFonts w:ascii="Arial" w:hAnsi="Arial" w:cs="Arial"/>
        </w:rPr>
      </w:pPr>
      <w:r>
        <w:rPr>
          <w:rFonts w:ascii="Arial" w:hAnsi="Arial" w:cs="Arial"/>
        </w:rPr>
        <w:t>De otro lado</w:t>
      </w:r>
      <w:r w:rsidRPr="000473D6">
        <w:rPr>
          <w:rFonts w:ascii="Arial" w:hAnsi="Arial" w:cs="Arial"/>
        </w:rPr>
        <w:t>, más allá de las diferencias observadas en la muestra, el análisis estadístico permite establecer que estas variaciones son generalizables a la población</w:t>
      </w:r>
      <w:r>
        <w:rPr>
          <w:rFonts w:ascii="Arial" w:hAnsi="Arial" w:cs="Arial"/>
        </w:rPr>
        <w:t xml:space="preserve"> debido a que,</w:t>
      </w:r>
      <w:r w:rsidRPr="000473D6">
        <w:rPr>
          <w:rFonts w:ascii="Arial" w:hAnsi="Arial" w:cs="Arial"/>
        </w:rPr>
        <w:t xml:space="preserve"> </w:t>
      </w:r>
      <w:r>
        <w:rPr>
          <w:rFonts w:ascii="Arial" w:hAnsi="Arial" w:cs="Arial"/>
        </w:rPr>
        <w:t>l</w:t>
      </w:r>
      <w:r w:rsidRPr="000473D6">
        <w:rPr>
          <w:rFonts w:ascii="Arial" w:hAnsi="Arial" w:cs="Arial"/>
        </w:rPr>
        <w:t xml:space="preserve">a prueba de ANOVA reveló diferencias significativas entre los grupos, y el análisis </w:t>
      </w:r>
      <w:proofErr w:type="spellStart"/>
      <w:r w:rsidRPr="000473D6">
        <w:rPr>
          <w:rFonts w:ascii="Arial" w:hAnsi="Arial" w:cs="Arial"/>
        </w:rPr>
        <w:t>post-hoc</w:t>
      </w:r>
      <w:proofErr w:type="spellEnd"/>
      <w:r w:rsidRPr="000473D6">
        <w:rPr>
          <w:rFonts w:ascii="Arial" w:hAnsi="Arial" w:cs="Arial"/>
        </w:rPr>
        <w:t xml:space="preserve"> mediante Tukey HSD confirmó que las empresas grandes presentan, en efecto, niveles de </w:t>
      </w:r>
      <w:proofErr w:type="spellStart"/>
      <w:r w:rsidRPr="000473D6">
        <w:rPr>
          <w:rFonts w:ascii="Arial" w:hAnsi="Arial" w:cs="Arial"/>
          <w:i/>
          <w:iCs/>
        </w:rPr>
        <w:t>Seizing</w:t>
      </w:r>
      <w:proofErr w:type="spellEnd"/>
      <w:r w:rsidRPr="000473D6">
        <w:rPr>
          <w:rFonts w:ascii="Arial" w:hAnsi="Arial" w:cs="Arial"/>
        </w:rPr>
        <w:t xml:space="preserve"> estadísticamente superiores a los de los demás segmentos. En </w:t>
      </w:r>
      <w:r>
        <w:rPr>
          <w:rFonts w:ascii="Arial" w:hAnsi="Arial" w:cs="Arial"/>
        </w:rPr>
        <w:t>su lugar</w:t>
      </w:r>
      <w:r w:rsidRPr="000473D6">
        <w:rPr>
          <w:rFonts w:ascii="Arial" w:hAnsi="Arial" w:cs="Arial"/>
        </w:rPr>
        <w:t>, no se encontraron diferencias significativas entre micro, pequeñas y medianas empresas, las cuales muestran valores medianos considerablemente más bajos y cercanos entre sí.</w:t>
      </w:r>
    </w:p>
    <w:p w14:paraId="4B10AB53" w14:textId="11652589" w:rsidR="000473D6" w:rsidRPr="000473D6" w:rsidRDefault="000473D6" w:rsidP="000473D6">
      <w:pPr>
        <w:spacing w:before="240" w:after="240" w:line="276" w:lineRule="auto"/>
        <w:jc w:val="both"/>
        <w:rPr>
          <w:rFonts w:ascii="Arial" w:hAnsi="Arial" w:cs="Arial"/>
        </w:rPr>
      </w:pPr>
      <w:r>
        <w:rPr>
          <w:rFonts w:ascii="Arial" w:hAnsi="Arial" w:cs="Arial"/>
        </w:rPr>
        <w:t>Finalmente, e</w:t>
      </w:r>
      <w:r w:rsidRPr="000473D6">
        <w:rPr>
          <w:rFonts w:ascii="Arial" w:hAnsi="Arial" w:cs="Arial"/>
        </w:rPr>
        <w:t>ste patrón sugiere que, más allá del tamaño en términos absolutos, estos tres grupos podrían enfrentar limitaciones comunes relacionadas con la movilización de recursos, la capacidad operativa o la implementación efectiva de estrategias. En conjunto, los resultados refuerzan la idea de que el tamaño empresarial no solo diferencia a las organizaciones por su escala, sino también por su capacidad de traducir decisiones estratégicas en acción concreta.</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37191A08"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w:t>
      </w:r>
      <w:r w:rsidR="00F24CDF">
        <w:rPr>
          <w:rFonts w:ascii="Arial" w:hAnsi="Arial" w:cs="Arial"/>
        </w:rPr>
        <w:t xml:space="preserve"> en el último año</w:t>
      </w:r>
      <w:r w:rsidRPr="00B24561">
        <w:rPr>
          <w:rFonts w:ascii="Arial" w:hAnsi="Arial" w:cs="Arial"/>
        </w:rPr>
        <w:t>, obteniendo un valor de r = 0.54.</w:t>
      </w:r>
    </w:p>
    <w:p w14:paraId="1790B2EB" w14:textId="4F57A2C6" w:rsidR="00A2145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noProof/>
        </w:rPr>
        <w:lastRenderedPageBreak/>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190FD8A" w14:textId="5F7F758E"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estratégica  y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Pr="00783DB0">
        <w:rPr>
          <w:rFonts w:ascii="Arial" w:hAnsi="Arial" w:cs="Arial"/>
          <w:i/>
          <w:iCs/>
        </w:rPr>
        <w:t>Seizing</w:t>
      </w:r>
      <w:proofErr w:type="spellEnd"/>
      <w:r w:rsidRPr="00A21451">
        <w:rPr>
          <w:rFonts w:ascii="Arial" w:hAnsi="Arial" w:cs="Arial"/>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6E01A911"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proofErr w:type="spellStart"/>
      <w:r w:rsidRPr="00783DB0">
        <w:rPr>
          <w:rFonts w:ascii="Arial" w:hAnsi="Arial" w:cs="Arial"/>
          <w:i/>
          <w:iCs/>
        </w:rPr>
        <w:t>Sensing</w:t>
      </w:r>
      <w:proofErr w:type="spellEnd"/>
      <w:r w:rsidRPr="00A21451">
        <w:rPr>
          <w:rFonts w:ascii="Arial" w:hAnsi="Arial" w:cs="Arial"/>
        </w:rPr>
        <w:t xml:space="preserve">. No obstante, esta especificación no resultó adecuada para la dimensión </w:t>
      </w:r>
      <w:proofErr w:type="spellStart"/>
      <w:r w:rsidRPr="00783DB0">
        <w:rPr>
          <w:rFonts w:ascii="Arial" w:hAnsi="Arial" w:cs="Arial"/>
          <w:i/>
          <w:iCs/>
        </w:rPr>
        <w:t>Seizing</w:t>
      </w:r>
      <w:proofErr w:type="spellEnd"/>
      <w:r w:rsidRPr="00A21451">
        <w:rPr>
          <w:rFonts w:ascii="Arial" w:hAnsi="Arial" w:cs="Arial"/>
        </w:rPr>
        <w:t xml:space="preserve">. En este caso, al aplicar nuevamente la prueba de correlación de Pearson, se encontró que no existía evidencia de una relación lineal significativa entre la variable latente y las ventas transformadas, lo que invalida el uso de la regresión lineal bajo </w:t>
      </w:r>
      <w:r w:rsidRPr="00A21451">
        <w:rPr>
          <w:rFonts w:ascii="Arial" w:hAnsi="Arial" w:cs="Arial"/>
        </w:rPr>
        <w:lastRenderedPageBreak/>
        <w:t>esta forma funcional. Es decir, la transformación introdujo una pérdida de linealidad, lo cual compromete directamente la validez del modelo ajustado.</w:t>
      </w:r>
    </w:p>
    <w:p w14:paraId="19BF133C" w14:textId="50F9F658" w:rsidR="00AE0810" w:rsidRPr="00783DB0"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Pr="00783DB0">
        <w:rPr>
          <w:rFonts w:ascii="Arial" w:hAnsi="Arial" w:cs="Arial"/>
          <w:i/>
          <w:iCs/>
        </w:rPr>
        <w:t>Seizing</w:t>
      </w:r>
      <w:proofErr w:type="spellEnd"/>
      <w:r w:rsidRPr="00A21451">
        <w:rPr>
          <w:rFonts w:ascii="Arial" w:hAnsi="Arial" w:cs="Arial"/>
        </w:rPr>
        <w:t xml:space="preserve"> 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59EC53BF"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grupo.</w:t>
      </w:r>
      <w:r w:rsidR="00620E0E">
        <w:rPr>
          <w:rFonts w:ascii="Arial" w:hAnsi="Arial" w:cs="Arial"/>
        </w:rPr>
        <w:t xml:space="preserve"> </w:t>
      </w:r>
      <w:r w:rsidRPr="0027734A">
        <w:rPr>
          <w:rFonts w:ascii="Arial" w:hAnsi="Arial" w:cs="Arial"/>
        </w:rPr>
        <w:t xml:space="preserve">Los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4917B276" w14:textId="3EEF519B" w:rsidR="0027734A" w:rsidRPr="00620E0E" w:rsidRDefault="0027734A" w:rsidP="00620E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76086D" w14:textId="4F3F9C2A"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analizados.</w:t>
      </w:r>
      <w:r w:rsidR="00671C88">
        <w:rPr>
          <w:rFonts w:ascii="Arial" w:hAnsi="Arial" w:cs="Arial"/>
        </w:rPr>
        <w:t xml:space="preserve"> </w:t>
      </w:r>
      <w:r w:rsidRPr="00324A60">
        <w:rPr>
          <w:rFonts w:ascii="Arial" w:hAnsi="Arial" w:cs="Arial"/>
        </w:rPr>
        <w:t xml:space="preserve">Si bien </w:t>
      </w:r>
      <w:r w:rsidR="00E309C1">
        <w:rPr>
          <w:rFonts w:ascii="Arial" w:hAnsi="Arial" w:cs="Arial"/>
        </w:rPr>
        <w:t>en el gráfico a continuación se</w:t>
      </w:r>
      <w:r w:rsidRPr="00324A60">
        <w:rPr>
          <w:rFonts w:ascii="Arial" w:hAnsi="Arial" w:cs="Arial"/>
        </w:rPr>
        <w:t xml:space="preserve"> evidencia algunas variaciones visuales</w:t>
      </w:r>
      <w:r>
        <w:rPr>
          <w:rFonts w:ascii="Arial" w:hAnsi="Arial" w:cs="Arial"/>
        </w:rPr>
        <w:t xml:space="preserve">, </w:t>
      </w:r>
      <w:r w:rsidRPr="00324A60">
        <w:rPr>
          <w:rFonts w:ascii="Arial" w:hAnsi="Arial" w:cs="Arial"/>
        </w:rPr>
        <w:t>como un valor medi</w:t>
      </w:r>
      <w:r w:rsidR="00E309C1">
        <w:rPr>
          <w:rFonts w:ascii="Arial" w:hAnsi="Arial" w:cs="Arial"/>
        </w:rPr>
        <w:t>ano</w:t>
      </w:r>
      <w:r w:rsidRPr="00324A60">
        <w:rPr>
          <w:rFonts w:ascii="Arial" w:hAnsi="Arial" w:cs="Arial"/>
        </w:rPr>
        <w:t xml:space="preserve">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w:t>
      </w:r>
      <w:r w:rsidR="00E309C1">
        <w:rPr>
          <w:rFonts w:ascii="Arial" w:hAnsi="Arial" w:cs="Arial"/>
        </w:rPr>
        <w:t>significativas</w:t>
      </w:r>
      <w:r w:rsidRPr="00324A60">
        <w:rPr>
          <w:rFonts w:ascii="Arial" w:hAnsi="Arial" w:cs="Arial"/>
        </w:rPr>
        <w:t xml:space="preserve">.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lastRenderedPageBreak/>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BAACF37" w14:textId="377E24B2" w:rsidR="00783DB0" w:rsidRPr="00284F11" w:rsidRDefault="00324A60" w:rsidP="00B13B0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w:t>
      </w:r>
      <w:r w:rsidRPr="00324A60">
        <w:rPr>
          <w:rFonts w:ascii="Arial" w:hAnsi="Arial" w:cs="Arial"/>
        </w:rPr>
        <w:lastRenderedPageBreak/>
        <w:t xml:space="preserve">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47751EDA"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6F1F6A">
        <w:rPr>
          <w:rFonts w:ascii="Arial" w:hAnsi="Arial" w:cs="Arial"/>
          <w:color w:val="000000" w:themeColor="text1"/>
        </w:rPr>
        <w:t>presentado a continuación</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w:t>
      </w:r>
      <w:r w:rsidR="006F1F6A">
        <w:rPr>
          <w:rFonts w:ascii="Arial" w:hAnsi="Arial" w:cs="Arial"/>
        </w:rPr>
        <w:t xml:space="preserve">, </w:t>
      </w:r>
      <w:r w:rsidR="00324A60" w:rsidRPr="00324A60">
        <w:rPr>
          <w:rFonts w:ascii="Arial" w:hAnsi="Arial" w:cs="Arial"/>
        </w:rPr>
        <w:t>por ejemplo, valores medi</w:t>
      </w:r>
      <w:r w:rsidR="006F1F6A">
        <w:rPr>
          <w:rFonts w:ascii="Arial" w:hAnsi="Arial" w:cs="Arial"/>
        </w:rPr>
        <w:t>anos</w:t>
      </w:r>
      <w:r w:rsidR="00324A60" w:rsidRPr="00324A60">
        <w:rPr>
          <w:rFonts w:ascii="Arial" w:hAnsi="Arial" w:cs="Arial"/>
        </w:rPr>
        <w:t xml:space="preserve">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 estas diferencias no resultan significativas desde el punto de vista estadístico, debido principalmente a la variabilidad interna dentro de cada grupo y a la superposición de los rangos intercuartílicos.</w:t>
      </w:r>
    </w:p>
    <w:p w14:paraId="0E9F2D5E" w14:textId="00E0049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2D1DB3C2" w14:textId="6785E035" w:rsidR="007042A4" w:rsidRDefault="007042A4" w:rsidP="00324A60">
      <w:pPr>
        <w:spacing w:before="240" w:after="240" w:line="276" w:lineRule="auto"/>
        <w:jc w:val="both"/>
        <w:rPr>
          <w:rFonts w:ascii="Arial" w:hAnsi="Arial" w:cs="Arial"/>
        </w:rPr>
      </w:pPr>
    </w:p>
    <w:p w14:paraId="15F74895" w14:textId="4AA8268A" w:rsidR="007042A4" w:rsidRDefault="007042A4" w:rsidP="00324A60">
      <w:pPr>
        <w:spacing w:before="240" w:after="240" w:line="276" w:lineRule="auto"/>
        <w:jc w:val="both"/>
        <w:rPr>
          <w:rFonts w:ascii="Arial" w:hAnsi="Arial" w:cs="Arial"/>
        </w:rPr>
      </w:pPr>
    </w:p>
    <w:p w14:paraId="2FDB4EA1" w14:textId="0B644FCE" w:rsidR="007042A4" w:rsidRDefault="007042A4" w:rsidP="00324A60">
      <w:pPr>
        <w:spacing w:before="240" w:after="240" w:line="276" w:lineRule="auto"/>
        <w:jc w:val="both"/>
        <w:rPr>
          <w:rFonts w:ascii="Arial" w:hAnsi="Arial" w:cs="Arial"/>
        </w:rPr>
      </w:pPr>
    </w:p>
    <w:p w14:paraId="22565918" w14:textId="65A4BD97" w:rsidR="007042A4" w:rsidRDefault="007042A4" w:rsidP="00324A60">
      <w:pPr>
        <w:spacing w:before="240" w:after="240" w:line="276" w:lineRule="auto"/>
        <w:jc w:val="both"/>
        <w:rPr>
          <w:rFonts w:ascii="Arial" w:hAnsi="Arial" w:cs="Arial"/>
        </w:rPr>
      </w:pPr>
    </w:p>
    <w:p w14:paraId="7C0A3BD1" w14:textId="2FA5CBB2" w:rsidR="007042A4" w:rsidRDefault="007042A4" w:rsidP="00324A60">
      <w:pPr>
        <w:spacing w:before="240" w:after="240" w:line="276" w:lineRule="auto"/>
        <w:jc w:val="both"/>
        <w:rPr>
          <w:rFonts w:ascii="Arial" w:hAnsi="Arial" w:cs="Arial"/>
        </w:rPr>
      </w:pPr>
    </w:p>
    <w:p w14:paraId="06842E6E" w14:textId="77777777" w:rsidR="007042A4" w:rsidRDefault="007042A4" w:rsidP="00324A60">
      <w:pPr>
        <w:spacing w:before="240" w:after="240" w:line="276" w:lineRule="auto"/>
        <w:jc w:val="both"/>
        <w:rPr>
          <w:rFonts w:ascii="Arial" w:hAnsi="Arial" w:cs="Arial"/>
        </w:rPr>
      </w:pP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3ED3285C"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6F1F6A">
        <w:rPr>
          <w:rFonts w:ascii="Arial" w:hAnsi="Arial" w:cs="Arial"/>
          <w:i/>
          <w:iCs/>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r>
        <w:rPr>
          <w:rFonts w:ascii="Arial" w:hAnsi="Arial" w:cs="Arial"/>
        </w:rPr>
        <w:t>ni</w:t>
      </w:r>
      <w:r w:rsidR="00FE5853">
        <w:rPr>
          <w:rFonts w:ascii="Arial" w:hAnsi="Arial" w:cs="Arial"/>
        </w:rPr>
        <w:t xml:space="preserve"> </w:t>
      </w:r>
      <w:r>
        <w:rPr>
          <w:rFonts w:ascii="Arial" w:hAnsi="Arial" w:cs="Arial"/>
        </w:rPr>
        <w:t>siquiera</w:t>
      </w:r>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777D5E"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C0FEC">
        <w:rPr>
          <w:rFonts w:ascii="Arial" w:hAnsi="Arial" w:cs="Arial"/>
          <w:color w:val="000000" w:themeColor="text1"/>
        </w:rPr>
        <w:t>presentado a continuación</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la empresa y su nivel de </w:t>
      </w:r>
      <w:proofErr w:type="spellStart"/>
      <w:r w:rsidRPr="000C0FEC">
        <w:rPr>
          <w:rFonts w:ascii="Arial" w:hAnsi="Arial" w:cs="Arial"/>
          <w:i/>
          <w:iCs/>
        </w:rPr>
        <w:t>Seizing</w:t>
      </w:r>
      <w:proofErr w:type="spellEnd"/>
      <w:r w:rsidRPr="00D8225B">
        <w:rPr>
          <w:rFonts w:ascii="Arial" w:hAnsi="Arial" w:cs="Arial"/>
        </w:rPr>
        <w:t xml:space="preserve">. En esta muestra, la antigüedad empresarial no </w:t>
      </w:r>
      <w:r w:rsidRPr="00D8225B">
        <w:rPr>
          <w:rFonts w:ascii="Arial" w:hAnsi="Arial" w:cs="Arial"/>
        </w:rPr>
        <w:lastRenderedPageBreak/>
        <w:t>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2"/>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17F5DF5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21792CE4"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E24862">
        <w:rPr>
          <w:rFonts w:ascii="Arial" w:hAnsi="Arial" w:cs="Arial"/>
        </w:rPr>
        <w:t>presentado a continuación</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36F5340D"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00E67C9E">
        <w:rPr>
          <w:rFonts w:ascii="Arial" w:hAnsi="Arial" w:cs="Arial"/>
          <w:b/>
          <w:bCs/>
          <w:i/>
          <w:iCs/>
        </w:rPr>
        <w:t>seizing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2"/>
                    <a:stretch>
                      <a:fillRect/>
                    </a:stretch>
                  </pic:blipFill>
                  <pic:spPr>
                    <a:xfrm>
                      <a:off x="0" y="0"/>
                      <a:ext cx="4672725" cy="3490004"/>
                    </a:xfrm>
                    <a:prstGeom prst="rect">
                      <a:avLst/>
                    </a:prstGeom>
                  </pic:spPr>
                </pic:pic>
              </a:graphicData>
            </a:graphic>
          </wp:inline>
        </w:drawing>
      </w:r>
    </w:p>
    <w:p w14:paraId="4FA6C8BF" w14:textId="79B64CE8"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1B15578" w14:textId="6B28B9BA" w:rsidR="007042A4" w:rsidRDefault="007042A4" w:rsidP="005C62BE">
      <w:pPr>
        <w:spacing w:before="240" w:after="240" w:line="276" w:lineRule="auto"/>
        <w:jc w:val="center"/>
        <w:rPr>
          <w:rFonts w:ascii="Arial" w:hAnsi="Arial" w:cs="Arial"/>
          <w:sz w:val="18"/>
          <w:szCs w:val="18"/>
        </w:rPr>
      </w:pPr>
    </w:p>
    <w:p w14:paraId="146A0C4F" w14:textId="4366F05E" w:rsidR="007042A4" w:rsidRDefault="007042A4" w:rsidP="005C62BE">
      <w:pPr>
        <w:spacing w:before="240" w:after="240" w:line="276" w:lineRule="auto"/>
        <w:jc w:val="center"/>
        <w:rPr>
          <w:rFonts w:ascii="Arial" w:hAnsi="Arial" w:cs="Arial"/>
          <w:sz w:val="18"/>
          <w:szCs w:val="18"/>
        </w:rPr>
      </w:pPr>
    </w:p>
    <w:p w14:paraId="5F200C6E" w14:textId="6B89C055" w:rsidR="007042A4" w:rsidRDefault="007042A4" w:rsidP="005C62BE">
      <w:pPr>
        <w:spacing w:before="240" w:after="240" w:line="276" w:lineRule="auto"/>
        <w:jc w:val="center"/>
        <w:rPr>
          <w:rFonts w:ascii="Arial" w:hAnsi="Arial" w:cs="Arial"/>
          <w:sz w:val="18"/>
          <w:szCs w:val="18"/>
        </w:rPr>
      </w:pPr>
    </w:p>
    <w:p w14:paraId="1EA47E0F" w14:textId="77777777" w:rsidR="007042A4" w:rsidRDefault="007042A4" w:rsidP="005C62BE">
      <w:pPr>
        <w:spacing w:before="240" w:after="240" w:line="276" w:lineRule="auto"/>
        <w:jc w:val="center"/>
        <w:rPr>
          <w:rFonts w:ascii="Arial" w:hAnsi="Arial" w:cs="Arial"/>
          <w:sz w:val="18"/>
          <w:szCs w:val="18"/>
        </w:rPr>
      </w:pPr>
    </w:p>
    <w:p w14:paraId="7FA14E47" w14:textId="1A6BA075" w:rsidR="00147EAB" w:rsidRDefault="00147EAB" w:rsidP="00147EAB">
      <w:pPr>
        <w:spacing w:before="240" w:after="240" w:line="276" w:lineRule="auto"/>
        <w:jc w:val="both"/>
        <w:rPr>
          <w:rFonts w:ascii="Arial" w:hAnsi="Arial" w:cs="Arial"/>
          <w:b/>
          <w:bCs/>
        </w:rPr>
      </w:pPr>
      <w:r>
        <w:rPr>
          <w:rFonts w:ascii="Arial" w:hAnsi="Arial" w:cs="Arial"/>
          <w:b/>
          <w:bCs/>
        </w:rPr>
        <w:t>4.3.7 Crecimiento anual</w:t>
      </w:r>
    </w:p>
    <w:p w14:paraId="1EF11602" w14:textId="5EABE88A" w:rsidR="00E67C9E" w:rsidRPr="00E67C9E" w:rsidRDefault="00E67C9E" w:rsidP="00E67C9E">
      <w:pPr>
        <w:spacing w:before="240" w:after="240" w:line="276" w:lineRule="auto"/>
        <w:jc w:val="both"/>
        <w:rPr>
          <w:rFonts w:ascii="Arial" w:hAnsi="Arial" w:cs="Arial"/>
        </w:rPr>
      </w:pPr>
      <w:r w:rsidRPr="00E67C9E">
        <w:rPr>
          <w:rFonts w:ascii="Arial" w:hAnsi="Arial" w:cs="Arial"/>
        </w:rPr>
        <w:lastRenderedPageBreak/>
        <w:t xml:space="preserve">Siguiendo el enfoque aplicado en la dimensión </w:t>
      </w:r>
      <w:proofErr w:type="spellStart"/>
      <w:r w:rsidRPr="00E67C9E">
        <w:rPr>
          <w:rFonts w:ascii="Arial" w:hAnsi="Arial" w:cs="Arial"/>
          <w:i/>
          <w:iCs/>
        </w:rPr>
        <w:t>Sensing</w:t>
      </w:r>
      <w:proofErr w:type="spellEnd"/>
      <w:r w:rsidRPr="00E67C9E">
        <w:rPr>
          <w:rFonts w:ascii="Arial" w:hAnsi="Arial" w:cs="Arial"/>
        </w:rPr>
        <w:t xml:space="preserve">, se examinó si el crecimiento anual de las empresas presenta alguna relación con los niveles de </w:t>
      </w:r>
      <w:proofErr w:type="spellStart"/>
      <w:r w:rsidRPr="00E67C9E">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35E5159B"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12</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noProof/>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061" cy="3346106"/>
                    </a:xfrm>
                    <a:prstGeom prst="rect">
                      <a:avLst/>
                    </a:prstGeom>
                  </pic:spPr>
                </pic:pic>
              </a:graphicData>
            </a:graphic>
          </wp:inline>
        </w:drawing>
      </w:r>
    </w:p>
    <w:p w14:paraId="369CDF29" w14:textId="77777777" w:rsidR="00E67C9E" w:rsidRDefault="00E67C9E" w:rsidP="00E67C9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D11CB5C" w14:textId="77777777" w:rsidR="00E67C9E" w:rsidRDefault="00E67C9E" w:rsidP="00E67C9E">
      <w:pPr>
        <w:spacing w:before="240" w:after="240" w:line="276" w:lineRule="auto"/>
        <w:jc w:val="both"/>
        <w:rPr>
          <w:rFonts w:ascii="Arial" w:hAnsi="Arial" w:cs="Arial"/>
        </w:rPr>
      </w:pPr>
    </w:p>
    <w:p w14:paraId="62299D62" w14:textId="77777777" w:rsidR="00E67C9E" w:rsidRDefault="00E67C9E" w:rsidP="00E67C9E">
      <w:pPr>
        <w:spacing w:before="240" w:after="240" w:line="276" w:lineRule="auto"/>
        <w:jc w:val="both"/>
        <w:rPr>
          <w:rFonts w:ascii="Arial" w:hAnsi="Arial" w:cs="Arial"/>
        </w:rPr>
      </w:pPr>
    </w:p>
    <w:p w14:paraId="79ADA359" w14:textId="77777777" w:rsidR="00E67C9E" w:rsidRDefault="00E67C9E" w:rsidP="00E67C9E">
      <w:pPr>
        <w:spacing w:before="240" w:after="240" w:line="276" w:lineRule="auto"/>
        <w:jc w:val="both"/>
        <w:rPr>
          <w:rFonts w:ascii="Arial" w:hAnsi="Arial" w:cs="Arial"/>
        </w:rPr>
      </w:pPr>
    </w:p>
    <w:p w14:paraId="335F1B50" w14:textId="77777777" w:rsidR="00E67C9E" w:rsidRDefault="00E67C9E" w:rsidP="00E67C9E">
      <w:pPr>
        <w:spacing w:before="240" w:after="240" w:line="276" w:lineRule="auto"/>
        <w:jc w:val="both"/>
        <w:rPr>
          <w:rFonts w:ascii="Arial" w:hAnsi="Arial" w:cs="Arial"/>
        </w:rPr>
      </w:pPr>
    </w:p>
    <w:p w14:paraId="04A06889" w14:textId="60296899" w:rsidR="00CB3D76" w:rsidRDefault="00E67C9E" w:rsidP="00E67C9E">
      <w:pPr>
        <w:spacing w:before="240" w:after="240" w:line="276" w:lineRule="auto"/>
        <w:jc w:val="both"/>
        <w:rPr>
          <w:rFonts w:ascii="Arial" w:hAnsi="Arial" w:cs="Arial"/>
        </w:rPr>
      </w:pPr>
      <w:r w:rsidRPr="00E67C9E">
        <w:rPr>
          <w:rFonts w:ascii="Arial" w:hAnsi="Arial" w:cs="Arial"/>
        </w:rPr>
        <w:t xml:space="preserve">Adicionalmente, se calcularon las correlaciones no paramétricas de Spearman y Kendall con el objetivo de identificar posibles relaciones monótonas. Sin embargo, los resultados </w:t>
      </w:r>
      <w:r w:rsidRPr="00E67C9E">
        <w:rPr>
          <w:rFonts w:ascii="Arial" w:hAnsi="Arial" w:cs="Arial"/>
        </w:rPr>
        <w:lastRenderedPageBreak/>
        <w:t>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Pr="00E67C9E">
        <w:rPr>
          <w:rFonts w:ascii="Arial" w:hAnsi="Arial" w:cs="Arial"/>
          <w:i/>
          <w:iCs/>
        </w:rPr>
        <w:t>Seizing</w:t>
      </w:r>
      <w:proofErr w:type="spellEnd"/>
      <w:r w:rsidRPr="00E67C9E">
        <w:rPr>
          <w:rFonts w:ascii="Arial" w:hAnsi="Arial" w:cs="Arial"/>
        </w:rPr>
        <w:t>.</w:t>
      </w:r>
    </w:p>
    <w:p w14:paraId="07A7A0F9" w14:textId="5117FD7E" w:rsidR="00CB3D76" w:rsidRDefault="00CB3D76" w:rsidP="00CB3D76">
      <w:pPr>
        <w:spacing w:before="240" w:after="240" w:line="276" w:lineRule="auto"/>
        <w:jc w:val="both"/>
        <w:rPr>
          <w:rFonts w:ascii="Arial" w:hAnsi="Arial" w:cs="Arial"/>
          <w:b/>
          <w:bCs/>
        </w:rPr>
      </w:pPr>
      <w:r>
        <w:rPr>
          <w:rFonts w:ascii="Arial" w:hAnsi="Arial" w:cs="Arial"/>
          <w:b/>
          <w:bCs/>
        </w:rPr>
        <w:t>4.3.8 Ventas de nuevos productos</w:t>
      </w:r>
    </w:p>
    <w:p w14:paraId="475AC0C0" w14:textId="466AA11A"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Pr>
          <w:rFonts w:ascii="Arial" w:hAnsi="Arial" w:cs="Arial"/>
        </w:rPr>
        <w:t>en</w:t>
      </w:r>
      <w:r w:rsidRPr="004F2571">
        <w:rPr>
          <w:rFonts w:ascii="Arial" w:hAnsi="Arial" w:cs="Arial"/>
        </w:rPr>
        <w:t xml:space="preserve"> como se abordaron las variables previas, se exploró si existía alguna relación entre los niveles de </w:t>
      </w:r>
      <w:proofErr w:type="spellStart"/>
      <w:r w:rsidRPr="004F2571">
        <w:rPr>
          <w:rFonts w:ascii="Arial" w:hAnsi="Arial" w:cs="Arial"/>
          <w:i/>
          <w:iCs/>
        </w:rPr>
        <w:t>Seizing</w:t>
      </w:r>
      <w:proofErr w:type="spellEnd"/>
      <w:r w:rsidRPr="004F2571">
        <w:rPr>
          <w:rFonts w:ascii="Arial" w:hAnsi="Arial" w:cs="Arial"/>
        </w:rPr>
        <w:t xml:space="preserve"> 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w:t>
      </w:r>
      <w:commentRangeStart w:id="2"/>
      <w:r w:rsidRPr="004F2571">
        <w:rPr>
          <w:rFonts w:ascii="Arial" w:hAnsi="Arial" w:cs="Arial"/>
        </w:rPr>
        <w:t>(</w:t>
      </w:r>
      <w:r w:rsidR="000473D6">
        <w:rPr>
          <w:rFonts w:ascii="Arial" w:hAnsi="Arial" w:cs="Arial"/>
        </w:rPr>
        <w:t>coeficiente</w:t>
      </w:r>
      <w:r w:rsidRPr="004F2571">
        <w:rPr>
          <w:rFonts w:ascii="Arial" w:hAnsi="Arial" w:cs="Arial"/>
        </w:rPr>
        <w:t xml:space="preserve"> = </w:t>
      </w:r>
      <w:r w:rsidR="000473D6">
        <w:rPr>
          <w:rFonts w:ascii="Arial" w:hAnsi="Arial" w:cs="Arial"/>
        </w:rPr>
        <w:t>-0,1654</w:t>
      </w:r>
      <w:r w:rsidRPr="004F2571">
        <w:rPr>
          <w:rFonts w:ascii="Arial" w:hAnsi="Arial" w:cs="Arial"/>
        </w:rPr>
        <w:t xml:space="preserve">, </w:t>
      </w:r>
      <w:r w:rsidR="000473D6">
        <w:rPr>
          <w:rFonts w:ascii="Arial" w:hAnsi="Arial" w:cs="Arial"/>
        </w:rPr>
        <w:t>valor p</w:t>
      </w:r>
      <w:r w:rsidRPr="004F2571">
        <w:rPr>
          <w:rFonts w:ascii="Arial" w:hAnsi="Arial" w:cs="Arial"/>
        </w:rPr>
        <w:t xml:space="preserve"> = 0</w:t>
      </w:r>
      <w:r w:rsidR="000473D6">
        <w:rPr>
          <w:rFonts w:ascii="Arial" w:hAnsi="Arial" w:cs="Arial"/>
        </w:rPr>
        <w:t>,4003</w:t>
      </w:r>
      <w:r w:rsidRPr="004F2571">
        <w:rPr>
          <w:rFonts w:ascii="Arial" w:hAnsi="Arial" w:cs="Arial"/>
        </w:rPr>
        <w:t xml:space="preserve">) y </w:t>
      </w:r>
      <w:r w:rsidRPr="004F2571">
        <w:rPr>
          <w:rFonts w:ascii="Arial" w:hAnsi="Arial" w:cs="Arial"/>
          <w:i/>
          <w:iCs/>
        </w:rPr>
        <w:t>Kendall</w:t>
      </w:r>
      <w:r w:rsidRPr="004F2571">
        <w:rPr>
          <w:rFonts w:ascii="Arial" w:hAnsi="Arial" w:cs="Arial"/>
        </w:rPr>
        <w:t xml:space="preserve"> (</w:t>
      </w:r>
      <w:r w:rsidR="000473D6">
        <w:rPr>
          <w:rFonts w:ascii="Arial" w:hAnsi="Arial" w:cs="Arial"/>
        </w:rPr>
        <w:t>coeficiente = -0,1461</w:t>
      </w:r>
      <w:r w:rsidRPr="004F2571">
        <w:rPr>
          <w:rFonts w:ascii="Arial" w:hAnsi="Arial" w:cs="Arial"/>
        </w:rPr>
        <w:t xml:space="preserve">, </w:t>
      </w:r>
      <w:r w:rsidR="000473D6">
        <w:rPr>
          <w:rFonts w:ascii="Arial" w:hAnsi="Arial" w:cs="Arial"/>
        </w:rPr>
        <w:t xml:space="preserve">valor </w:t>
      </w:r>
      <w:r w:rsidRPr="004F2571">
        <w:rPr>
          <w:rFonts w:ascii="Arial" w:hAnsi="Arial" w:cs="Arial"/>
        </w:rPr>
        <w:t>p = 0</w:t>
      </w:r>
      <w:r w:rsidR="000473D6">
        <w:rPr>
          <w:rFonts w:ascii="Arial" w:hAnsi="Arial" w:cs="Arial"/>
        </w:rPr>
        <w:t>,2769</w:t>
      </w:r>
      <w:r w:rsidRPr="004F2571">
        <w:rPr>
          <w:rFonts w:ascii="Arial" w:hAnsi="Arial" w:cs="Arial"/>
        </w:rPr>
        <w:t xml:space="preserve">) </w:t>
      </w:r>
      <w:commentRangeEnd w:id="2"/>
      <w:r w:rsidR="007F7A20">
        <w:rPr>
          <w:rStyle w:val="Refdecomentario"/>
        </w:rPr>
        <w:commentReference w:id="2"/>
      </w:r>
      <w:r w:rsidRPr="004F2571">
        <w:rPr>
          <w:rFonts w:ascii="Arial" w:hAnsi="Arial" w:cs="Arial"/>
        </w:rPr>
        <w:t xml:space="preserve">no fueron estadísticamente significativos. Aunque los coeficientes sugieren una posible relación positiva, la evidencia no es suficiente para sostener dicha asociación. Por tanto, no se avanzó hacia modelos de regresión, y se concluye </w:t>
      </w:r>
      <w:r w:rsidR="001E6C22" w:rsidRPr="004F2571">
        <w:rPr>
          <w:rFonts w:ascii="Arial" w:hAnsi="Arial" w:cs="Arial"/>
        </w:rPr>
        <w:t>que,</w:t>
      </w:r>
      <w:r w:rsidRPr="004F2571">
        <w:rPr>
          <w:rFonts w:ascii="Arial" w:hAnsi="Arial" w:cs="Arial"/>
        </w:rPr>
        <w:t xml:space="preserve"> en esta muestra, no hay respaldo empírico para afirmar que los niveles de </w:t>
      </w:r>
      <w:proofErr w:type="spellStart"/>
      <w:r w:rsidRPr="004F2571">
        <w:rPr>
          <w:rFonts w:ascii="Arial" w:hAnsi="Arial" w:cs="Arial"/>
          <w:i/>
          <w:iCs/>
        </w:rPr>
        <w:t>Seizing</w:t>
      </w:r>
      <w:proofErr w:type="spellEnd"/>
      <w:r w:rsidRPr="004F2571">
        <w:rPr>
          <w:rFonts w:ascii="Arial" w:hAnsi="Arial" w:cs="Arial"/>
        </w:rPr>
        <w:t xml:space="preserve"> estén relacionados con el desempeño comercial vinculado a nuevos desarrollos de producto.</w:t>
      </w:r>
    </w:p>
    <w:p w14:paraId="6819FF59" w14:textId="0679EA66"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13</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noProof/>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4026" cy="2856120"/>
                    </a:xfrm>
                    <a:prstGeom prst="rect">
                      <a:avLst/>
                    </a:prstGeom>
                  </pic:spPr>
                </pic:pic>
              </a:graphicData>
            </a:graphic>
          </wp:inline>
        </w:drawing>
      </w:r>
    </w:p>
    <w:p w14:paraId="767DFBF5" w14:textId="77777777" w:rsidR="004F2571" w:rsidRDefault="004F2571" w:rsidP="004F257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25ABB34" w14:textId="3DCC7DED" w:rsidR="004F2571" w:rsidRDefault="004F2571" w:rsidP="005C62BE">
      <w:pPr>
        <w:spacing w:before="240" w:after="240" w:line="276" w:lineRule="auto"/>
        <w:jc w:val="both"/>
        <w:rPr>
          <w:rFonts w:ascii="Arial" w:hAnsi="Arial" w:cs="Arial"/>
        </w:rPr>
      </w:pPr>
    </w:p>
    <w:p w14:paraId="6907C43D" w14:textId="77777777" w:rsidR="004F2571" w:rsidRDefault="004F2571" w:rsidP="005C62BE">
      <w:pPr>
        <w:spacing w:before="240" w:after="240" w:line="276" w:lineRule="auto"/>
        <w:jc w:val="both"/>
        <w:rPr>
          <w:rFonts w:ascii="Arial" w:hAnsi="Arial" w:cs="Arial"/>
          <w:b/>
          <w:bCs/>
        </w:rPr>
      </w:pPr>
    </w:p>
    <w:p w14:paraId="1866EF58" w14:textId="53BAC24A" w:rsidR="00642535" w:rsidRDefault="00AE0810" w:rsidP="005C62BE">
      <w:pPr>
        <w:spacing w:before="240" w:after="240" w:line="276" w:lineRule="auto"/>
        <w:jc w:val="both"/>
        <w:rPr>
          <w:rFonts w:ascii="Arial" w:hAnsi="Arial" w:cs="Arial"/>
          <w:b/>
          <w:bCs/>
        </w:rPr>
      </w:pPr>
      <w:r>
        <w:rPr>
          <w:rFonts w:ascii="Arial" w:hAnsi="Arial" w:cs="Arial"/>
          <w:b/>
          <w:bCs/>
        </w:rPr>
        <w:lastRenderedPageBreak/>
        <w:t>4.3.</w:t>
      </w:r>
      <w:r w:rsidR="00CB3D76">
        <w:rPr>
          <w:rFonts w:ascii="Arial" w:hAnsi="Arial" w:cs="Arial"/>
          <w:b/>
          <w:bCs/>
        </w:rPr>
        <w:t>9</w:t>
      </w:r>
      <w:r>
        <w:rPr>
          <w:rFonts w:ascii="Arial" w:hAnsi="Arial" w:cs="Arial"/>
          <w:b/>
          <w:bCs/>
        </w:rPr>
        <w:t xml:space="preserve">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7F0C2608"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1E6C22">
        <w:rPr>
          <w:rFonts w:ascii="Arial" w:hAnsi="Arial" w:cs="Arial"/>
          <w:i/>
          <w:iCs/>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w:t>
      </w:r>
      <w:r w:rsidR="001E6C22">
        <w:rPr>
          <w:rFonts w:ascii="Arial" w:hAnsi="Arial" w:cs="Arial"/>
        </w:rPr>
        <w:t>el gráfico presentado a continuación</w:t>
      </w:r>
      <w:r w:rsidRPr="00642535">
        <w:rPr>
          <w:rFonts w:ascii="Arial" w:hAnsi="Arial" w:cs="Arial"/>
        </w:rPr>
        <w:t xml:space="preserve"> refuerza esta interpretación, ya que la dispersión es alta y no se identifica una tendencia clara entre ambas variables.</w:t>
      </w:r>
    </w:p>
    <w:p w14:paraId="4E441D6F" w14:textId="362265FA" w:rsidR="00642535" w:rsidRPr="00642535" w:rsidRDefault="00642535" w:rsidP="00642535">
      <w:pPr>
        <w:spacing w:before="240" w:after="240" w:line="276" w:lineRule="auto"/>
        <w:jc w:val="center"/>
        <w:rPr>
          <w:rFonts w:ascii="Arial" w:hAnsi="Arial" w:cs="Arial"/>
          <w:b/>
          <w:bCs/>
        </w:rPr>
      </w:pPr>
      <w:bookmarkStart w:id="3"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3"/>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noProof/>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7907" cy="3053210"/>
                    </a:xfrm>
                    <a:prstGeom prst="rect">
                      <a:avLst/>
                    </a:prstGeom>
                  </pic:spPr>
                </pic:pic>
              </a:graphicData>
            </a:graphic>
          </wp:inline>
        </w:drawing>
      </w:r>
    </w:p>
    <w:p w14:paraId="6DEA8936" w14:textId="77777777" w:rsidR="0027734A" w:rsidRDefault="00642535" w:rsidP="00642535">
      <w:pPr>
        <w:spacing w:before="240" w:after="240" w:line="276" w:lineRule="auto"/>
        <w:jc w:val="center"/>
        <w:rPr>
          <w:rFonts w:ascii="Arial" w:hAnsi="Arial" w:cs="Arial"/>
          <w:sz w:val="18"/>
          <w:szCs w:val="18"/>
        </w:rPr>
      </w:pPr>
      <w:bookmarkStart w:id="4"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4"/>
    </w:p>
    <w:p w14:paraId="7172411D" w14:textId="2314C02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Pr="00C87751">
        <w:rPr>
          <w:rFonts w:ascii="Arial" w:hAnsi="Arial" w:cs="Arial"/>
          <w:i/>
          <w:iCs/>
        </w:rPr>
        <w:t>Seizing</w:t>
      </w:r>
      <w:proofErr w:type="spellEnd"/>
      <w:r w:rsidRPr="007042A4">
        <w:rPr>
          <w:rFonts w:ascii="Arial" w:hAnsi="Arial" w:cs="Arial"/>
        </w:rPr>
        <w:t>, incluso al relajar el supuesto de linealidad.</w:t>
      </w:r>
    </w:p>
    <w:p w14:paraId="0FA558E1" w14:textId="6EB57D10" w:rsidR="007042A4" w:rsidRPr="001E6C22" w:rsidRDefault="00C87751" w:rsidP="001E6C22">
      <w:pPr>
        <w:spacing w:before="240" w:after="240" w:line="276" w:lineRule="auto"/>
        <w:jc w:val="both"/>
        <w:rPr>
          <w:rFonts w:ascii="Arial" w:hAnsi="Arial" w:cs="Arial"/>
        </w:rPr>
      </w:pPr>
      <w:r>
        <w:rPr>
          <w:rFonts w:ascii="Arial" w:hAnsi="Arial" w:cs="Arial"/>
        </w:rPr>
        <w:lastRenderedPageBreak/>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7042A4" w:rsidRPr="00147EAB">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6BE0D954" w14:textId="4E189441"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Est</w:t>
      </w:r>
      <w:r w:rsidR="000473D6">
        <w:rPr>
          <w:rFonts w:ascii="Arial" w:hAnsi="Arial" w:cs="Arial"/>
          <w:lang w:val="es-MX"/>
        </w:rPr>
        <w:t>a</w:t>
      </w:r>
      <w:r w:rsidRPr="008630C2">
        <w:rPr>
          <w:rFonts w:ascii="Arial" w:hAnsi="Arial" w:cs="Arial"/>
          <w:lang w:val="es-MX"/>
        </w:rPr>
        <w:t xml:space="preserve"> </w:t>
      </w:r>
      <w:r w:rsidR="000473D6">
        <w:rPr>
          <w:rFonts w:ascii="Arial" w:hAnsi="Arial" w:cs="Arial"/>
          <w:lang w:val="es-MX"/>
        </w:rPr>
        <w:t>variable latente</w:t>
      </w:r>
      <w:commentRangeStart w:id="5"/>
      <w:r w:rsidRPr="008630C2">
        <w:rPr>
          <w:rFonts w:ascii="Arial" w:hAnsi="Arial" w:cs="Arial"/>
          <w:lang w:val="es-MX"/>
        </w:rPr>
        <w:t xml:space="preserve"> </w:t>
      </w:r>
      <w:commentRangeEnd w:id="5"/>
      <w:r w:rsidR="00875440">
        <w:rPr>
          <w:rStyle w:val="Refdecomentario"/>
        </w:rPr>
        <w:commentReference w:id="5"/>
      </w:r>
      <w:r w:rsidRPr="008630C2">
        <w:rPr>
          <w:rFonts w:ascii="Arial" w:hAnsi="Arial" w:cs="Arial"/>
          <w:lang w:val="es-MX"/>
        </w:rPr>
        <w:t xml:space="preserve">mide la </w:t>
      </w:r>
      <w:r>
        <w:rPr>
          <w:rFonts w:ascii="Arial" w:hAnsi="Arial" w:cs="Arial"/>
          <w:lang w:val="es-MX"/>
        </w:rPr>
        <w:t>propensión</w:t>
      </w:r>
      <w:r w:rsidRPr="008630C2">
        <w:rPr>
          <w:rFonts w:ascii="Arial" w:hAnsi="Arial" w:cs="Arial"/>
          <w:lang w:val="es-MX"/>
        </w:rPr>
        <w:t xml:space="preserve"> de una empresa hacia la transformación, es decir, su capacidad para rediseñar procesos, adaptar su estructura y adoptar nuevas tecnologías de manera continua frente a los cambios del entorno. Para su cálculo, se utilizó un conjunto de ítems tipo Likert que miden diferentes facetas del cambio organizacional, cada uno con distintos niveles de dificultad y discriminación.</w:t>
      </w:r>
    </w:p>
    <w:p w14:paraId="2BFE5E88" w14:textId="75C37D9A"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En lugar de recurrir a promedios simples, se aplicó el Modelo de Respuesta Graduada (GRM) de la Teoría de Respuesta al Ítem (TRI). Este enfoque permitió obtener una variable latente, continua y estandarizada, que no solo permite comparar empresas entre sí, sino que también refleja con mayor precisión el nivel real de transformación organizacional.</w:t>
      </w:r>
    </w:p>
    <w:p w14:paraId="587D5A5A" w14:textId="1FCC74C8" w:rsidR="008630C2" w:rsidRPr="008630C2"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Para explorar los factores que se asocian con esta capacidad, se realizaron análisis bivariados. Estos análisis examinaron la relación entre el nivel de transformación y variables como el tamaño de la empresa, el sector, la inversión en I+D, la antigüedad, el alcance geográfico, </w:t>
      </w:r>
      <w:r w:rsidR="00CB5D83">
        <w:rPr>
          <w:rFonts w:ascii="Arial" w:hAnsi="Arial" w:cs="Arial"/>
          <w:lang w:val="es-MX"/>
        </w:rPr>
        <w:t>entre otras</w:t>
      </w:r>
      <w:r w:rsidRPr="008630C2">
        <w:rPr>
          <w:rFonts w:ascii="Arial" w:hAnsi="Arial" w:cs="Arial"/>
          <w:lang w:val="es-MX"/>
        </w:rPr>
        <w:t>.</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220CA795" w14:textId="79743D54" w:rsidR="00B10B3A"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875440">
        <w:rPr>
          <w:rFonts w:ascii="Arial" w:hAnsi="Arial" w:cs="Arial"/>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7EAA4954" w14:textId="77777777" w:rsidR="00875440" w:rsidRDefault="00875440"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875440">
        <w:rPr>
          <w:rFonts w:ascii="Arial" w:hAnsi="Arial" w:cs="Arial"/>
          <w:lang w:val="es-MX"/>
        </w:rPr>
        <w:t>distinguir niveles de madurez transformacional en función del tamaño organizacional,</w:t>
      </w:r>
      <w:r w:rsidRPr="00B24561">
        <w:rPr>
          <w:rFonts w:ascii="Arial" w:hAnsi="Arial" w:cs="Arial"/>
          <w:lang w:val="es-MX"/>
        </w:rPr>
        <w:t xml:space="preserve"> coherente con lo reportado en la literatura sobre capacidades tecnológicas y recursos disponibles.</w:t>
      </w:r>
    </w:p>
    <w:p w14:paraId="0F09F8DD" w14:textId="3295D9EB" w:rsidR="00B24561" w:rsidRPr="00B24561" w:rsidRDefault="00B27F30" w:rsidP="00B24561">
      <w:pPr>
        <w:spacing w:before="240" w:after="240" w:line="276" w:lineRule="auto"/>
        <w:jc w:val="both"/>
        <w:rPr>
          <w:rFonts w:ascii="Arial" w:hAnsi="Arial" w:cs="Arial"/>
          <w:b/>
          <w:bCs/>
        </w:rPr>
      </w:pPr>
      <w:r>
        <w:rPr>
          <w:rFonts w:ascii="Arial" w:hAnsi="Arial" w:cs="Arial"/>
          <w:b/>
          <w:bCs/>
        </w:rPr>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72FF18FD" w14:textId="65B5A743" w:rsidR="008630C2" w:rsidRPr="00875440" w:rsidRDefault="008630C2" w:rsidP="008630C2">
      <w:pPr>
        <w:spacing w:before="240" w:after="240" w:line="276" w:lineRule="auto"/>
        <w:jc w:val="both"/>
        <w:rPr>
          <w:rFonts w:ascii="Arial" w:hAnsi="Arial" w:cs="Arial"/>
          <w:lang w:val="es-MX"/>
        </w:rPr>
      </w:pPr>
      <w:r w:rsidRPr="00875440">
        <w:rPr>
          <w:rFonts w:ascii="Arial" w:hAnsi="Arial" w:cs="Arial"/>
          <w:lang w:val="es-MX"/>
        </w:rPr>
        <w:t>Se identificó una correlación positiva moderada entre el índice de transformación y las ventas del último año (r = 0.51), lo que sugiere que, en general, las empresas con mayores niveles de transformación organizacional tienden a registrar mejores resultados comerciales. Esta asociación apunta a una posible relación estratégicamente relevante, donde la capacidad de adaptación y rediseño organizacional podría estar vinculada al desempeño económico.</w:t>
      </w:r>
    </w:p>
    <w:p w14:paraId="024524CF" w14:textId="77777777" w:rsidR="008630C2" w:rsidRPr="00875440" w:rsidRDefault="008630C2" w:rsidP="008630C2">
      <w:pPr>
        <w:spacing w:before="240" w:after="240" w:line="276" w:lineRule="auto"/>
        <w:jc w:val="both"/>
        <w:rPr>
          <w:rFonts w:ascii="Arial" w:hAnsi="Arial" w:cs="Arial"/>
          <w:lang w:val="es-MX"/>
        </w:rPr>
      </w:pPr>
      <w:r w:rsidRPr="00875440">
        <w:rPr>
          <w:rFonts w:ascii="Arial" w:hAnsi="Arial" w:cs="Arial"/>
          <w:lang w:val="es-MX"/>
        </w:rPr>
        <w:lastRenderedPageBreak/>
        <w:t>Para explorar esta relación con mayor profundidad, se aplicó una regresión lineal simple, la cual fue estadísticamente significativa (p &lt; 0.01), con un coeficiente de determinación R² = 0.255. Esto indica que cerca del 25.5% de la variabilidad en las ventas anuales podría explicarse por el nivel de transformación, lo cual sugiere un posible impacto económico asociado a esta capacidad dinámica.</w:t>
      </w:r>
    </w:p>
    <w:p w14:paraId="1FD0E330" w14:textId="77777777" w:rsidR="008630C2" w:rsidRDefault="008630C2" w:rsidP="008630C2">
      <w:pPr>
        <w:spacing w:before="240" w:after="240" w:line="240" w:lineRule="auto"/>
        <w:jc w:val="center"/>
        <w:rPr>
          <w:rFonts w:ascii="Arial" w:hAnsi="Arial" w:cs="Arial"/>
          <w:b/>
          <w:bCs/>
        </w:rPr>
      </w:pPr>
      <w:commentRangeStart w:id="6"/>
      <w:r w:rsidRPr="00B24561">
        <w:rPr>
          <w:rFonts w:ascii="Arial" w:hAnsi="Arial" w:cs="Arial"/>
          <w:b/>
          <w:bCs/>
        </w:rPr>
        <w:t xml:space="preserve">Gráfico </w:t>
      </w:r>
      <w:r>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2CE722A7" w14:textId="47945014" w:rsidR="008630C2" w:rsidRPr="00B24561" w:rsidRDefault="008630C2" w:rsidP="008630C2">
      <w:pPr>
        <w:spacing w:before="240" w:after="240" w:line="240" w:lineRule="auto"/>
        <w:jc w:val="center"/>
        <w:rPr>
          <w:rFonts w:ascii="Arial" w:hAnsi="Arial" w:cs="Arial"/>
        </w:rPr>
      </w:pPr>
      <w:r w:rsidRPr="00B24561">
        <w:rPr>
          <w:rFonts w:ascii="Arial" w:hAnsi="Arial" w:cs="Arial"/>
          <w:noProof/>
          <w:lang w:val="es-MX"/>
        </w:rPr>
        <w:drawing>
          <wp:inline distT="0" distB="0" distL="0" distR="0" wp14:anchorId="17C174F3" wp14:editId="73B041E6">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0C13211D" w14:textId="77777777" w:rsidR="008630C2" w:rsidRPr="00B10B3A" w:rsidRDefault="008630C2" w:rsidP="008630C2">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6"/>
      <w:r w:rsidR="0023541B">
        <w:rPr>
          <w:rStyle w:val="Refdecomentario"/>
        </w:rPr>
        <w:commentReference w:id="6"/>
      </w:r>
    </w:p>
    <w:p w14:paraId="2A707D14" w14:textId="77777777" w:rsidR="008630C2" w:rsidRPr="008630C2" w:rsidRDefault="008630C2" w:rsidP="008630C2">
      <w:pPr>
        <w:spacing w:before="240" w:after="240" w:line="276" w:lineRule="auto"/>
        <w:jc w:val="both"/>
        <w:rPr>
          <w:rFonts w:ascii="Arial" w:hAnsi="Arial" w:cs="Arial"/>
        </w:rPr>
      </w:pPr>
    </w:p>
    <w:p w14:paraId="31A1B84C" w14:textId="77777777" w:rsidR="008630C2" w:rsidRPr="008630C2" w:rsidRDefault="008630C2" w:rsidP="008630C2">
      <w:pPr>
        <w:spacing w:before="240" w:after="240" w:line="276" w:lineRule="auto"/>
        <w:jc w:val="both"/>
        <w:rPr>
          <w:rFonts w:ascii="Arial" w:hAnsi="Arial" w:cs="Arial"/>
          <w:lang w:val="es-MX"/>
        </w:rPr>
      </w:pPr>
      <w:commentRangeStart w:id="7"/>
      <w:r w:rsidRPr="008630C2">
        <w:rPr>
          <w:rFonts w:ascii="Arial" w:hAnsi="Arial" w:cs="Arial"/>
          <w:lang w:val="es-MX"/>
        </w:rPr>
        <w:t xml:space="preserve">Además, el modelo estimó que por cada punto adicional en el índice de transformación, las ventas anuales </w:t>
      </w:r>
      <w:r w:rsidRPr="008630C2">
        <w:rPr>
          <w:rFonts w:ascii="Arial" w:hAnsi="Arial" w:cs="Arial"/>
          <w:b/>
          <w:bCs/>
          <w:lang w:val="es-MX"/>
        </w:rPr>
        <w:t>aumentarían en promedio</w:t>
      </w:r>
      <w:r w:rsidRPr="008630C2">
        <w:rPr>
          <w:rFonts w:ascii="Arial" w:hAnsi="Arial" w:cs="Arial"/>
          <w:lang w:val="es-MX"/>
        </w:rPr>
        <w:t xml:space="preserve"> en aproximadamente </w:t>
      </w:r>
      <w:r w:rsidRPr="008630C2">
        <w:rPr>
          <w:rFonts w:ascii="Arial" w:hAnsi="Arial" w:cs="Arial"/>
          <w:b/>
          <w:bCs/>
          <w:lang w:val="es-MX"/>
        </w:rPr>
        <w:t>20 millones de unidades monetarias</w:t>
      </w:r>
      <w:r w:rsidRPr="008630C2">
        <w:rPr>
          <w:rFonts w:ascii="Arial" w:hAnsi="Arial" w:cs="Arial"/>
          <w:lang w:val="es-MX"/>
        </w:rPr>
        <w:t>, aunque este resultado debe interpretarse con cautela dado el tamaño limitado de la muestra.</w:t>
      </w:r>
      <w:commentRangeEnd w:id="7"/>
      <w:r w:rsidR="00441D74">
        <w:rPr>
          <w:rStyle w:val="Refdecomentario"/>
        </w:rPr>
        <w:commentReference w:id="7"/>
      </w:r>
    </w:p>
    <w:p w14:paraId="63B5827E" w14:textId="6D6ED81B" w:rsidR="00B24561" w:rsidRPr="00B24561" w:rsidRDefault="008630C2" w:rsidP="008630C2">
      <w:pPr>
        <w:spacing w:before="240" w:after="240" w:line="276" w:lineRule="auto"/>
        <w:jc w:val="both"/>
        <w:rPr>
          <w:rFonts w:ascii="Arial" w:hAnsi="Arial" w:cs="Arial"/>
          <w:lang w:val="es-MX"/>
        </w:rPr>
      </w:pPr>
      <w:r w:rsidRPr="008630C2">
        <w:rPr>
          <w:rFonts w:ascii="Arial" w:hAnsi="Arial" w:cs="Arial"/>
          <w:lang w:val="es-MX"/>
        </w:rPr>
        <w:t xml:space="preserve">Si bien existe dispersión en los datos, el patrón general sugiere que </w:t>
      </w:r>
      <w:r w:rsidRPr="008630C2">
        <w:rPr>
          <w:rFonts w:ascii="Arial" w:hAnsi="Arial" w:cs="Arial"/>
          <w:b/>
          <w:bCs/>
          <w:lang w:val="es-MX"/>
        </w:rPr>
        <w:t>un mayor nivel de transformación se asocia probablemente con mejores resultados de ventas</w:t>
      </w:r>
      <w:r w:rsidRPr="008630C2">
        <w:rPr>
          <w:rFonts w:ascii="Arial" w:hAnsi="Arial" w:cs="Arial"/>
          <w:lang w:val="es-MX"/>
        </w:rPr>
        <w:t xml:space="preserve">. Este hallazgo indica que la transformación organizacional </w:t>
      </w:r>
      <w:r w:rsidRPr="008630C2">
        <w:rPr>
          <w:rFonts w:ascii="Arial" w:hAnsi="Arial" w:cs="Arial"/>
          <w:b/>
          <w:bCs/>
          <w:lang w:val="es-MX"/>
        </w:rPr>
        <w:t>podría desempeñar un rol importante</w:t>
      </w:r>
      <w:r w:rsidRPr="008630C2">
        <w:rPr>
          <w:rFonts w:ascii="Arial" w:hAnsi="Arial" w:cs="Arial"/>
          <w:lang w:val="es-MX"/>
        </w:rPr>
        <w:t xml:space="preserve"> en el desempeño comercial</w:t>
      </w:r>
      <w:r w:rsidR="00DA3936">
        <w:rPr>
          <w:rFonts w:ascii="Arial" w:hAnsi="Arial" w:cs="Arial"/>
          <w:lang w:val="es-MX"/>
        </w:rPr>
        <w:t>.</w:t>
      </w: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05C85708" w14:textId="77777777" w:rsidR="00CA596E" w:rsidRDefault="00CA596E" w:rsidP="005609E7">
      <w:pPr>
        <w:spacing w:before="240" w:after="240" w:line="276" w:lineRule="auto"/>
        <w:jc w:val="both"/>
        <w:rPr>
          <w:rFonts w:ascii="Arial" w:hAnsi="Arial" w:cs="Arial"/>
          <w:lang w:val="es-MX"/>
        </w:rPr>
      </w:pPr>
    </w:p>
    <w:p w14:paraId="5B26BA86" w14:textId="77777777" w:rsidR="00CA596E" w:rsidRDefault="00CA596E" w:rsidP="005609E7">
      <w:pPr>
        <w:spacing w:before="240" w:after="240" w:line="276" w:lineRule="auto"/>
        <w:jc w:val="both"/>
        <w:rPr>
          <w:rFonts w:ascii="Arial" w:hAnsi="Arial" w:cs="Arial"/>
          <w:lang w:val="es-MX"/>
        </w:rPr>
      </w:pP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delista3-nfasis1"/>
        <w:tblW w:w="9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2322"/>
        <w:gridCol w:w="1415"/>
        <w:gridCol w:w="3593"/>
      </w:tblGrid>
      <w:tr w:rsidR="005609E7" w:rsidRPr="00CF0240" w14:paraId="6462473D" w14:textId="77777777" w:rsidTr="00CF0240">
        <w:trPr>
          <w:cnfStyle w:val="100000000000" w:firstRow="1" w:lastRow="0" w:firstColumn="0" w:lastColumn="0" w:oddVBand="0" w:evenVBand="0" w:oddHBand="0" w:evenHBand="0" w:firstRowFirstColumn="0" w:firstRowLastColumn="0" w:lastRowFirstColumn="0" w:lastRowLastColumn="0"/>
          <w:trHeight w:val="118"/>
          <w:jc w:val="center"/>
        </w:trPr>
        <w:tc>
          <w:tcPr>
            <w:cnfStyle w:val="001000000100" w:firstRow="0" w:lastRow="0" w:firstColumn="1" w:lastColumn="0" w:oddVBand="0" w:evenVBand="0" w:oddHBand="0" w:evenHBand="0" w:firstRowFirstColumn="1" w:firstRowLastColumn="0" w:lastRowFirstColumn="0" w:lastRowLastColumn="0"/>
            <w:tcW w:w="2322" w:type="dxa"/>
            <w:tcBorders>
              <w:bottom w:val="none" w:sz="0" w:space="0" w:color="auto"/>
              <w:right w:val="none" w:sz="0" w:space="0" w:color="auto"/>
            </w:tcBorders>
            <w:shd w:val="clear" w:color="auto" w:fill="002060"/>
          </w:tcPr>
          <w:p w14:paraId="123E1DB6" w14:textId="0005A068" w:rsidR="005609E7" w:rsidRPr="00CF0240" w:rsidRDefault="005609E7" w:rsidP="005609E7">
            <w:pPr>
              <w:pStyle w:val="Sinespaciado"/>
              <w:rPr>
                <w:rFonts w:ascii="Arial" w:hAnsi="Arial" w:cs="Arial"/>
                <w:sz w:val="18"/>
                <w:szCs w:val="18"/>
                <w:lang w:val="es-MX"/>
              </w:rPr>
            </w:pPr>
            <w:r w:rsidRPr="00CF0240">
              <w:rPr>
                <w:rFonts w:ascii="Arial" w:hAnsi="Arial" w:cs="Arial"/>
                <w:sz w:val="18"/>
                <w:szCs w:val="18"/>
              </w:rPr>
              <w:t>Industria</w:t>
            </w:r>
          </w:p>
        </w:tc>
        <w:tc>
          <w:tcPr>
            <w:tcW w:w="2322" w:type="dxa"/>
            <w:shd w:val="clear" w:color="auto" w:fill="002060"/>
          </w:tcPr>
          <w:p w14:paraId="7406880F" w14:textId="72E778C4" w:rsidR="005609E7" w:rsidRPr="00CF0240"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Estadístico W</w:t>
            </w:r>
          </w:p>
        </w:tc>
        <w:tc>
          <w:tcPr>
            <w:tcW w:w="1415" w:type="dxa"/>
            <w:shd w:val="clear" w:color="auto" w:fill="002060"/>
          </w:tcPr>
          <w:p w14:paraId="399EA973" w14:textId="3510F6E0" w:rsidR="005609E7" w:rsidRPr="00CF0240" w:rsidRDefault="005609E7" w:rsidP="00CA596E">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p-valor</w:t>
            </w:r>
          </w:p>
        </w:tc>
        <w:tc>
          <w:tcPr>
            <w:tcW w:w="3593" w:type="dxa"/>
            <w:shd w:val="clear" w:color="auto" w:fill="002060"/>
          </w:tcPr>
          <w:p w14:paraId="16D78050" w14:textId="3ED28329" w:rsidR="005609E7" w:rsidRPr="00CF0240" w:rsidRDefault="00CA596E"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Decisión</w:t>
            </w:r>
          </w:p>
        </w:tc>
      </w:tr>
      <w:tr w:rsidR="005609E7" w:rsidRPr="00CF0240" w14:paraId="20BD6D6B"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2953E89F" w14:textId="19360F7B" w:rsidR="005609E7" w:rsidRPr="00CF0240" w:rsidRDefault="005609E7" w:rsidP="005609E7">
            <w:pPr>
              <w:pStyle w:val="Sinespaciado"/>
              <w:rPr>
                <w:rFonts w:ascii="Arial" w:hAnsi="Arial" w:cs="Arial"/>
                <w:b w:val="0"/>
                <w:bCs w:val="0"/>
                <w:sz w:val="18"/>
                <w:szCs w:val="18"/>
                <w:lang w:val="es-MX"/>
              </w:rPr>
            </w:pPr>
            <w:proofErr w:type="spellStart"/>
            <w:r w:rsidRPr="00CF0240">
              <w:rPr>
                <w:rFonts w:ascii="Arial" w:hAnsi="Arial" w:cs="Arial"/>
                <w:sz w:val="18"/>
                <w:szCs w:val="18"/>
              </w:rPr>
              <w:t>Manufacturing</w:t>
            </w:r>
            <w:proofErr w:type="spellEnd"/>
          </w:p>
        </w:tc>
        <w:tc>
          <w:tcPr>
            <w:tcW w:w="2322" w:type="dxa"/>
            <w:tcBorders>
              <w:top w:val="none" w:sz="0" w:space="0" w:color="auto"/>
              <w:bottom w:val="none" w:sz="0" w:space="0" w:color="auto"/>
            </w:tcBorders>
          </w:tcPr>
          <w:p w14:paraId="130FE019" w14:textId="49FCAFAF"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0.9509</w:t>
            </w:r>
          </w:p>
        </w:tc>
        <w:tc>
          <w:tcPr>
            <w:tcW w:w="1415" w:type="dxa"/>
            <w:tcBorders>
              <w:top w:val="none" w:sz="0" w:space="0" w:color="auto"/>
              <w:bottom w:val="none" w:sz="0" w:space="0" w:color="auto"/>
            </w:tcBorders>
          </w:tcPr>
          <w:p w14:paraId="6314EBBB" w14:textId="7DECA9C8"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0.5746</w:t>
            </w:r>
          </w:p>
        </w:tc>
        <w:tc>
          <w:tcPr>
            <w:tcW w:w="3593" w:type="dxa"/>
            <w:tcBorders>
              <w:top w:val="none" w:sz="0" w:space="0" w:color="auto"/>
              <w:bottom w:val="none" w:sz="0" w:space="0" w:color="auto"/>
            </w:tcBorders>
          </w:tcPr>
          <w:p w14:paraId="34A45E2B" w14:textId="013D938B"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AB28A4D" w14:textId="77777777" w:rsidTr="00CF0240">
        <w:trPr>
          <w:trHeight w:val="348"/>
          <w:jc w:val="center"/>
        </w:trPr>
        <w:tc>
          <w:tcPr>
            <w:cnfStyle w:val="001000000000" w:firstRow="0" w:lastRow="0" w:firstColumn="1" w:lastColumn="0" w:oddVBand="0" w:evenVBand="0" w:oddHBand="0" w:evenHBand="0" w:firstRowFirstColumn="0" w:firstRowLastColumn="0" w:lastRowFirstColumn="0" w:lastRowLastColumn="0"/>
            <w:tcW w:w="2322" w:type="dxa"/>
            <w:tcBorders>
              <w:right w:val="none" w:sz="0" w:space="0" w:color="auto"/>
            </w:tcBorders>
            <w:shd w:val="clear" w:color="auto" w:fill="D9D9D9" w:themeFill="background1" w:themeFillShade="D9"/>
          </w:tcPr>
          <w:p w14:paraId="1E1B5486" w14:textId="08F61542" w:rsidR="005609E7" w:rsidRPr="00CF0240" w:rsidRDefault="005609E7" w:rsidP="005609E7">
            <w:pPr>
              <w:pStyle w:val="Sinespaciado"/>
              <w:rPr>
                <w:rFonts w:ascii="Arial" w:hAnsi="Arial" w:cs="Arial"/>
                <w:b w:val="0"/>
                <w:bCs w:val="0"/>
                <w:sz w:val="18"/>
                <w:szCs w:val="18"/>
                <w:lang w:val="es-MX"/>
              </w:rPr>
            </w:pPr>
            <w:proofErr w:type="spellStart"/>
            <w:r w:rsidRPr="00CF0240">
              <w:rPr>
                <w:rFonts w:ascii="Arial" w:hAnsi="Arial" w:cs="Arial"/>
                <w:sz w:val="18"/>
                <w:szCs w:val="18"/>
              </w:rPr>
              <w:t>Services</w:t>
            </w:r>
            <w:proofErr w:type="spellEnd"/>
          </w:p>
        </w:tc>
        <w:tc>
          <w:tcPr>
            <w:tcW w:w="2322" w:type="dxa"/>
          </w:tcPr>
          <w:p w14:paraId="19866A6E" w14:textId="639A44BD"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0.9333</w:t>
            </w:r>
          </w:p>
        </w:tc>
        <w:tc>
          <w:tcPr>
            <w:tcW w:w="1415" w:type="dxa"/>
          </w:tcPr>
          <w:p w14:paraId="54ADB7F4" w14:textId="304BF69B" w:rsidR="005609E7" w:rsidRPr="00CF0240" w:rsidRDefault="005609E7" w:rsidP="00CA596E">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0.5464</w:t>
            </w:r>
          </w:p>
        </w:tc>
        <w:tc>
          <w:tcPr>
            <w:tcW w:w="3593" w:type="dxa"/>
          </w:tcPr>
          <w:p w14:paraId="2776FC1C" w14:textId="09ABD644" w:rsidR="005609E7" w:rsidRPr="00CF0240" w:rsidRDefault="00CA596E"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No se rechaza la hipótesis nula. Los datos siguen una distribución normal.</w:t>
            </w:r>
          </w:p>
        </w:tc>
      </w:tr>
      <w:tr w:rsidR="005609E7" w:rsidRPr="00CF0240" w14:paraId="10450FE8" w14:textId="77777777" w:rsidTr="00CF0240">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2322" w:type="dxa"/>
            <w:tcBorders>
              <w:top w:val="none" w:sz="0" w:space="0" w:color="auto"/>
              <w:bottom w:val="none" w:sz="0" w:space="0" w:color="auto"/>
              <w:right w:val="none" w:sz="0" w:space="0" w:color="auto"/>
            </w:tcBorders>
            <w:shd w:val="clear" w:color="auto" w:fill="D9D9D9" w:themeFill="background1" w:themeFillShade="D9"/>
          </w:tcPr>
          <w:p w14:paraId="4E70746E" w14:textId="58CA571E" w:rsidR="005609E7" w:rsidRPr="00CF0240" w:rsidRDefault="005609E7" w:rsidP="005609E7">
            <w:pPr>
              <w:pStyle w:val="Sinespaciado"/>
              <w:rPr>
                <w:rFonts w:ascii="Arial" w:hAnsi="Arial" w:cs="Arial"/>
                <w:b w:val="0"/>
                <w:bCs w:val="0"/>
                <w:sz w:val="18"/>
                <w:szCs w:val="18"/>
                <w:lang w:val="es-MX"/>
              </w:rPr>
            </w:pPr>
            <w:r w:rsidRPr="00CF0240">
              <w:rPr>
                <w:rFonts w:ascii="Arial" w:hAnsi="Arial" w:cs="Arial"/>
                <w:sz w:val="18"/>
                <w:szCs w:val="18"/>
              </w:rPr>
              <w:t>Commerce</w:t>
            </w:r>
          </w:p>
        </w:tc>
        <w:tc>
          <w:tcPr>
            <w:tcW w:w="2322" w:type="dxa"/>
            <w:tcBorders>
              <w:top w:val="none" w:sz="0" w:space="0" w:color="auto"/>
              <w:bottom w:val="none" w:sz="0" w:space="0" w:color="auto"/>
            </w:tcBorders>
          </w:tcPr>
          <w:p w14:paraId="4B2F6C3D" w14:textId="657D09EA"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0.7537</w:t>
            </w:r>
          </w:p>
        </w:tc>
        <w:tc>
          <w:tcPr>
            <w:tcW w:w="1415" w:type="dxa"/>
            <w:tcBorders>
              <w:top w:val="none" w:sz="0" w:space="0" w:color="auto"/>
              <w:bottom w:val="none" w:sz="0" w:space="0" w:color="auto"/>
            </w:tcBorders>
          </w:tcPr>
          <w:p w14:paraId="7558368D" w14:textId="08F2450E" w:rsidR="005609E7" w:rsidRPr="00CF0240" w:rsidRDefault="005609E7" w:rsidP="00CA596E">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hAnsi="Arial" w:cs="Arial"/>
                <w:sz w:val="18"/>
                <w:szCs w:val="18"/>
              </w:rPr>
              <w:t>0.0216</w:t>
            </w:r>
          </w:p>
        </w:tc>
        <w:tc>
          <w:tcPr>
            <w:tcW w:w="3593" w:type="dxa"/>
            <w:tcBorders>
              <w:top w:val="none" w:sz="0" w:space="0" w:color="auto"/>
              <w:bottom w:val="none" w:sz="0" w:space="0" w:color="auto"/>
            </w:tcBorders>
          </w:tcPr>
          <w:p w14:paraId="5431A99F" w14:textId="491A2D6A" w:rsidR="005609E7" w:rsidRPr="00CF0240" w:rsidRDefault="00CA596E"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s-MX"/>
              </w:rPr>
            </w:pPr>
            <w:r w:rsidRPr="00CF0240">
              <w:rPr>
                <w:rFonts w:ascii="Arial" w:eastAsia="Times New Roman" w:hAnsi="Arial" w:cs="Arial"/>
                <w:color w:val="000000"/>
                <w:kern w:val="0"/>
                <w:sz w:val="18"/>
                <w:szCs w:val="18"/>
                <w:lang w:eastAsia="es-CO"/>
                <w14:ligatures w14:val="none"/>
              </w:rPr>
              <w:t>Se rechaza la hipótesis nula. Los datos no siguen una distribución normal.</w:t>
            </w:r>
          </w:p>
        </w:tc>
      </w:tr>
    </w:tbl>
    <w:p w14:paraId="0B2AEAC9" w14:textId="0D7B69F2" w:rsidR="005609E7" w:rsidRPr="009742FC" w:rsidRDefault="00767053" w:rsidP="00B24561">
      <w:pPr>
        <w:spacing w:before="240" w:after="240" w:line="276" w:lineRule="auto"/>
        <w:jc w:val="both"/>
        <w:rPr>
          <w:rFonts w:ascii="Arial" w:hAnsi="Arial" w:cs="Arial"/>
        </w:rPr>
      </w:pPr>
      <w:r w:rsidRPr="009742FC">
        <w:rPr>
          <w:rFonts w:ascii="Arial" w:hAnsi="Arial" w:cs="Arial"/>
        </w:rPr>
        <w:t xml:space="preserve">Dado que no se puede asumir normalidad para todos los grupos, no se puede aplicar ANOVA Clásica, por lo que se usa pruebas robustas o no paramétricas </w:t>
      </w:r>
      <w:r w:rsidRPr="009742FC">
        <w:rPr>
          <w:rFonts w:ascii="Arial" w:hAnsi="Arial" w:cs="Arial"/>
          <w:lang w:val="es-MX"/>
        </w:rPr>
        <w:t>como</w:t>
      </w:r>
      <w:r w:rsidRPr="009742FC">
        <w:rPr>
          <w:rFonts w:ascii="Arial" w:hAnsi="Arial" w:cs="Arial"/>
        </w:rPr>
        <w:t xml:space="preserve"> Kruskal-Wallis y Prueba de Dunn o Mann-Whitney para comparaciones </w:t>
      </w:r>
      <w:proofErr w:type="spellStart"/>
      <w:r w:rsidRPr="009742FC">
        <w:rPr>
          <w:rFonts w:ascii="Arial" w:hAnsi="Arial" w:cs="Arial"/>
        </w:rPr>
        <w:t>post-hoc</w:t>
      </w:r>
      <w:proofErr w:type="spellEnd"/>
      <w:r w:rsidRPr="009742FC">
        <w:rPr>
          <w:rFonts w:ascii="Arial" w:hAnsi="Arial" w:cs="Arial"/>
        </w:rPr>
        <w:t>, como se viene realizando para las anteriores variables.</w:t>
      </w:r>
    </w:p>
    <w:p w14:paraId="769B09F1" w14:textId="7F1BAC1B" w:rsidR="00767053" w:rsidRPr="009742FC" w:rsidRDefault="00767053" w:rsidP="00767053">
      <w:pPr>
        <w:spacing w:before="240" w:after="240" w:line="276" w:lineRule="auto"/>
        <w:jc w:val="both"/>
        <w:rPr>
          <w:rFonts w:ascii="Arial" w:hAnsi="Arial" w:cs="Arial"/>
          <w:lang w:val="es-MX"/>
        </w:rPr>
      </w:pPr>
      <w:r w:rsidRPr="009742FC">
        <w:rPr>
          <w:rFonts w:ascii="Arial" w:hAnsi="Arial" w:cs="Arial"/>
        </w:rPr>
        <w:t xml:space="preserve">El resultado que nos arroja Kruskal: </w:t>
      </w:r>
      <w:r w:rsidRPr="009742FC">
        <w:rPr>
          <w:rFonts w:ascii="Arial" w:hAnsi="Arial" w:cs="Arial"/>
          <w:lang w:val="es-MX"/>
        </w:rPr>
        <w:t>Estadístico H = 0.5898 y p-valor = 0.7446</w:t>
      </w:r>
    </w:p>
    <w:p w14:paraId="34D96620" w14:textId="296597CD"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Dado que el p-valor es mayor a 0.05, no se rechaza la hipótesis nula. Esto indica que no existen diferencias estadísticamente significativas entre los niveles medianos del índice de transformación de las empresas según su industria</w:t>
      </w:r>
      <w:r w:rsidR="00E14D11" w:rsidRPr="009742FC">
        <w:rPr>
          <w:rFonts w:ascii="Arial" w:hAnsi="Arial" w:cs="Arial"/>
          <w:lang w:val="es-MX"/>
        </w:rPr>
        <w:t xml:space="preserve">, por lo que no será necesario hacer prueba </w:t>
      </w:r>
      <w:proofErr w:type="spellStart"/>
      <w:r w:rsidR="00E14D11" w:rsidRPr="009742FC">
        <w:rPr>
          <w:rFonts w:ascii="Arial" w:hAnsi="Arial" w:cs="Arial"/>
          <w:lang w:val="es-MX"/>
        </w:rPr>
        <w:t>post-hoc</w:t>
      </w:r>
      <w:proofErr w:type="spellEnd"/>
      <w:r w:rsidR="00E14D11" w:rsidRPr="009742FC">
        <w:rPr>
          <w:rFonts w:ascii="Arial" w:hAnsi="Arial" w:cs="Arial"/>
          <w:lang w:val="es-MX"/>
        </w:rPr>
        <w:t>.</w:t>
      </w:r>
    </w:p>
    <w:p w14:paraId="11436B62" w14:textId="77777777" w:rsidR="00767053" w:rsidRPr="009742FC" w:rsidRDefault="00767053" w:rsidP="00767053">
      <w:pPr>
        <w:spacing w:before="240" w:after="240" w:line="276" w:lineRule="auto"/>
        <w:jc w:val="both"/>
        <w:rPr>
          <w:rFonts w:ascii="Arial" w:hAnsi="Arial" w:cs="Arial"/>
          <w:lang w:val="es-MX"/>
        </w:rPr>
      </w:pPr>
      <w:r w:rsidRPr="009742FC">
        <w:rPr>
          <w:rFonts w:ascii="Arial" w:hAnsi="Arial" w:cs="Arial"/>
          <w:lang w:val="es-MX"/>
        </w:rPr>
        <w:t>Aunque inicialmente se esperaba que el sector económico pudiera influir en los niveles de transformación organizacional, los resultados sugieren que, en esta muestra, el tipo de industria (manufactura, servicios o comercio) no representa un factor diferenciador significativo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commentRangeStart w:id="8"/>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lastRenderedPageBreak/>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32"/>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commentRangeEnd w:id="8"/>
      <w:r w:rsidR="00CE1B7A">
        <w:rPr>
          <w:rStyle w:val="Refdecomentario"/>
        </w:rPr>
        <w:commentReference w:id="8"/>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19A1547" w:rsidR="00767053" w:rsidRDefault="00D437CB" w:rsidP="00B24561">
      <w:pPr>
        <w:spacing w:before="240" w:after="240" w:line="276" w:lineRule="auto"/>
        <w:jc w:val="both"/>
        <w:rPr>
          <w:rFonts w:ascii="Arial" w:hAnsi="Arial" w:cs="Arial"/>
          <w:b/>
          <w:bCs/>
        </w:rPr>
      </w:pPr>
      <w:r w:rsidRPr="00D437CB">
        <w:rPr>
          <w:rFonts w:ascii="Arial" w:hAnsi="Arial" w:cs="Arial"/>
          <w:b/>
          <w:bCs/>
        </w:rPr>
        <w:t>4.4.</w:t>
      </w:r>
      <w:r w:rsidR="00FA4328">
        <w:rPr>
          <w:rFonts w:ascii="Arial" w:hAnsi="Arial" w:cs="Arial"/>
          <w:b/>
          <w:bCs/>
        </w:rPr>
        <w:t>4</w:t>
      </w:r>
      <w:r w:rsidRPr="00D437CB">
        <w:rPr>
          <w:rFonts w:ascii="Arial" w:hAnsi="Arial" w:cs="Arial"/>
          <w:b/>
          <w:bCs/>
        </w:rPr>
        <w:t xml:space="preserve">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delista3-nfasis1"/>
        <w:tblW w:w="9810" w:type="dxa"/>
        <w:tblLook w:val="04A0" w:firstRow="1" w:lastRow="0" w:firstColumn="1" w:lastColumn="0" w:noHBand="0" w:noVBand="1"/>
      </w:tblPr>
      <w:tblGrid>
        <w:gridCol w:w="2250"/>
        <w:gridCol w:w="1530"/>
        <w:gridCol w:w="1800"/>
        <w:gridCol w:w="1170"/>
        <w:gridCol w:w="3060"/>
      </w:tblGrid>
      <w:tr w:rsidR="00D437CB" w14:paraId="4CAE03DF" w14:textId="77777777" w:rsidTr="00DA3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29FE7D87"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4FC86DA4" w14:textId="77777777" w:rsidTr="00DA3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78AF4D89"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r w:rsidR="00D437CB" w14:paraId="25B48901" w14:textId="77777777" w:rsidTr="00DA3936">
        <w:tc>
          <w:tcPr>
            <w:cnfStyle w:val="001000000000" w:firstRow="0" w:lastRow="0" w:firstColumn="1" w:lastColumn="0" w:oddVBand="0" w:evenVBand="0" w:oddHBand="0" w:evenHBand="0" w:firstRowFirstColumn="0" w:firstRowLastColumn="0" w:lastRowFirstColumn="0" w:lastRowLastColumn="0"/>
            <w:tcW w:w="2250" w:type="dxa"/>
            <w:shd w:val="clear" w:color="auto" w:fill="D9D9D9" w:themeFill="background1" w:themeFillShade="D9"/>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0FD86E5D"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064B8B">
        <w:rPr>
          <w:rFonts w:ascii="Arial" w:hAnsi="Arial" w:cs="Arial"/>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t xml:space="preserve">Estadístico de Levene: </w:t>
      </w:r>
      <w:r w:rsidRPr="00064B8B">
        <w:rPr>
          <w:rFonts w:ascii="Arial" w:hAnsi="Arial" w:cs="Arial"/>
          <w:lang w:val="es-MX"/>
        </w:rPr>
        <w:t>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 xml:space="preserve">p-valor: </w:t>
      </w:r>
      <w:r w:rsidRPr="00064B8B">
        <w:rPr>
          <w:rFonts w:ascii="Arial" w:hAnsi="Arial" w:cs="Arial"/>
          <w:lang w:val="en-US"/>
        </w:rPr>
        <w:t>0.4571</w:t>
      </w:r>
    </w:p>
    <w:p w14:paraId="52CCEE99" w14:textId="253403DC" w:rsidR="00BD4668" w:rsidRPr="002F4E1A" w:rsidRDefault="00BD4668" w:rsidP="002F4E1A">
      <w:pPr>
        <w:pStyle w:val="NormalWeb"/>
        <w:spacing w:line="276" w:lineRule="auto"/>
        <w:jc w:val="both"/>
        <w:rPr>
          <w:rFonts w:ascii="Arial" w:eastAsiaTheme="minorHAnsi" w:hAnsi="Arial" w:cs="Arial"/>
          <w:kern w:val="2"/>
          <w:sz w:val="22"/>
          <w:szCs w:val="22"/>
          <w:lang w:val="es-MX" w:eastAsia="en-US"/>
          <w14:ligatures w14:val="standardContextual"/>
        </w:rPr>
      </w:pPr>
      <w:r w:rsidRPr="002F4E1A">
        <w:rPr>
          <w:rFonts w:ascii="Arial" w:eastAsiaTheme="minorHAnsi" w:hAnsi="Arial" w:cs="Arial"/>
          <w:kern w:val="2"/>
          <w:sz w:val="22"/>
          <w:szCs w:val="22"/>
          <w:lang w:val="es-MX" w:eastAsia="en-US"/>
          <w14:ligatures w14:val="standardContextual"/>
        </w:rPr>
        <w:t>Finalmente, Aunque se consideraba que el tipo de empresa según su ubicación geográfica —es decir, si opera principalmente a nivel local, nacional, regional o internacional— podría estar relacionado con distintos niveles de transformación organizacional, los resultados del ANOVA indican que 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commentRangeStart w:id="9"/>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3"/>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9"/>
      <w:r w:rsidR="002F4E1A">
        <w:rPr>
          <w:rStyle w:val="Refdecomentario"/>
        </w:rPr>
        <w:commentReference w:id="9"/>
      </w:r>
    </w:p>
    <w:p w14:paraId="24A67018" w14:textId="3C65F33E" w:rsidR="00D437CB" w:rsidRDefault="00D437CB" w:rsidP="00B24561">
      <w:pPr>
        <w:spacing w:before="240" w:after="240" w:line="276" w:lineRule="auto"/>
        <w:jc w:val="both"/>
        <w:rPr>
          <w:rFonts w:ascii="Arial" w:hAnsi="Arial" w:cs="Arial"/>
          <w:b/>
          <w:bCs/>
        </w:rPr>
      </w:pPr>
    </w:p>
    <w:p w14:paraId="15AD2BE3" w14:textId="1290C6BC" w:rsidR="008E217C" w:rsidRDefault="003372E2" w:rsidP="00B24561">
      <w:pPr>
        <w:spacing w:before="240" w:after="240" w:line="276" w:lineRule="auto"/>
        <w:jc w:val="both"/>
        <w:rPr>
          <w:rFonts w:ascii="Arial" w:hAnsi="Arial" w:cs="Arial"/>
          <w:b/>
          <w:bCs/>
        </w:rPr>
      </w:pPr>
      <w:r>
        <w:rPr>
          <w:rFonts w:ascii="Arial" w:hAnsi="Arial" w:cs="Arial"/>
          <w:b/>
          <w:bCs/>
        </w:rPr>
        <w:t>4.4.</w:t>
      </w:r>
      <w:r w:rsidR="00FA4328">
        <w:rPr>
          <w:rFonts w:ascii="Arial" w:hAnsi="Arial" w:cs="Arial"/>
          <w:b/>
          <w:bCs/>
        </w:rPr>
        <w:t>5</w:t>
      </w:r>
      <w:r>
        <w:rPr>
          <w:rFonts w:ascii="Arial" w:hAnsi="Arial" w:cs="Arial"/>
          <w:b/>
          <w:bCs/>
        </w:rPr>
        <w:t xml:space="preserve"> Edad</w:t>
      </w:r>
    </w:p>
    <w:p w14:paraId="600D196B" w14:textId="1F239A1A" w:rsidR="009B0D3B"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delista3-nfasis1"/>
        <w:tblW w:w="0" w:type="auto"/>
        <w:tblLook w:val="04A0" w:firstRow="1" w:lastRow="0" w:firstColumn="1" w:lastColumn="0" w:noHBand="0" w:noVBand="1"/>
      </w:tblPr>
      <w:tblGrid>
        <w:gridCol w:w="2207"/>
        <w:gridCol w:w="1483"/>
        <w:gridCol w:w="1260"/>
        <w:gridCol w:w="3878"/>
      </w:tblGrid>
      <w:tr w:rsidR="00D67827" w:rsidRPr="00084E27" w14:paraId="4AED7FD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Pr="00084E27" w:rsidRDefault="00D67827" w:rsidP="00D67827">
            <w:pPr>
              <w:pStyle w:val="Sinespaciado"/>
              <w:rPr>
                <w:rFonts w:ascii="Arial" w:hAnsi="Arial" w:cs="Arial"/>
                <w:szCs w:val="20"/>
                <w:lang w:val="es-MX"/>
              </w:rPr>
            </w:pPr>
            <w:r w:rsidRPr="00084E27">
              <w:rPr>
                <w:szCs w:val="20"/>
              </w:rPr>
              <w:t>Método</w:t>
            </w:r>
          </w:p>
        </w:tc>
        <w:tc>
          <w:tcPr>
            <w:tcW w:w="1483" w:type="dxa"/>
            <w:shd w:val="clear" w:color="auto" w:fill="002060"/>
          </w:tcPr>
          <w:p w14:paraId="7A28AFFC" w14:textId="57D68372"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Coeficiente</w:t>
            </w:r>
          </w:p>
        </w:tc>
        <w:tc>
          <w:tcPr>
            <w:tcW w:w="1260" w:type="dxa"/>
            <w:shd w:val="clear" w:color="auto" w:fill="002060"/>
          </w:tcPr>
          <w:p w14:paraId="05F43DF4" w14:textId="5B7D873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p-valor</w:t>
            </w:r>
          </w:p>
        </w:tc>
        <w:tc>
          <w:tcPr>
            <w:tcW w:w="3878" w:type="dxa"/>
            <w:shd w:val="clear" w:color="auto" w:fill="002060"/>
          </w:tcPr>
          <w:p w14:paraId="05F9603C" w14:textId="79B99B9A" w:rsidR="00D67827" w:rsidRPr="00084E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Interpretación</w:t>
            </w:r>
          </w:p>
        </w:tc>
      </w:tr>
      <w:tr w:rsidR="00D67827" w:rsidRPr="00084E27" w14:paraId="507ED57B"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144D3A3D" w14:textId="6093537C"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Pearson</w:t>
            </w:r>
          </w:p>
        </w:tc>
        <w:tc>
          <w:tcPr>
            <w:tcW w:w="1483" w:type="dxa"/>
          </w:tcPr>
          <w:p w14:paraId="71BFEA4F" w14:textId="0EF6B5A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-0.1105</w:t>
            </w:r>
          </w:p>
        </w:tc>
        <w:tc>
          <w:tcPr>
            <w:tcW w:w="1260" w:type="dxa"/>
          </w:tcPr>
          <w:p w14:paraId="6A8CC2B8" w14:textId="29A3C04E"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0.5756</w:t>
            </w:r>
          </w:p>
        </w:tc>
        <w:tc>
          <w:tcPr>
            <w:tcW w:w="3878" w:type="dxa"/>
          </w:tcPr>
          <w:p w14:paraId="35170DF2" w14:textId="0A1534C0"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lineal significativa</w:t>
            </w:r>
          </w:p>
        </w:tc>
      </w:tr>
      <w:tr w:rsidR="00D67827" w:rsidRPr="00084E27" w14:paraId="31E21046" w14:textId="77777777" w:rsidTr="00084E27">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2CD09DFC" w14:textId="6A955701"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Spearman</w:t>
            </w:r>
          </w:p>
        </w:tc>
        <w:tc>
          <w:tcPr>
            <w:tcW w:w="1483" w:type="dxa"/>
          </w:tcPr>
          <w:p w14:paraId="5A499F44" w14:textId="7E37B679"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0.0025</w:t>
            </w:r>
          </w:p>
        </w:tc>
        <w:tc>
          <w:tcPr>
            <w:tcW w:w="1260" w:type="dxa"/>
          </w:tcPr>
          <w:p w14:paraId="556FE1EC" w14:textId="3A603C7D"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0.9901</w:t>
            </w:r>
          </w:p>
        </w:tc>
        <w:tc>
          <w:tcPr>
            <w:tcW w:w="3878" w:type="dxa"/>
          </w:tcPr>
          <w:p w14:paraId="403AFBFE" w14:textId="18FD5D0E" w:rsidR="00D67827" w:rsidRPr="00084E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szCs w:val="20"/>
                <w:lang w:val="es-MX"/>
              </w:rPr>
            </w:pPr>
            <w:r w:rsidRPr="00084E27">
              <w:rPr>
                <w:szCs w:val="20"/>
              </w:rPr>
              <w:t>No hay correlación monótona significativa</w:t>
            </w:r>
          </w:p>
        </w:tc>
      </w:tr>
      <w:tr w:rsidR="00D67827" w:rsidRPr="00084E27" w14:paraId="25B1A9F8"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D9D9D9" w:themeFill="background1" w:themeFillShade="D9"/>
          </w:tcPr>
          <w:p w14:paraId="48970E78" w14:textId="4AE7AD2A" w:rsidR="00D67827" w:rsidRPr="00084E27" w:rsidRDefault="00D67827" w:rsidP="00D67827">
            <w:pPr>
              <w:pStyle w:val="Sinespaciado"/>
              <w:rPr>
                <w:rFonts w:ascii="Arial" w:hAnsi="Arial" w:cs="Arial"/>
                <w:b w:val="0"/>
                <w:bCs w:val="0"/>
                <w:szCs w:val="20"/>
                <w:lang w:val="es-MX"/>
              </w:rPr>
            </w:pPr>
            <w:r w:rsidRPr="00084E27">
              <w:rPr>
                <w:rStyle w:val="Textoennegrita"/>
                <w:b/>
                <w:bCs/>
                <w:szCs w:val="20"/>
              </w:rPr>
              <w:t>Kendall</w:t>
            </w:r>
          </w:p>
        </w:tc>
        <w:tc>
          <w:tcPr>
            <w:tcW w:w="1483" w:type="dxa"/>
          </w:tcPr>
          <w:p w14:paraId="6612DE8B" w14:textId="34EAFE3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0.0027</w:t>
            </w:r>
          </w:p>
        </w:tc>
        <w:tc>
          <w:tcPr>
            <w:tcW w:w="1260" w:type="dxa"/>
          </w:tcPr>
          <w:p w14:paraId="7CF0693D" w14:textId="3628967F"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0.9842</w:t>
            </w:r>
          </w:p>
        </w:tc>
        <w:tc>
          <w:tcPr>
            <w:tcW w:w="3878" w:type="dxa"/>
          </w:tcPr>
          <w:p w14:paraId="2E0234D5" w14:textId="4E225749" w:rsidR="00D67827" w:rsidRPr="00084E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szCs w:val="20"/>
                <w:lang w:val="es-MX"/>
              </w:rPr>
            </w:pPr>
            <w:r w:rsidRPr="00084E27">
              <w:rPr>
                <w:szCs w:val="20"/>
              </w:rP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0D35DA51" w14:textId="77777777" w:rsidR="00E56C65" w:rsidRDefault="00E56C65" w:rsidP="003372E2">
      <w:pPr>
        <w:spacing w:before="240" w:after="240" w:line="276" w:lineRule="auto"/>
        <w:jc w:val="both"/>
        <w:rPr>
          <w:rFonts w:ascii="Arial" w:hAnsi="Arial" w:cs="Arial"/>
          <w:lang w:val="es-MX"/>
        </w:rPr>
      </w:pPr>
    </w:p>
    <w:p w14:paraId="6B80C896" w14:textId="77777777" w:rsidR="00E56C65" w:rsidRDefault="00E56C65" w:rsidP="003372E2">
      <w:pPr>
        <w:spacing w:before="240" w:after="240" w:line="276" w:lineRule="auto"/>
        <w:jc w:val="both"/>
        <w:rPr>
          <w:rFonts w:ascii="Arial" w:hAnsi="Arial" w:cs="Arial"/>
          <w:lang w:val="es-MX"/>
        </w:rPr>
      </w:pPr>
    </w:p>
    <w:p w14:paraId="5BF332CD" w14:textId="7D5315A2" w:rsidR="00D67827" w:rsidRPr="003372E2" w:rsidRDefault="0012354E" w:rsidP="00987513">
      <w:pPr>
        <w:spacing w:before="240" w:after="240" w:line="240" w:lineRule="auto"/>
        <w:ind w:left="360"/>
        <w:jc w:val="both"/>
        <w:rPr>
          <w:rFonts w:ascii="Arial" w:hAnsi="Arial" w:cs="Arial"/>
        </w:rPr>
      </w:pPr>
      <w:commentRangeStart w:id="10"/>
      <w:r w:rsidRPr="0012354E">
        <w:rPr>
          <w:rFonts w:ascii="Arial" w:hAnsi="Arial" w:cs="Arial"/>
          <w:b/>
          <w:bCs/>
        </w:rPr>
        <w:lastRenderedPageBreak/>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4"/>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commentRangeEnd w:id="10"/>
      <w:r w:rsidR="00A1570F">
        <w:rPr>
          <w:rStyle w:val="Refdecomentario"/>
        </w:rPr>
        <w:commentReference w:id="10"/>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389B2640"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w:t>
      </w:r>
      <w:r w:rsidR="00FA4328">
        <w:rPr>
          <w:rFonts w:ascii="Arial" w:hAnsi="Arial" w:cs="Arial"/>
          <w:b/>
          <w:bCs/>
          <w:lang w:val="es-MX"/>
        </w:rPr>
        <w:t>6</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Pr="00BF0C70" w:rsidRDefault="00AC49ED" w:rsidP="00B24561">
      <w:pPr>
        <w:spacing w:before="240" w:after="240" w:line="276" w:lineRule="auto"/>
        <w:jc w:val="both"/>
        <w:rPr>
          <w:rFonts w:ascii="Arial" w:hAnsi="Arial" w:cs="Arial"/>
        </w:rPr>
      </w:pPr>
      <w:r w:rsidRPr="00BF0C70">
        <w:rPr>
          <w:rFonts w:ascii="Arial" w:hAnsi="Arial" w:cs="Arial"/>
        </w:rPr>
        <w:t>Se analizaron las posibles asociaciones entre el índice latente de transformación) y el nivel de gasto en investigación y desarrollo (I+D)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delista3-nfasis1"/>
        <w:tblW w:w="9180" w:type="dxa"/>
        <w:tblLook w:val="04A0" w:firstRow="1" w:lastRow="0" w:firstColumn="1" w:lastColumn="0" w:noHBand="0" w:noVBand="1"/>
      </w:tblPr>
      <w:tblGrid>
        <w:gridCol w:w="1530"/>
        <w:gridCol w:w="1440"/>
        <w:gridCol w:w="990"/>
        <w:gridCol w:w="5220"/>
      </w:tblGrid>
      <w:tr w:rsidR="00AC49ED" w14:paraId="417A4890" w14:textId="77777777" w:rsidTr="00084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0B3E951B" w14:textId="77777777" w:rsidR="00AC49ED" w:rsidRPr="00084E27" w:rsidRDefault="00AC49ED" w:rsidP="007D5D44">
            <w:pPr>
              <w:pStyle w:val="Sinespaciado"/>
              <w:rPr>
                <w:rFonts w:ascii="Arial" w:hAnsi="Arial" w:cs="Arial"/>
                <w:b w:val="0"/>
                <w:bCs w:val="0"/>
                <w:lang w:val="es-MX"/>
              </w:rPr>
            </w:pPr>
            <w:r w:rsidRPr="00084E27">
              <w:rPr>
                <w:rStyle w:val="Textoennegrita"/>
                <w:b/>
                <w:bCs/>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05B69C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No hay correlación lineal significativa</w:t>
            </w:r>
          </w:p>
        </w:tc>
      </w:tr>
      <w:tr w:rsidR="00AC49ED" w14:paraId="19D43F17" w14:textId="77777777" w:rsidTr="00084E27">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2AC25C50" w14:textId="77777777" w:rsidR="00AC49ED" w:rsidRPr="00084E27" w:rsidRDefault="00AC49ED" w:rsidP="007D5D44">
            <w:pPr>
              <w:pStyle w:val="Sinespaciado"/>
              <w:rPr>
                <w:rFonts w:ascii="Arial" w:hAnsi="Arial" w:cs="Arial"/>
                <w:b w:val="0"/>
                <w:bCs w:val="0"/>
                <w:lang w:val="es-MX"/>
              </w:rPr>
            </w:pPr>
            <w:r w:rsidRPr="00084E27">
              <w:rPr>
                <w:rStyle w:val="Textoennegrita"/>
                <w:b/>
                <w:bCs/>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D531546"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Tendencia positiva moderada pero no significativa (monótona)</w:t>
            </w:r>
          </w:p>
        </w:tc>
      </w:tr>
      <w:tr w:rsidR="00AC49ED" w14:paraId="70D23099" w14:textId="77777777" w:rsidTr="00084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shd w:val="clear" w:color="auto" w:fill="D9D9D9" w:themeFill="background1" w:themeFillShade="D9"/>
          </w:tcPr>
          <w:p w14:paraId="7E851E8F" w14:textId="77777777" w:rsidR="00AC49ED" w:rsidRPr="00084E27" w:rsidRDefault="00AC49ED" w:rsidP="007D5D44">
            <w:pPr>
              <w:pStyle w:val="Sinespaciado"/>
              <w:rPr>
                <w:rFonts w:ascii="Arial" w:hAnsi="Arial" w:cs="Arial"/>
                <w:b w:val="0"/>
                <w:bCs w:val="0"/>
                <w:lang w:val="es-MX"/>
              </w:rPr>
            </w:pPr>
            <w:r w:rsidRPr="00084E27">
              <w:rPr>
                <w:rStyle w:val="Textoennegrita"/>
                <w:b/>
                <w:bCs/>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B30A62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Tendencia positiva leve, no significativa</w:t>
            </w:r>
          </w:p>
        </w:tc>
      </w:tr>
    </w:tbl>
    <w:p w14:paraId="3DF0BA31" w14:textId="77777777" w:rsidR="0012354E" w:rsidRPr="00BF0C70" w:rsidRDefault="0012354E" w:rsidP="0012354E">
      <w:pPr>
        <w:spacing w:before="240" w:after="240" w:line="276" w:lineRule="auto"/>
        <w:jc w:val="both"/>
        <w:rPr>
          <w:rFonts w:ascii="Arial" w:hAnsi="Arial" w:cs="Arial"/>
          <w:lang w:val="es-MX"/>
        </w:rPr>
      </w:pPr>
      <w:r w:rsidRPr="00BF0C70">
        <w:rPr>
          <w:rFonts w:ascii="Arial" w:hAnsi="Arial" w:cs="Arial"/>
          <w:lang w:val="es-MX"/>
        </w:rPr>
        <w:t>En esta muestra, no se encontró evidencia estadísticamente significativa de una relación entre el nivel de transformación organizacional y el gasto reportado en investigación y desarrollo.</w:t>
      </w:r>
    </w:p>
    <w:p w14:paraId="5723B2DB" w14:textId="77777777" w:rsidR="0012354E" w:rsidRDefault="0012354E" w:rsidP="0012354E">
      <w:pPr>
        <w:spacing w:before="240" w:after="240" w:line="276" w:lineRule="auto"/>
        <w:jc w:val="both"/>
        <w:rPr>
          <w:rFonts w:ascii="Arial" w:hAnsi="Arial" w:cs="Arial"/>
          <w:lang w:val="es-MX"/>
        </w:rPr>
      </w:pPr>
      <w:commentRangeStart w:id="11"/>
      <w:r w:rsidRPr="0012354E">
        <w:rPr>
          <w:rFonts w:ascii="Arial" w:hAnsi="Arial" w:cs="Arial"/>
          <w:lang w:val="es-MX"/>
        </w:rPr>
        <w:lastRenderedPageBreak/>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commentRangeEnd w:id="11"/>
      <w:r w:rsidR="00456142">
        <w:rPr>
          <w:rStyle w:val="Refdecomentario"/>
        </w:rPr>
        <w:commentReference w:id="11"/>
      </w:r>
    </w:p>
    <w:p w14:paraId="44814355" w14:textId="7C4AEF9C" w:rsidR="00987513" w:rsidRPr="0012354E" w:rsidRDefault="00987513" w:rsidP="00987513">
      <w:pPr>
        <w:spacing w:before="240" w:after="240" w:line="276" w:lineRule="auto"/>
        <w:ind w:left="360"/>
        <w:jc w:val="both"/>
        <w:rPr>
          <w:rFonts w:ascii="Arial" w:hAnsi="Arial" w:cs="Arial"/>
        </w:rPr>
      </w:pPr>
      <w:commentRangeStart w:id="12"/>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5"/>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12"/>
      <w:r w:rsidR="00456142">
        <w:rPr>
          <w:rStyle w:val="Refdecomentario"/>
        </w:rPr>
        <w:commentReference w:id="12"/>
      </w:r>
    </w:p>
    <w:p w14:paraId="29996D63" w14:textId="1DC807EF" w:rsidR="0012354E" w:rsidRDefault="00B22BDC" w:rsidP="00B24561">
      <w:pPr>
        <w:spacing w:before="240" w:after="240" w:line="276" w:lineRule="auto"/>
        <w:jc w:val="both"/>
        <w:rPr>
          <w:rFonts w:ascii="Arial" w:hAnsi="Arial" w:cs="Arial"/>
          <w:b/>
          <w:bCs/>
          <w:lang w:val="es-MX"/>
        </w:rPr>
      </w:pPr>
      <w:commentRangeStart w:id="13"/>
      <w:r>
        <w:rPr>
          <w:rFonts w:ascii="Arial" w:hAnsi="Arial" w:cs="Arial"/>
          <w:b/>
          <w:bCs/>
          <w:lang w:val="es-MX"/>
        </w:rPr>
        <w:t>4.4.</w:t>
      </w:r>
      <w:r w:rsidR="00FA4328">
        <w:rPr>
          <w:rFonts w:ascii="Arial" w:hAnsi="Arial" w:cs="Arial"/>
          <w:b/>
          <w:bCs/>
          <w:lang w:val="es-MX"/>
        </w:rPr>
        <w:t>7</w:t>
      </w:r>
      <w:r>
        <w:rPr>
          <w:rFonts w:ascii="Arial" w:hAnsi="Arial" w:cs="Arial"/>
          <w:b/>
          <w:bCs/>
          <w:lang w:val="es-MX"/>
        </w:rPr>
        <w:t xml:space="preserve"> Número de Patentes de Innovación</w:t>
      </w:r>
      <w:commentRangeEnd w:id="13"/>
      <w:r w:rsidR="007B6509">
        <w:rPr>
          <w:rStyle w:val="Refdecomentario"/>
        </w:rPr>
        <w:commentReference w:id="13"/>
      </w:r>
    </w:p>
    <w:p w14:paraId="27EAB345"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t xml:space="preserve">Se identificó una </w:t>
      </w:r>
      <w:r w:rsidRPr="005E75B4">
        <w:rPr>
          <w:rFonts w:ascii="Arial" w:hAnsi="Arial" w:cs="Arial"/>
          <w:b/>
          <w:bCs/>
          <w:lang w:val="es-MX"/>
        </w:rPr>
        <w:t>correlación baja</w:t>
      </w:r>
      <w:r w:rsidRPr="005E75B4">
        <w:rPr>
          <w:rFonts w:ascii="Arial" w:hAnsi="Arial" w:cs="Arial"/>
          <w:lang w:val="es-MX"/>
        </w:rPr>
        <w:t xml:space="preserve"> (r = 0.23) entre el índice de transformación y el número de </w:t>
      </w:r>
      <w:r w:rsidRPr="005E75B4">
        <w:rPr>
          <w:rFonts w:ascii="Arial" w:hAnsi="Arial" w:cs="Arial"/>
          <w:b/>
          <w:bCs/>
          <w:lang w:val="es-MX"/>
        </w:rPr>
        <w:t>innovaciones patentadas</w:t>
      </w:r>
      <w:r w:rsidRPr="005E75B4">
        <w:rPr>
          <w:rFonts w:ascii="Arial" w:hAnsi="Arial" w:cs="Arial"/>
          <w:lang w:val="es-MX"/>
        </w:rPr>
        <w:t xml:space="preserve">, lo que indica que la relación lineal entre ambas variables es débil. Sin embargo, debido al interés exploratorio en comprender posibles patrones subyacentes y visualizar la dirección general de la asociación, se procedió a aplicar una </w:t>
      </w:r>
      <w:r w:rsidRPr="005E75B4">
        <w:rPr>
          <w:rFonts w:ascii="Arial" w:hAnsi="Arial" w:cs="Arial"/>
          <w:b/>
          <w:bCs/>
          <w:lang w:val="es-MX"/>
        </w:rPr>
        <w:t>regresión lineal simple</w:t>
      </w:r>
      <w:r w:rsidRPr="005E75B4">
        <w:rPr>
          <w:rFonts w:ascii="Arial" w:hAnsi="Arial" w:cs="Arial"/>
          <w:lang w:val="es-MX"/>
        </w:rPr>
        <w:t>.</w:t>
      </w:r>
    </w:p>
    <w:p w14:paraId="71EC2F5C" w14:textId="77777777" w:rsidR="005E75B4" w:rsidRPr="005E75B4" w:rsidRDefault="005E75B4" w:rsidP="005E75B4">
      <w:pPr>
        <w:spacing w:before="240" w:after="240" w:line="276" w:lineRule="auto"/>
        <w:ind w:left="360"/>
        <w:jc w:val="both"/>
        <w:rPr>
          <w:rFonts w:ascii="Arial" w:hAnsi="Arial" w:cs="Arial"/>
          <w:lang w:val="es-MX"/>
        </w:rPr>
      </w:pPr>
      <w:commentRangeStart w:id="14"/>
      <w:r w:rsidRPr="005E75B4">
        <w:rPr>
          <w:rFonts w:ascii="Arial" w:hAnsi="Arial" w:cs="Arial"/>
          <w:lang w:val="es-MX"/>
        </w:rPr>
        <w:t xml:space="preserve">Los resultados del modelo confirmaron una </w:t>
      </w:r>
      <w:r w:rsidRPr="005E75B4">
        <w:rPr>
          <w:rFonts w:ascii="Arial" w:hAnsi="Arial" w:cs="Arial"/>
          <w:b/>
          <w:bCs/>
          <w:lang w:val="es-MX"/>
        </w:rPr>
        <w:t>tendencia general positiva</w:t>
      </w:r>
      <w:r w:rsidRPr="005E75B4">
        <w:rPr>
          <w:rFonts w:ascii="Arial" w:hAnsi="Arial" w:cs="Arial"/>
          <w:lang w:val="es-MX"/>
        </w:rPr>
        <w:t xml:space="preserve">, aunque poco pronunciada. Esto sugiere que, en términos generales, </w:t>
      </w:r>
      <w:r w:rsidRPr="005E75B4">
        <w:rPr>
          <w:rFonts w:ascii="Arial" w:hAnsi="Arial" w:cs="Arial"/>
          <w:b/>
          <w:bCs/>
          <w:lang w:val="es-MX"/>
        </w:rPr>
        <w:t>a mayor nivel de transformación, podría observarse un leve aumento en el número de innovaciones</w:t>
      </w:r>
      <w:r w:rsidRPr="005E75B4">
        <w:rPr>
          <w:rFonts w:ascii="Arial" w:hAnsi="Arial" w:cs="Arial"/>
          <w:lang w:val="es-MX"/>
        </w:rPr>
        <w:t>, aunque la magnitud del efecto es reducida y no permite establecer conclusiones firmes.</w:t>
      </w:r>
      <w:commentRangeEnd w:id="14"/>
      <w:r w:rsidR="004A5A6F">
        <w:rPr>
          <w:rStyle w:val="Refdecomentario"/>
        </w:rPr>
        <w:commentReference w:id="14"/>
      </w:r>
    </w:p>
    <w:p w14:paraId="0CE1DFB3" w14:textId="77777777" w:rsidR="005E75B4" w:rsidRPr="005E75B4" w:rsidRDefault="005E75B4" w:rsidP="005E75B4">
      <w:pPr>
        <w:spacing w:before="240" w:after="240" w:line="276" w:lineRule="auto"/>
        <w:ind w:left="360"/>
        <w:jc w:val="both"/>
        <w:rPr>
          <w:rFonts w:ascii="Arial" w:hAnsi="Arial" w:cs="Arial"/>
          <w:lang w:val="es-MX"/>
        </w:rPr>
      </w:pPr>
      <w:r w:rsidRPr="005E75B4">
        <w:rPr>
          <w:rFonts w:ascii="Arial" w:hAnsi="Arial" w:cs="Arial"/>
          <w:lang w:val="es-MX"/>
        </w:rPr>
        <w:lastRenderedPageBreak/>
        <w:t xml:space="preserve">El análisis también evidenció una </w:t>
      </w:r>
      <w:r w:rsidRPr="005E75B4">
        <w:rPr>
          <w:rFonts w:ascii="Arial" w:hAnsi="Arial" w:cs="Arial"/>
          <w:b/>
          <w:bCs/>
          <w:lang w:val="es-MX"/>
        </w:rPr>
        <w:t>alta dispersión</w:t>
      </w:r>
      <w:r w:rsidRPr="005E75B4">
        <w:rPr>
          <w:rFonts w:ascii="Arial" w:hAnsi="Arial" w:cs="Arial"/>
          <w:lang w:val="es-MX"/>
        </w:rPr>
        <w:t xml:space="preserve"> en los datos, particularmente en los niveles bajos de transformación, donde muchas empresas reportan niveles de innovación cercanos a cero o incluso negativos (lo cual puede atribuirse a la </w:t>
      </w:r>
      <w:r w:rsidRPr="005E75B4">
        <w:rPr>
          <w:rFonts w:ascii="Arial" w:hAnsi="Arial" w:cs="Arial"/>
          <w:b/>
          <w:bCs/>
          <w:lang w:val="es-MX"/>
        </w:rPr>
        <w:t>estandarización de los datos</w:t>
      </w:r>
      <w:r w:rsidRPr="005E75B4">
        <w:rPr>
          <w:rFonts w:ascii="Arial" w:hAnsi="Arial" w:cs="Arial"/>
          <w:lang w:val="es-MX"/>
        </w:rPr>
        <w:t xml:space="preserve">). Asimismo, se identificaron algunos </w:t>
      </w:r>
      <w:r w:rsidRPr="005E75B4">
        <w:rPr>
          <w:rFonts w:ascii="Arial" w:hAnsi="Arial" w:cs="Arial"/>
          <w:b/>
          <w:bCs/>
          <w:lang w:val="es-MX"/>
        </w:rPr>
        <w:t>valores atípicos</w:t>
      </w:r>
      <w:r w:rsidRPr="005E75B4">
        <w:rPr>
          <w:rFonts w:ascii="Arial" w:hAnsi="Arial" w:cs="Arial"/>
          <w:lang w:val="es-MX"/>
        </w:rPr>
        <w:t xml:space="preserve"> con niveles inusualmente altos tanto de transformación como de innovación, los cuales podrían estar afectando la pendiente del modelo.</w:t>
      </w:r>
    </w:p>
    <w:p w14:paraId="495E09FA" w14:textId="61D1E969" w:rsidR="0010798F" w:rsidRDefault="00B22BDC" w:rsidP="0010798F">
      <w:pPr>
        <w:spacing w:before="240" w:after="240" w:line="276" w:lineRule="auto"/>
        <w:ind w:left="360"/>
        <w:jc w:val="both"/>
        <w:rPr>
          <w:rFonts w:ascii="Arial" w:hAnsi="Arial" w:cs="Arial"/>
          <w:b/>
          <w:bCs/>
          <w:lang w:val="es-MX"/>
        </w:rPr>
      </w:pPr>
      <w:commentRangeStart w:id="15"/>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6"/>
                    <a:stretch>
                      <a:fillRect/>
                    </a:stretch>
                  </pic:blipFill>
                  <pic:spPr>
                    <a:xfrm>
                      <a:off x="0" y="0"/>
                      <a:ext cx="5612130" cy="3347720"/>
                    </a:xfrm>
                    <a:prstGeom prst="rect">
                      <a:avLst/>
                    </a:prstGeom>
                  </pic:spPr>
                </pic:pic>
              </a:graphicData>
            </a:graphic>
          </wp:inline>
        </w:drawing>
      </w:r>
    </w:p>
    <w:p w14:paraId="25604FD6" w14:textId="45BA478A" w:rsidR="009B0D3B" w:rsidRPr="00D437CB" w:rsidRDefault="009B0D3B" w:rsidP="005E75B4">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commentRangeEnd w:id="15"/>
      <w:r w:rsidR="004A5A6F">
        <w:rPr>
          <w:rStyle w:val="Refdecomentario"/>
        </w:rPr>
        <w:commentReference w:id="15"/>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3B57FCE5" w:rsidR="009B0D3B" w:rsidRDefault="00C20A3B" w:rsidP="00B24561">
      <w:pPr>
        <w:spacing w:before="240" w:after="240" w:line="276" w:lineRule="auto"/>
        <w:jc w:val="both"/>
        <w:rPr>
          <w:rFonts w:ascii="Arial" w:hAnsi="Arial" w:cs="Arial"/>
          <w:b/>
          <w:bCs/>
          <w:lang w:val="es-MX"/>
        </w:rPr>
      </w:pPr>
      <w:r>
        <w:rPr>
          <w:rFonts w:ascii="Arial" w:hAnsi="Arial" w:cs="Arial"/>
          <w:b/>
          <w:bCs/>
          <w:lang w:val="es-MX"/>
        </w:rPr>
        <w:t>4.4.8 Crecimiento Anual</w:t>
      </w:r>
    </w:p>
    <w:p w14:paraId="4F222168" w14:textId="77777777" w:rsidR="00C20A3B" w:rsidRPr="00C20A3B" w:rsidRDefault="00C20A3B" w:rsidP="00C20A3B">
      <w:pPr>
        <w:spacing w:before="240" w:after="240" w:line="276" w:lineRule="auto"/>
        <w:jc w:val="both"/>
        <w:rPr>
          <w:rFonts w:ascii="Arial" w:hAnsi="Arial" w:cs="Arial"/>
          <w:lang w:val="es-MX"/>
        </w:rPr>
      </w:pPr>
      <w:r w:rsidRPr="00C20A3B">
        <w:rPr>
          <w:rFonts w:ascii="Arial" w:hAnsi="Arial" w:cs="Arial"/>
          <w:lang w:val="es-MX"/>
        </w:rPr>
        <w:t>Se evaluó la relación entre el índice de transformación organizacional y el crecimiento anual (expresado como porcentaje de variación en ventas). El análisis de correlación de Pearson arrojó un coeficiente prácticamente nulo (r = 0.01, p = 0.9692), lo que indica que no existe evidencia de una relación lineal significativa entre ambas variables en la muestra analizada.</w:t>
      </w:r>
    </w:p>
    <w:p w14:paraId="6B68766F" w14:textId="77777777" w:rsidR="00C20A3B" w:rsidRDefault="00C20A3B" w:rsidP="00C20A3B">
      <w:pPr>
        <w:spacing w:before="240" w:after="240" w:line="276" w:lineRule="auto"/>
        <w:jc w:val="both"/>
        <w:rPr>
          <w:rFonts w:ascii="Arial" w:hAnsi="Arial" w:cs="Arial"/>
          <w:lang w:val="es-MX"/>
        </w:rPr>
      </w:pPr>
      <w:commentRangeStart w:id="16"/>
      <w:r w:rsidRPr="00C20A3B">
        <w:rPr>
          <w:rFonts w:ascii="Arial" w:hAnsi="Arial" w:cs="Arial"/>
          <w:lang w:val="es-MX"/>
        </w:rPr>
        <w:t>Este resultado sugiere que el nivel de transformación, al menos en el corto plazo, no parece estar directamente asociado con el crecimiento anual de ingresos. La nube de puntos confirma esta conclusión, ya que muestra una alta dispersión sin un patrón claro, y una línea de tendencia casi horizontal.</w:t>
      </w:r>
      <w:commentRangeEnd w:id="16"/>
      <w:r w:rsidR="006C7D11">
        <w:rPr>
          <w:rStyle w:val="Refdecomentario"/>
        </w:rPr>
        <w:commentReference w:id="16"/>
      </w:r>
    </w:p>
    <w:p w14:paraId="71C44EA5" w14:textId="77777777" w:rsidR="00C20A3B" w:rsidRPr="00C20A3B" w:rsidRDefault="00C20A3B" w:rsidP="00C20A3B">
      <w:pPr>
        <w:spacing w:before="240" w:after="240" w:line="276" w:lineRule="auto"/>
        <w:jc w:val="both"/>
        <w:rPr>
          <w:rFonts w:ascii="Arial" w:hAnsi="Arial" w:cs="Arial"/>
          <w:lang w:val="es-MX"/>
        </w:rPr>
      </w:pPr>
    </w:p>
    <w:p w14:paraId="0A8B986A" w14:textId="7607B366" w:rsidR="00C20A3B" w:rsidRDefault="00C20A3B" w:rsidP="00B24561">
      <w:pPr>
        <w:spacing w:before="240" w:after="240" w:line="276" w:lineRule="auto"/>
        <w:jc w:val="both"/>
        <w:rPr>
          <w:rFonts w:ascii="Arial" w:hAnsi="Arial" w:cs="Arial"/>
          <w:b/>
          <w:bCs/>
          <w:lang w:val="es-MX"/>
        </w:rPr>
      </w:pPr>
      <w:r w:rsidRPr="00C20A3B">
        <w:rPr>
          <w:rFonts w:ascii="Arial" w:hAnsi="Arial" w:cs="Arial"/>
          <w:b/>
          <w:bCs/>
          <w:noProof/>
          <w:lang w:val="es-MX"/>
        </w:rPr>
        <w:lastRenderedPageBreak/>
        <w:drawing>
          <wp:inline distT="0" distB="0" distL="0" distR="0" wp14:anchorId="207A39B5" wp14:editId="7D69BE01">
            <wp:extent cx="5612130" cy="4191635"/>
            <wp:effectExtent l="0" t="0" r="7620" b="0"/>
            <wp:docPr id="629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5736" name=""/>
                    <pic:cNvPicPr/>
                  </pic:nvPicPr>
                  <pic:blipFill>
                    <a:blip r:embed="rId37"/>
                    <a:stretch>
                      <a:fillRect/>
                    </a:stretch>
                  </pic:blipFill>
                  <pic:spPr>
                    <a:xfrm>
                      <a:off x="0" y="0"/>
                      <a:ext cx="5612130" cy="4191635"/>
                    </a:xfrm>
                    <a:prstGeom prst="rect">
                      <a:avLst/>
                    </a:prstGeom>
                  </pic:spPr>
                </pic:pic>
              </a:graphicData>
            </a:graphic>
          </wp:inline>
        </w:drawing>
      </w:r>
    </w:p>
    <w:p w14:paraId="0761D966" w14:textId="77777777" w:rsidR="009447D7" w:rsidRPr="009B0D3B" w:rsidRDefault="009447D7" w:rsidP="009447D7">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320BBD17" w14:textId="77777777" w:rsidR="009447D7" w:rsidRDefault="009447D7" w:rsidP="00B24561">
      <w:pPr>
        <w:spacing w:before="240" w:after="240" w:line="276" w:lineRule="auto"/>
        <w:jc w:val="both"/>
        <w:rPr>
          <w:rFonts w:ascii="Arial" w:hAnsi="Arial" w:cs="Arial"/>
          <w:b/>
          <w:bCs/>
          <w:lang w:val="es-MX"/>
        </w:rPr>
      </w:pPr>
    </w:p>
    <w:p w14:paraId="01E22CCB" w14:textId="5709E9F6" w:rsidR="00B24561" w:rsidRPr="005609E7" w:rsidRDefault="00D25E35" w:rsidP="00B24561">
      <w:pPr>
        <w:spacing w:before="240" w:after="240" w:line="276" w:lineRule="auto"/>
        <w:jc w:val="both"/>
        <w:rPr>
          <w:rFonts w:ascii="Arial" w:hAnsi="Arial" w:cs="Arial"/>
          <w:b/>
          <w:bCs/>
          <w:lang w:val="es-MX"/>
        </w:rPr>
      </w:pPr>
      <w:r>
        <w:rPr>
          <w:rFonts w:ascii="Arial" w:hAnsi="Arial" w:cs="Arial"/>
          <w:b/>
          <w:bCs/>
          <w:lang w:val="es-MX"/>
        </w:rPr>
        <w:t xml:space="preserve">4.4.9 </w:t>
      </w:r>
      <w:r w:rsidR="00B24561" w:rsidRPr="005609E7">
        <w:rPr>
          <w:rFonts w:ascii="Arial" w:hAnsi="Arial" w:cs="Arial"/>
          <w:b/>
          <w:bCs/>
          <w:lang w:val="es-MX"/>
        </w:rPr>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Pr="009447D7"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0E0685B3" w14:textId="77777777" w:rsidR="009447D7" w:rsidRDefault="009447D7" w:rsidP="009447D7">
      <w:pPr>
        <w:spacing w:before="240" w:after="240" w:line="276" w:lineRule="auto"/>
        <w:jc w:val="both"/>
        <w:rPr>
          <w:rFonts w:ascii="Arial" w:hAnsi="Arial" w:cs="Arial"/>
        </w:rPr>
      </w:pPr>
    </w:p>
    <w:p w14:paraId="651C7C9E" w14:textId="77777777" w:rsidR="009447D7" w:rsidRDefault="009447D7" w:rsidP="009447D7">
      <w:pPr>
        <w:spacing w:before="240" w:after="240" w:line="276" w:lineRule="auto"/>
        <w:jc w:val="both"/>
        <w:rPr>
          <w:rFonts w:ascii="Arial" w:hAnsi="Arial" w:cs="Arial"/>
          <w:lang w:val="es-MX"/>
        </w:rPr>
      </w:pP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lastRenderedPageBreak/>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delista3-nfasis1"/>
        <w:tblW w:w="0" w:type="auto"/>
        <w:tblLook w:val="04A0" w:firstRow="1" w:lastRow="0" w:firstColumn="1" w:lastColumn="0" w:noHBand="0" w:noVBand="1"/>
      </w:tblPr>
      <w:tblGrid>
        <w:gridCol w:w="2765"/>
        <w:gridCol w:w="1914"/>
        <w:gridCol w:w="3366"/>
      </w:tblGrid>
      <w:tr w:rsidR="0069190C" w14:paraId="4F266ABD" w14:textId="77777777" w:rsidTr="005E75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5E7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5E75B4">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4006F10C" w:rsidR="0069190C" w:rsidRPr="0069190C" w:rsidRDefault="00D25E35" w:rsidP="00B24561">
      <w:pPr>
        <w:spacing w:before="240" w:after="240" w:line="276" w:lineRule="auto"/>
        <w:jc w:val="both"/>
        <w:rPr>
          <w:rFonts w:ascii="Arial" w:hAnsi="Arial" w:cs="Arial"/>
          <w:b/>
          <w:bCs/>
        </w:rPr>
      </w:pPr>
      <w:r>
        <w:rPr>
          <w:rFonts w:ascii="Arial" w:hAnsi="Arial" w:cs="Arial"/>
          <w:b/>
          <w:bCs/>
        </w:rPr>
        <w:t xml:space="preserve">4.4.10 </w:t>
      </w:r>
      <w:r w:rsidR="00B24561"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000000"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000000"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lastRenderedPageBreak/>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000000"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000000"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000000"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000000"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lastRenderedPageBreak/>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000000"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La prueba de Levene es una prueba estadística utilizada para evaluar la igualdad de varianzas (homocedasticidad) entre dos o más grupos. Es una condición importante para 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000000"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000000"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lastRenderedPageBreak/>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000000"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000000"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lastRenderedPageBreak/>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000000"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8"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lastRenderedPageBreak/>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Andres Felipe Ocampo Quiceno" w:date="2025-06-19T21:36:00Z" w:initials="AO">
    <w:p w14:paraId="732E04AB" w14:textId="77777777" w:rsidR="007F7A20" w:rsidRDefault="007F7A20" w:rsidP="007F7A20">
      <w:pPr>
        <w:pStyle w:val="Textocomentario"/>
      </w:pPr>
      <w:r>
        <w:rPr>
          <w:rStyle w:val="Refdecomentario"/>
        </w:rPr>
        <w:annotationRef/>
      </w:r>
      <w:r>
        <w:t>Al contrastar estos números con los que salen ese notebook, encuentro diferencias.</w:t>
      </w:r>
    </w:p>
  </w:comment>
  <w:comment w:id="5" w:author="Andres Felipe Ocampo Quiceno" w:date="2025-06-19T21:44:00Z" w:initials="AO">
    <w:p w14:paraId="4047630C" w14:textId="77777777" w:rsidR="00875440" w:rsidRDefault="00875440" w:rsidP="00875440">
      <w:pPr>
        <w:pStyle w:val="Textocomentario"/>
      </w:pPr>
      <w:r>
        <w:rPr>
          <w:rStyle w:val="Refdecomentario"/>
        </w:rPr>
        <w:annotationRef/>
      </w:r>
      <w:r>
        <w:t>No es “Índice”, es “Variable latente”</w:t>
      </w:r>
    </w:p>
  </w:comment>
  <w:comment w:id="6" w:author="Andres Felipe Ocampo Quiceno" w:date="2025-06-19T21:46:00Z" w:initials="AO">
    <w:p w14:paraId="6483F9D3" w14:textId="77777777" w:rsidR="0023541B" w:rsidRDefault="0023541B" w:rsidP="0023541B">
      <w:pPr>
        <w:pStyle w:val="Textocomentario"/>
      </w:pPr>
      <w:r>
        <w:rPr>
          <w:rStyle w:val="Refdecomentario"/>
        </w:rPr>
        <w:annotationRef/>
      </w:r>
      <w:r>
        <w:t>Esta gráfica no es la que estamos manejando</w:t>
      </w:r>
    </w:p>
  </w:comment>
  <w:comment w:id="7" w:author="Andres Felipe Ocampo Quiceno" w:date="2025-06-19T22:12:00Z" w:initials="AO">
    <w:p w14:paraId="30F57C9D" w14:textId="77777777" w:rsidR="00441D74" w:rsidRDefault="00441D74" w:rsidP="00441D74">
      <w:pPr>
        <w:pStyle w:val="Textocomentario"/>
      </w:pPr>
      <w:r>
        <w:rPr>
          <w:rStyle w:val="Refdecomentario"/>
        </w:rPr>
        <w:annotationRef/>
      </w:r>
      <w:r>
        <w:t>Aleja, un comentario. Tú no especificaste en el notebook el código donde comprobaras el cumplimiento de los supuestos del modelo, por eso me dispuse a hacerlo. Corrí el modelo OLS clásico y cumplió con todos los supuestos menor con el de normalidad de los residuales. Posteriormente, corrí el modelo con transformación logarítmica sobre variable dependiente y encontré que el modelo no cumple el supuesto de linealidad. Por tal razón, no es procedente interpretar los resultados del modelo de regresión OLS con transformación logarítmica ya que no cumple con ese supuesto (aunque cumpla los otros). Te recomendaría echarle un ojo a la sección de Felipe, a él le dio exactamente lo mismo que a ti, puedes tomar su mismo discurso.</w:t>
      </w:r>
    </w:p>
  </w:comment>
  <w:comment w:id="8" w:author="Andres Felipe Ocampo Quiceno" w:date="2025-06-19T22:21:00Z" w:initials="AO">
    <w:p w14:paraId="1CE4B2FC" w14:textId="77777777" w:rsidR="00E56C65" w:rsidRDefault="00CE1B7A" w:rsidP="00E56C65">
      <w:pPr>
        <w:pStyle w:val="Textocomentario"/>
      </w:pPr>
      <w:r>
        <w:rPr>
          <w:rStyle w:val="Refdecomentario"/>
        </w:rPr>
        <w:annotationRef/>
      </w:r>
      <w:r w:rsidR="00E56C65">
        <w:t xml:space="preserve">Aleja, esta no es la gráfica que acordamos manejar en este caso. Un ejemplo de la gráfica que acordamos manejar la podrás encontrar en la sección </w:t>
      </w:r>
      <w:r w:rsidR="00E56C65">
        <w:rPr>
          <w:b/>
          <w:bCs/>
        </w:rPr>
        <w:t>4.2.3 Industria de la empresa del presente documento.</w:t>
      </w:r>
    </w:p>
  </w:comment>
  <w:comment w:id="9" w:author="Andres Felipe Ocampo Quiceno" w:date="2025-06-19T22:23:00Z" w:initials="AO">
    <w:p w14:paraId="62DB7A1D" w14:textId="5FE18B47" w:rsidR="002F4E1A" w:rsidRDefault="002F4E1A" w:rsidP="002F4E1A">
      <w:pPr>
        <w:pStyle w:val="Textocomentario"/>
      </w:pPr>
      <w:r>
        <w:rPr>
          <w:rStyle w:val="Refdecomentario"/>
        </w:rPr>
        <w:annotationRef/>
      </w:r>
      <w:r>
        <w:t>En línea con otro comentario anterior, esta no es la gráfica que acordamos manejar en estos casos.</w:t>
      </w:r>
    </w:p>
  </w:comment>
  <w:comment w:id="10" w:author="Andres Felipe Ocampo Quiceno" w:date="2025-06-19T22:27:00Z" w:initials="AO">
    <w:p w14:paraId="143F0DAB" w14:textId="77777777" w:rsidR="00A1570F" w:rsidRDefault="00A1570F" w:rsidP="00A1570F">
      <w:pPr>
        <w:pStyle w:val="Textocomentario"/>
      </w:pPr>
      <w:r>
        <w:rPr>
          <w:rStyle w:val="Refdecomentario"/>
        </w:rPr>
        <w:annotationRef/>
      </w:r>
      <w:r>
        <w:t>Aleja, no encuentro coherencia entre el discurso anterior y esta gráfica, es decir, en el discurso anterior no explicas los resultados de la gráfica. Está puesta aquí, pero parece perdida porque no hay discurso que le de vida. Yo entiendo, porque conozco el análisis, que ese r es el de Pearson y que esa p es el valor p de la prueba de Pearson, pero un lector externo no. Sugiero entonces presentar esta gráfica al inicio e hilar tu discursos con la interpretación de esa gráfica y la tabla que presentas con los valores de los tres índices de correlación.</w:t>
      </w:r>
    </w:p>
  </w:comment>
  <w:comment w:id="11" w:author="Andres Felipe Ocampo Quiceno" w:date="2025-06-19T22:48:00Z" w:initials="AO">
    <w:p w14:paraId="63A4F941" w14:textId="77777777" w:rsidR="00456142" w:rsidRDefault="00456142" w:rsidP="00456142">
      <w:pPr>
        <w:pStyle w:val="Textocomentario"/>
      </w:pPr>
      <w:r>
        <w:rPr>
          <w:rStyle w:val="Refdecomentario"/>
        </w:rPr>
        <w:annotationRef/>
      </w:r>
      <w:r>
        <w:t>No estoy tan seguro de que podamos sugerir aquella tendencia creciente. Si la relación no es significativa, considero prudente no brindar interpretación alguna porque eso nos lleva al plano inferencial, y sacar inferencias a partir de un coeficiente que no es significativo no resultaría acertado. Me parecería más prudente afirmar que no existe relación estadísticamente significativa entre las dos variables, sin hacer alusión a la naturaleza o magnitud de los coeficientes.</w:t>
      </w:r>
    </w:p>
  </w:comment>
  <w:comment w:id="12" w:author="Andres Felipe Ocampo Quiceno" w:date="2025-06-19T22:48:00Z" w:initials="AO">
    <w:p w14:paraId="1EF765D6" w14:textId="77777777" w:rsidR="00456142" w:rsidRDefault="00456142" w:rsidP="00456142">
      <w:pPr>
        <w:pStyle w:val="Textocomentario"/>
      </w:pPr>
      <w:r>
        <w:rPr>
          <w:rStyle w:val="Refdecomentario"/>
        </w:rPr>
        <w:annotationRef/>
      </w:r>
      <w:r>
        <w:t>Mismo comentario de anteriores gráficas, no logro encontrar coherencia entre la información de esta gráfica y el discurso anterior.</w:t>
      </w:r>
    </w:p>
  </w:comment>
  <w:comment w:id="13" w:author="Andres Felipe Ocampo Quiceno" w:date="2025-06-19T22:52:00Z" w:initials="AO">
    <w:p w14:paraId="4BDC9D66" w14:textId="77777777" w:rsidR="007B6509" w:rsidRDefault="007B6509" w:rsidP="007B6509">
      <w:pPr>
        <w:pStyle w:val="Textocomentario"/>
      </w:pPr>
      <w:r>
        <w:rPr>
          <w:rStyle w:val="Refdecomentario"/>
        </w:rPr>
        <w:annotationRef/>
      </w:r>
      <w:r>
        <w:t>Noto una falta de estandarización entre esta sección y las anteriores. Por ejemplo, en las anteriores muestras los resultados de los coeficientes de pearson, spearman y kendall, pero aquí no. Por otro lado, aquí muestras una gráfica vieja, y no la nueva. Sugiero unificar.</w:t>
      </w:r>
    </w:p>
  </w:comment>
  <w:comment w:id="14" w:author="Andres Felipe Ocampo Quiceno" w:date="2025-06-19T22:55:00Z" w:initials="AO">
    <w:p w14:paraId="11EAA9E6" w14:textId="77777777" w:rsidR="004A5A6F" w:rsidRDefault="004A5A6F" w:rsidP="004A5A6F">
      <w:pPr>
        <w:pStyle w:val="Textocomentario"/>
      </w:pPr>
      <w:r>
        <w:rPr>
          <w:rStyle w:val="Refdecomentario"/>
        </w:rPr>
        <w:annotationRef/>
      </w:r>
      <w:r>
        <w:t>Te refieres a un “modelo”, asumo que es el modelo OLS. Pero cuando voy al notebook encuentro que en ese modelo que corriste no se cumple el supuesto de linealidad, por lo tanto, no sería correcto hacer inferencia alguna de ese modelo, en términos de decir que una variable sube en determinada dirección que otra variable. Esa seria una inferencia no procedente conforme al no cumplimiento del supuesto de linealidad.</w:t>
      </w:r>
    </w:p>
  </w:comment>
  <w:comment w:id="15" w:author="Andres Felipe Ocampo Quiceno" w:date="2025-06-19T22:56:00Z" w:initials="AO">
    <w:p w14:paraId="35B748A9" w14:textId="77777777" w:rsidR="004A5A6F" w:rsidRDefault="004A5A6F" w:rsidP="004A5A6F">
      <w:pPr>
        <w:pStyle w:val="Textocomentario"/>
      </w:pPr>
      <w:r>
        <w:rPr>
          <w:rStyle w:val="Refdecomentario"/>
        </w:rPr>
        <w:annotationRef/>
      </w:r>
      <w:r>
        <w:t>Gráfica vieja, hay que utilizar la nueva</w:t>
      </w:r>
    </w:p>
  </w:comment>
  <w:comment w:id="16" w:author="Andres Felipe Ocampo Quiceno" w:date="2025-06-19T22:58:00Z" w:initials="AO">
    <w:p w14:paraId="3C5A585B" w14:textId="77777777" w:rsidR="006C7D11" w:rsidRDefault="006C7D11" w:rsidP="006C7D11">
      <w:pPr>
        <w:pStyle w:val="Textocomentario"/>
      </w:pPr>
      <w:r>
        <w:rPr>
          <w:rStyle w:val="Refdecomentario"/>
        </w:rPr>
        <w:annotationRef/>
      </w:r>
      <w:r>
        <w:t>Esta conclusión me parece más congruente que el de la sección anterior: no se observa relación entre las dos variables. Y si no existe esta relación, no es posible hacer inferencia alguna sobre el coeficiente calculado.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32E04AB" w15:done="1"/>
  <w15:commentEx w15:paraId="4047630C" w15:done="1"/>
  <w15:commentEx w15:paraId="6483F9D3" w15:done="0"/>
  <w15:commentEx w15:paraId="30F57C9D" w15:done="0"/>
  <w15:commentEx w15:paraId="1CE4B2FC" w15:done="0"/>
  <w15:commentEx w15:paraId="62DB7A1D" w15:done="0"/>
  <w15:commentEx w15:paraId="143F0DAB" w15:done="0"/>
  <w15:commentEx w15:paraId="63A4F941" w15:done="0"/>
  <w15:commentEx w15:paraId="1EF765D6" w15:done="0"/>
  <w15:commentEx w15:paraId="4BDC9D66" w15:done="0"/>
  <w15:commentEx w15:paraId="11EAA9E6" w15:done="0"/>
  <w15:commentEx w15:paraId="35B748A9" w15:done="0"/>
  <w15:commentEx w15:paraId="3C5A58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5E101B8" w16cex:dateUtc="2025-06-20T02:36:00Z"/>
  <w16cex:commentExtensible w16cex:durableId="3C20AD4A" w16cex:dateUtc="2025-06-20T02:44:00Z"/>
  <w16cex:commentExtensible w16cex:durableId="6C37D880" w16cex:dateUtc="2025-06-20T02:46:00Z"/>
  <w16cex:commentExtensible w16cex:durableId="75CA96E1" w16cex:dateUtc="2025-06-20T03:12:00Z"/>
  <w16cex:commentExtensible w16cex:durableId="16AE1811" w16cex:dateUtc="2025-06-20T03:21:00Z"/>
  <w16cex:commentExtensible w16cex:durableId="5EE85FE5" w16cex:dateUtc="2025-06-20T03:23:00Z"/>
  <w16cex:commentExtensible w16cex:durableId="727CB298" w16cex:dateUtc="2025-06-20T03:27:00Z"/>
  <w16cex:commentExtensible w16cex:durableId="7E952C77" w16cex:dateUtc="2025-06-20T03:48:00Z"/>
  <w16cex:commentExtensible w16cex:durableId="0D467910" w16cex:dateUtc="2025-06-20T03:48:00Z"/>
  <w16cex:commentExtensible w16cex:durableId="0896FB49" w16cex:dateUtc="2025-06-20T03:52:00Z"/>
  <w16cex:commentExtensible w16cex:durableId="4FC83BE4" w16cex:dateUtc="2025-06-20T03:55:00Z"/>
  <w16cex:commentExtensible w16cex:durableId="39E21B6E" w16cex:dateUtc="2025-06-20T03:56:00Z"/>
  <w16cex:commentExtensible w16cex:durableId="73681A17" w16cex:dateUtc="2025-06-20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32E04AB" w16cid:durableId="45E101B8"/>
  <w16cid:commentId w16cid:paraId="4047630C" w16cid:durableId="3C20AD4A"/>
  <w16cid:commentId w16cid:paraId="6483F9D3" w16cid:durableId="6C37D880"/>
  <w16cid:commentId w16cid:paraId="30F57C9D" w16cid:durableId="75CA96E1"/>
  <w16cid:commentId w16cid:paraId="1CE4B2FC" w16cid:durableId="16AE1811"/>
  <w16cid:commentId w16cid:paraId="62DB7A1D" w16cid:durableId="5EE85FE5"/>
  <w16cid:commentId w16cid:paraId="143F0DAB" w16cid:durableId="727CB298"/>
  <w16cid:commentId w16cid:paraId="63A4F941" w16cid:durableId="7E952C77"/>
  <w16cid:commentId w16cid:paraId="1EF765D6" w16cid:durableId="0D467910"/>
  <w16cid:commentId w16cid:paraId="4BDC9D66" w16cid:durableId="0896FB49"/>
  <w16cid:commentId w16cid:paraId="11EAA9E6" w16cid:durableId="4FC83BE4"/>
  <w16cid:commentId w16cid:paraId="35B748A9" w16cid:durableId="39E21B6E"/>
  <w16cid:commentId w16cid:paraId="3C5A585B" w16cid:durableId="73681A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28114" w14:textId="77777777" w:rsidR="004669F2" w:rsidRDefault="004669F2" w:rsidP="00AD21EE">
      <w:pPr>
        <w:spacing w:after="0" w:line="240" w:lineRule="auto"/>
      </w:pPr>
      <w:r>
        <w:separator/>
      </w:r>
    </w:p>
  </w:endnote>
  <w:endnote w:type="continuationSeparator" w:id="0">
    <w:p w14:paraId="19F37E12" w14:textId="77777777" w:rsidR="004669F2" w:rsidRDefault="004669F2"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AEE73B" w14:textId="77777777" w:rsidR="004669F2" w:rsidRDefault="004669F2" w:rsidP="00AD21EE">
      <w:pPr>
        <w:spacing w:after="0" w:line="240" w:lineRule="auto"/>
      </w:pPr>
      <w:r>
        <w:separator/>
      </w:r>
    </w:p>
  </w:footnote>
  <w:footnote w:type="continuationSeparator" w:id="0">
    <w:p w14:paraId="258FF5EE" w14:textId="77777777" w:rsidR="004669F2" w:rsidRDefault="004669F2"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1679920">
    <w:abstractNumId w:val="1"/>
  </w:num>
  <w:num w:numId="2" w16cid:durableId="2104498014">
    <w:abstractNumId w:val="15"/>
  </w:num>
  <w:num w:numId="3" w16cid:durableId="2072338123">
    <w:abstractNumId w:val="19"/>
  </w:num>
  <w:num w:numId="4" w16cid:durableId="1443912954">
    <w:abstractNumId w:val="8"/>
  </w:num>
  <w:num w:numId="5" w16cid:durableId="1309440440">
    <w:abstractNumId w:val="14"/>
  </w:num>
  <w:num w:numId="6" w16cid:durableId="1978992702">
    <w:abstractNumId w:val="4"/>
  </w:num>
  <w:num w:numId="7" w16cid:durableId="239750571">
    <w:abstractNumId w:val="20"/>
  </w:num>
  <w:num w:numId="8" w16cid:durableId="351995984">
    <w:abstractNumId w:val="12"/>
  </w:num>
  <w:num w:numId="9" w16cid:durableId="1589541407">
    <w:abstractNumId w:val="18"/>
  </w:num>
  <w:num w:numId="10" w16cid:durableId="1763990184">
    <w:abstractNumId w:val="10"/>
  </w:num>
  <w:num w:numId="11" w16cid:durableId="573244277">
    <w:abstractNumId w:val="3"/>
  </w:num>
  <w:num w:numId="12" w16cid:durableId="1117336534">
    <w:abstractNumId w:val="2"/>
  </w:num>
  <w:num w:numId="13" w16cid:durableId="1792629820">
    <w:abstractNumId w:val="11"/>
  </w:num>
  <w:num w:numId="14" w16cid:durableId="1276641947">
    <w:abstractNumId w:val="13"/>
  </w:num>
  <w:num w:numId="15" w16cid:durableId="1742680295">
    <w:abstractNumId w:val="16"/>
  </w:num>
  <w:num w:numId="16" w16cid:durableId="189344134">
    <w:abstractNumId w:val="1"/>
  </w:num>
  <w:num w:numId="17" w16cid:durableId="1936817705">
    <w:abstractNumId w:val="6"/>
  </w:num>
  <w:num w:numId="18" w16cid:durableId="1857034500">
    <w:abstractNumId w:val="17"/>
  </w:num>
  <w:num w:numId="19" w16cid:durableId="928776193">
    <w:abstractNumId w:val="5"/>
  </w:num>
  <w:num w:numId="20" w16cid:durableId="1087843907">
    <w:abstractNumId w:val="7"/>
  </w:num>
  <w:num w:numId="21" w16cid:durableId="1498569265">
    <w:abstractNumId w:val="9"/>
  </w:num>
  <w:num w:numId="22" w16cid:durableId="13283664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s Felipe Ocampo Quiceno">
    <w15:presenceInfo w15:providerId="AD" w15:userId="S::1143835519@icesi.edu.co::8ca54b6e-971d-484a-9055-651a87997b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378C7"/>
    <w:rsid w:val="000473D6"/>
    <w:rsid w:val="00047627"/>
    <w:rsid w:val="000506B1"/>
    <w:rsid w:val="0005445B"/>
    <w:rsid w:val="0005527A"/>
    <w:rsid w:val="0006249F"/>
    <w:rsid w:val="0006494E"/>
    <w:rsid w:val="00064B8B"/>
    <w:rsid w:val="00067379"/>
    <w:rsid w:val="00072AE4"/>
    <w:rsid w:val="0007692F"/>
    <w:rsid w:val="00084231"/>
    <w:rsid w:val="00084E27"/>
    <w:rsid w:val="00086AF7"/>
    <w:rsid w:val="0009279C"/>
    <w:rsid w:val="000975C0"/>
    <w:rsid w:val="000A0333"/>
    <w:rsid w:val="000B2BAD"/>
    <w:rsid w:val="000C0FEC"/>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47EAB"/>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E6C22"/>
    <w:rsid w:val="001F084F"/>
    <w:rsid w:val="001F3F1A"/>
    <w:rsid w:val="001F4D66"/>
    <w:rsid w:val="001F61E9"/>
    <w:rsid w:val="002035EF"/>
    <w:rsid w:val="002208B7"/>
    <w:rsid w:val="00225A88"/>
    <w:rsid w:val="00227AB3"/>
    <w:rsid w:val="00227F64"/>
    <w:rsid w:val="002325F7"/>
    <w:rsid w:val="0023541B"/>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4E1A"/>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1D74"/>
    <w:rsid w:val="00443A1D"/>
    <w:rsid w:val="004445F0"/>
    <w:rsid w:val="004518AB"/>
    <w:rsid w:val="00453526"/>
    <w:rsid w:val="00455DCC"/>
    <w:rsid w:val="00456142"/>
    <w:rsid w:val="004575FA"/>
    <w:rsid w:val="004649D9"/>
    <w:rsid w:val="004669F2"/>
    <w:rsid w:val="004730E6"/>
    <w:rsid w:val="004819B5"/>
    <w:rsid w:val="00487C4D"/>
    <w:rsid w:val="004A0E48"/>
    <w:rsid w:val="004A5A6F"/>
    <w:rsid w:val="004B1A67"/>
    <w:rsid w:val="004C1648"/>
    <w:rsid w:val="004C2248"/>
    <w:rsid w:val="004C22E7"/>
    <w:rsid w:val="004C495C"/>
    <w:rsid w:val="004D71E4"/>
    <w:rsid w:val="004E1C5E"/>
    <w:rsid w:val="004E2DF9"/>
    <w:rsid w:val="004E79FD"/>
    <w:rsid w:val="004F2287"/>
    <w:rsid w:val="004F2571"/>
    <w:rsid w:val="00502A56"/>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E75B4"/>
    <w:rsid w:val="005F2581"/>
    <w:rsid w:val="005F2600"/>
    <w:rsid w:val="005F4180"/>
    <w:rsid w:val="0060646C"/>
    <w:rsid w:val="00607AD0"/>
    <w:rsid w:val="006133A9"/>
    <w:rsid w:val="00613A21"/>
    <w:rsid w:val="00620E0E"/>
    <w:rsid w:val="006276B3"/>
    <w:rsid w:val="00631B14"/>
    <w:rsid w:val="00634D57"/>
    <w:rsid w:val="00637C45"/>
    <w:rsid w:val="00642535"/>
    <w:rsid w:val="00642DD8"/>
    <w:rsid w:val="00643565"/>
    <w:rsid w:val="00650E5F"/>
    <w:rsid w:val="00653FCE"/>
    <w:rsid w:val="006566D0"/>
    <w:rsid w:val="00657F12"/>
    <w:rsid w:val="00670592"/>
    <w:rsid w:val="00671C88"/>
    <w:rsid w:val="0067425C"/>
    <w:rsid w:val="00674725"/>
    <w:rsid w:val="00676B6B"/>
    <w:rsid w:val="00687F12"/>
    <w:rsid w:val="0069190C"/>
    <w:rsid w:val="006C16C8"/>
    <w:rsid w:val="006C20D3"/>
    <w:rsid w:val="006C3765"/>
    <w:rsid w:val="006C3E2A"/>
    <w:rsid w:val="006C5527"/>
    <w:rsid w:val="006C6CA5"/>
    <w:rsid w:val="006C7D11"/>
    <w:rsid w:val="006D05C0"/>
    <w:rsid w:val="006D0892"/>
    <w:rsid w:val="006E2962"/>
    <w:rsid w:val="006E75A9"/>
    <w:rsid w:val="006F1F6A"/>
    <w:rsid w:val="007003B8"/>
    <w:rsid w:val="00700610"/>
    <w:rsid w:val="007042A4"/>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83DB0"/>
    <w:rsid w:val="007B168D"/>
    <w:rsid w:val="007B6509"/>
    <w:rsid w:val="007C2C1E"/>
    <w:rsid w:val="007D5122"/>
    <w:rsid w:val="007E1023"/>
    <w:rsid w:val="007E24EF"/>
    <w:rsid w:val="007E50FC"/>
    <w:rsid w:val="007F0142"/>
    <w:rsid w:val="007F4028"/>
    <w:rsid w:val="007F7A20"/>
    <w:rsid w:val="008152D4"/>
    <w:rsid w:val="008222DF"/>
    <w:rsid w:val="008302DF"/>
    <w:rsid w:val="00831C23"/>
    <w:rsid w:val="0084123A"/>
    <w:rsid w:val="0084256F"/>
    <w:rsid w:val="008465F1"/>
    <w:rsid w:val="00847093"/>
    <w:rsid w:val="00854730"/>
    <w:rsid w:val="008630C2"/>
    <w:rsid w:val="00864DDF"/>
    <w:rsid w:val="00865601"/>
    <w:rsid w:val="00867A95"/>
    <w:rsid w:val="00870158"/>
    <w:rsid w:val="00870376"/>
    <w:rsid w:val="008735E5"/>
    <w:rsid w:val="00874F42"/>
    <w:rsid w:val="00875440"/>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447D7"/>
    <w:rsid w:val="00950698"/>
    <w:rsid w:val="00954CCC"/>
    <w:rsid w:val="00954E4B"/>
    <w:rsid w:val="0095602E"/>
    <w:rsid w:val="00956523"/>
    <w:rsid w:val="00956A8E"/>
    <w:rsid w:val="009633B1"/>
    <w:rsid w:val="00965F8A"/>
    <w:rsid w:val="00972E56"/>
    <w:rsid w:val="009742FC"/>
    <w:rsid w:val="00980686"/>
    <w:rsid w:val="00987513"/>
    <w:rsid w:val="009A39DE"/>
    <w:rsid w:val="009A7739"/>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570F"/>
    <w:rsid w:val="00A17AB2"/>
    <w:rsid w:val="00A202BF"/>
    <w:rsid w:val="00A21451"/>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3B0E"/>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658C8"/>
    <w:rsid w:val="00B717D4"/>
    <w:rsid w:val="00B74E38"/>
    <w:rsid w:val="00B8465F"/>
    <w:rsid w:val="00B856B5"/>
    <w:rsid w:val="00B9574D"/>
    <w:rsid w:val="00B97C5B"/>
    <w:rsid w:val="00BA3C65"/>
    <w:rsid w:val="00BA49BE"/>
    <w:rsid w:val="00BC5390"/>
    <w:rsid w:val="00BD0835"/>
    <w:rsid w:val="00BD4668"/>
    <w:rsid w:val="00BE4B83"/>
    <w:rsid w:val="00BF0C70"/>
    <w:rsid w:val="00BF4469"/>
    <w:rsid w:val="00C070C8"/>
    <w:rsid w:val="00C11A5D"/>
    <w:rsid w:val="00C172A9"/>
    <w:rsid w:val="00C200F2"/>
    <w:rsid w:val="00C20A3B"/>
    <w:rsid w:val="00C23F32"/>
    <w:rsid w:val="00C35A75"/>
    <w:rsid w:val="00C37309"/>
    <w:rsid w:val="00C405A5"/>
    <w:rsid w:val="00C55376"/>
    <w:rsid w:val="00C645B3"/>
    <w:rsid w:val="00C67B69"/>
    <w:rsid w:val="00C70751"/>
    <w:rsid w:val="00C843BA"/>
    <w:rsid w:val="00C8574D"/>
    <w:rsid w:val="00C86C14"/>
    <w:rsid w:val="00C87751"/>
    <w:rsid w:val="00C90588"/>
    <w:rsid w:val="00C91B5A"/>
    <w:rsid w:val="00C9410A"/>
    <w:rsid w:val="00C972EC"/>
    <w:rsid w:val="00CA596E"/>
    <w:rsid w:val="00CB0ED7"/>
    <w:rsid w:val="00CB3D76"/>
    <w:rsid w:val="00CB5D83"/>
    <w:rsid w:val="00CB616E"/>
    <w:rsid w:val="00CB62D1"/>
    <w:rsid w:val="00CB7D25"/>
    <w:rsid w:val="00CC54F0"/>
    <w:rsid w:val="00CC638D"/>
    <w:rsid w:val="00CC7361"/>
    <w:rsid w:val="00CD0290"/>
    <w:rsid w:val="00CE1B7A"/>
    <w:rsid w:val="00CE71BB"/>
    <w:rsid w:val="00CF0240"/>
    <w:rsid w:val="00CF0255"/>
    <w:rsid w:val="00CF066F"/>
    <w:rsid w:val="00CF2508"/>
    <w:rsid w:val="00CF2EBB"/>
    <w:rsid w:val="00CF6559"/>
    <w:rsid w:val="00D03BD5"/>
    <w:rsid w:val="00D04A48"/>
    <w:rsid w:val="00D104EF"/>
    <w:rsid w:val="00D205FE"/>
    <w:rsid w:val="00D25E35"/>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A3936"/>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4862"/>
    <w:rsid w:val="00E25E73"/>
    <w:rsid w:val="00E309BE"/>
    <w:rsid w:val="00E309C1"/>
    <w:rsid w:val="00E4132E"/>
    <w:rsid w:val="00E553DF"/>
    <w:rsid w:val="00E56C65"/>
    <w:rsid w:val="00E6398C"/>
    <w:rsid w:val="00E67543"/>
    <w:rsid w:val="00E67C9E"/>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24CDF"/>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A4328"/>
    <w:rsid w:val="00FC3475"/>
    <w:rsid w:val="00FD71DB"/>
    <w:rsid w:val="00FE0E6C"/>
    <w:rsid w:val="00FE1596"/>
    <w:rsid w:val="00FE1BA8"/>
    <w:rsid w:val="00FE5853"/>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nfasis1">
    <w:name w:val="List Table 4 Accent 1"/>
    <w:basedOn w:val="Tablanormal"/>
    <w:uiPriority w:val="49"/>
    <w:rsid w:val="00DA393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1">
    <w:name w:val="List Table 3 Accent 1"/>
    <w:basedOn w:val="Tablanormal"/>
    <w:uiPriority w:val="48"/>
    <w:rsid w:val="00DA3936"/>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Refdecomentario">
    <w:name w:val="annotation reference"/>
    <w:basedOn w:val="Fuentedeprrafopredeter"/>
    <w:uiPriority w:val="99"/>
    <w:semiHidden/>
    <w:unhideWhenUsed/>
    <w:rsid w:val="00F24CDF"/>
    <w:rPr>
      <w:sz w:val="16"/>
      <w:szCs w:val="16"/>
    </w:rPr>
  </w:style>
  <w:style w:type="paragraph" w:styleId="Textocomentario">
    <w:name w:val="annotation text"/>
    <w:basedOn w:val="Normal"/>
    <w:link w:val="TextocomentarioCar"/>
    <w:uiPriority w:val="99"/>
    <w:unhideWhenUsed/>
    <w:rsid w:val="00F24CDF"/>
    <w:pPr>
      <w:spacing w:line="240" w:lineRule="auto"/>
    </w:pPr>
    <w:rPr>
      <w:sz w:val="20"/>
      <w:szCs w:val="20"/>
    </w:rPr>
  </w:style>
  <w:style w:type="character" w:customStyle="1" w:styleId="TextocomentarioCar">
    <w:name w:val="Texto comentario Car"/>
    <w:basedOn w:val="Fuentedeprrafopredeter"/>
    <w:link w:val="Textocomentario"/>
    <w:uiPriority w:val="99"/>
    <w:rsid w:val="00F24CDF"/>
    <w:rPr>
      <w:sz w:val="20"/>
      <w:szCs w:val="20"/>
    </w:rPr>
  </w:style>
  <w:style w:type="paragraph" w:styleId="Asuntodelcomentario">
    <w:name w:val="annotation subject"/>
    <w:basedOn w:val="Textocomentario"/>
    <w:next w:val="Textocomentario"/>
    <w:link w:val="AsuntodelcomentarioCar"/>
    <w:uiPriority w:val="99"/>
    <w:semiHidden/>
    <w:unhideWhenUsed/>
    <w:rsid w:val="00F24CDF"/>
    <w:rPr>
      <w:b/>
      <w:bCs/>
    </w:rPr>
  </w:style>
  <w:style w:type="character" w:customStyle="1" w:styleId="AsuntodelcomentarioCar">
    <w:name w:val="Asunto del comentario Car"/>
    <w:basedOn w:val="TextocomentarioCar"/>
    <w:link w:val="Asuntodelcomentario"/>
    <w:uiPriority w:val="99"/>
    <w:semiHidden/>
    <w:rsid w:val="00F24C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46729953">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62154322">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35125092">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2839">
      <w:bodyDiv w:val="1"/>
      <w:marLeft w:val="0"/>
      <w:marRight w:val="0"/>
      <w:marTop w:val="0"/>
      <w:marBottom w:val="0"/>
      <w:divBdr>
        <w:top w:val="none" w:sz="0" w:space="0" w:color="auto"/>
        <w:left w:val="none" w:sz="0" w:space="0" w:color="auto"/>
        <w:bottom w:val="none" w:sz="0" w:space="0" w:color="auto"/>
        <w:right w:val="none" w:sz="0" w:space="0" w:color="auto"/>
      </w:divBdr>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43443332">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09170358">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530009">
      <w:bodyDiv w:val="1"/>
      <w:marLeft w:val="0"/>
      <w:marRight w:val="0"/>
      <w:marTop w:val="0"/>
      <w:marBottom w:val="0"/>
      <w:divBdr>
        <w:top w:val="none" w:sz="0" w:space="0" w:color="auto"/>
        <w:left w:val="none" w:sz="0" w:space="0" w:color="auto"/>
        <w:bottom w:val="none" w:sz="0" w:space="0" w:color="auto"/>
        <w:right w:val="none" w:sz="0" w:space="0" w:color="auto"/>
      </w:divBdr>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094232718">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hyperlink" Target="https://doi.org/10.1007/978-3-319-54205-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51</Pages>
  <Words>14370</Words>
  <Characters>79039</Characters>
  <Application>Microsoft Office Word</Application>
  <DocSecurity>0</DocSecurity>
  <Lines>658</Lines>
  <Paragraphs>186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Luis Felipe Montenegro Fuentes</cp:lastModifiedBy>
  <cp:revision>440</cp:revision>
  <dcterms:created xsi:type="dcterms:W3CDTF">2025-05-22T05:11:00Z</dcterms:created>
  <dcterms:modified xsi:type="dcterms:W3CDTF">2025-06-21T00:31:00Z</dcterms:modified>
</cp:coreProperties>
</file>