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0.1.4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25 de septiembre de 2026</w:t>
      </w:r>
    </w:p>
    <w:p>
      <w:pPr>
        <w:spacing w:after="60"/>
        <w:jc w:val="center"/>
      </w:pPr>
      <w:r>
        <w:rPr>
          <w:rFonts w:ascii="Arial" w:cs="Arial" w:eastAsia="Arial" w:hAnsi="Arial"/>
          <w:b w:val="false"/>
          <w:bCs w:val="false"/>
          <w:i/>
          <w:iCs/>
          <w:color w:val="000000"/>
          <w:sz w:val="18"/>
          <w:szCs w:val="18"/>
        </w:rPr>
        <w:t xml:space="preserve">Basado en el Documento Maestro v0.2.2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ectPr>
          <w:headerReference w:type="default" r:id="rId22"/>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 En la vista pública, el ingreso es por documento de identidad, sin contraseña.</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dos campos editables de cualquier cuenta pública: peso y discapacidad. El administrativo cuenta con una lista de registros pendientes de validación para revisar y aprobar.</w:t>
      </w:r>
    </w:p>
    <w:p>
      <w:pPr>
        <w:spacing w:before="0" w:after="160"/>
      </w:pPr>
      <w:r>
        <w:rPr>
          <w:rFonts w:ascii="Arial" w:hAnsi="Arial"/>
          <w:b w:val="0"/>
          <w:i w:val="0"/>
          <w:color w:val="000000"/>
          <w:sz w:val="24"/>
        </w:rPr>
        <w:t>[CONFIRMADO — decisiones de autenticación cerradas después de v0.2.1, no incorporadas hasta ahora en ningún documento] Las cuentas administrativas son individuales por persona, no una credencial genérica compartida entre el equipo. Aldrin, como administrador principal, es el único con capacidad de gestionar las cuentas del equipo administrativo (crear, editar, desactivar); esto no altera la vista administrativa unificada sin permisos granulares ya confirmada (ver sección 8): todas las cuentas siguen viendo y editando lo mismo, la gestión de cuentas es la única función exclusiva de Aldrin. La recuperación de contraseña se hace por un enlace enviado al correo, con un token de un solo uso y tiempo límite de vigencia.</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y carga masiva por Excel/CSV con validación fila por fila antes de confirmar (requiere JavaScript asíncrono; mismo mecanismo confirmado para el calendario, módulo 9). El selector de archivo es único, pero filtra el tipo de archivo permitido según el contexto desde el que se abre: en carga masiva solo permite CSV/Excel; en documentos de un deportista ya seleccionado, solo permite Word/PDF, y ahí sí se permite seleccionar varios archivos a la vez. Desde la ficha del deportista hay enlaces directos hacia su historial y sus estadísticas.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[CONFIRMADO — decisión de John, 22/09/2026] Cuatro accesos desde la ficha del deportista: competencias, ascensos, asistencias, y estadísticas y rendimiento.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(ver también sección 9): el segundo deportista se carga de forma asíncrona en la columna derecha, sin recargar la página ni perder la vista del primero. El enlace "Comparar con otro deportista" se ubica en el header, junto al logo y el título del panel. El historial completo del deportista sigue siendo accesible también en modo comparación.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entre otras) en una matriz con estado pendiente/completado, independiente por deportista y por modalidad, con guardado en tiempo real (asíncrono).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más la posibilidad de agregar eventos manuales sin recargar la página (asíncrono). La vista pública del calendario se limita a competencias, evaluaciones y eventos extra: no incluye reuniones administrativas.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base_datos/esquema_hwanghon_v1.sql (11 tablas, InnoDB, utf8mb4), que traduce el Modelo Relacional v1 (diagramas/mmd/14_modelo_relacional_v1.mmd/.png) a nombres definitivos de tabla/columna, tipos de dato MySQL 8, nulidad y llaves primarias/foráneas con su comportamiento ON DELETE/ON UPDATE. El diccionario de datos completo, tabla por tabla, está más abajo. El Modelo Entidad-Relación (MER) v1 (diagramas/mmd/13_mer_v1.mmd, diagramas/png/13_mer_v1.png) se conserva como referencia conceptual (Figura 13.1); el preliminar del 22/09/2026 sigue como histórico.</w:t>
      </w:r>
    </w:p>
    <w:p>
      <w:pPr>
        <w:spacing w:before="140" w:after="80"/>
      </w:pPr>
      <w:r>
        <w:rPr>
          <w:rFonts w:ascii="Arial" w:hAnsi="Arial"/>
          <w:b/>
          <w:i w:val="0"/>
          <w:color w:val="000000"/>
          <w:sz w:val="24"/>
        </w:rPr>
        <w:t>Cambios frente al preliminar</w:t>
      </w:r>
    </w:p>
    <w:p>
      <w:pPr>
        <w:spacing w:before="0" w:after="160"/>
      </w:pPr>
      <w:r>
        <w:rPr>
          <w:rFonts w:ascii="Arial" w:hAnsi="Arial"/>
          <w:b w:val="0"/>
          <w:i w:val="0"/>
          <w:color w:val="000000"/>
          <w:sz w:val="24"/>
        </w:rPr>
        <w:t>El preliminar (22/09/2026, 11 entidades más la leyenda) se corrigió el 23/09/2026 (el atributo modalidad se trasladó de Competencia a Participación en Competencia, RN-3.1). La versión 1 (vigente, 23/09/2026) agrega cuatro cambios adicionales:</w:t>
      </w:r>
    </w:p>
    <w:p>
      <w:pPr>
        <w:spacing w:before="0" w:after="160"/>
      </w:pPr>
      <w:r>
        <w:rPr>
          <w:rFonts w:ascii="Arial" w:hAnsi="Arial"/>
          <w:b w:val="0"/>
          <w:i w:val="0"/>
          <w:color w:val="000000"/>
          <w:sz w:val="24"/>
        </w:rPr>
        <w:t>1. Campo nuevo estado_animico en Deportista (RN-2.4): estructura confirmada en base de datos, reserva a futuro, no visible todavía en la interfaz.</w:t>
      </w:r>
    </w:p>
    <w:p>
      <w:pPr>
        <w:spacing w:before="0" w:after="160"/>
      </w:pPr>
      <w:r>
        <w:rPr>
          <w:rFonts w:ascii="Arial" w:hAnsi="Arial"/>
          <w:b w:val="0"/>
          <w:i w:val="0"/>
          <w:color w:val="000000"/>
          <w:sz w:val="24"/>
        </w:rPr>
        <w:t>2. División del atributo categoría en Competencia: categoria_edad [CONFIRMADO] y categoria_peso [PENDIENTE DE VALIDACIÓN] (RN-3.8).</w:t>
      </w:r>
    </w:p>
    <w:p>
      <w:pPr>
        <w:spacing w:before="0" w:after="160"/>
      </w:pPr>
      <w:r>
        <w:rPr>
          <w:rFonts w:ascii="Arial" w:hAnsi="Arial"/>
          <w:b w:val="0"/>
          <w:i w:val="0"/>
          <w:color w:val="000000"/>
          <w:sz w:val="24"/>
        </w:rPr>
        <w:t>3. Fecha de Sesión_Examen confirmada: 26 de abril, 26 de julio y 13 de diciembre de 2026, verificada contra el Plan de Acción IMRDS 2026, fuente primaria (RN-5.4).</w:t>
      </w:r>
    </w:p>
    <w:p>
      <w:pPr>
        <w:spacing w:before="0" w:after="160"/>
      </w:pPr>
      <w:r>
        <w:rPr>
          <w:rFonts w:ascii="Arial" w:hAnsi="Arial"/>
          <w:b w:val="0"/>
          <w:i w:val="0"/>
          <w:color w:val="000000"/>
          <w:sz w:val="24"/>
        </w:rPr>
        <w:t>4. Campo nuevo fecha_completado en Detalle_Evaluación (RN-5.5): permite que cada modalidad de una sesión de examen se complete en una fecha distinta al resto del grupo, sin desordenar el registro de los demás participantes.</w:t>
      </w:r>
    </w:p>
    <w:p>
      <w:pPr>
        <w:spacing w:before="80" w:after="80"/>
        <w:jc w:val="center"/>
      </w:pPr>
      <w:r>
        <w:drawing>
          <wp:inline xmlns:a="http://schemas.openxmlformats.org/drawingml/2006/main" xmlns:pic="http://schemas.openxmlformats.org/drawingml/2006/picture">
            <wp:extent cx="5943600" cy="1506977"/>
            <wp:docPr id="13" name="Picture 13"/>
            <wp:cNvGraphicFramePr>
              <a:graphicFrameLocks noChangeAspect="1"/>
            </wp:cNvGraphicFramePr>
            <a:graphic>
              <a:graphicData uri="http://schemas.openxmlformats.org/drawingml/2006/picture">
                <pic:pic>
                  <pic:nvPicPr>
                    <pic:cNvPr id="0" name="13_mer_v1.png"/>
                    <pic:cNvPicPr/>
                  </pic:nvPicPr>
                  <pic:blipFill>
                    <a:blip r:embed="rId23"/>
                    <a:stretch>
                      <a:fillRect/>
                    </a:stretch>
                  </pic:blipFill>
                  <pic:spPr>
                    <a:xfrm>
                      <a:off x="0" y="0"/>
                      <a:ext cx="5943600" cy="1506977"/>
                    </a:xfrm>
                    <a:prstGeom prst="rect"/>
                  </pic:spPr>
                </pic:pic>
              </a:graphicData>
            </a:graphic>
          </wp:inline>
        </w:drawing>
      </w:r>
    </w:p>
    <w:p>
      <w:pPr>
        <w:spacing w:after="280"/>
        <w:jc w:val="center"/>
      </w:pPr>
      <w:r>
        <w:rPr>
          <w:rFonts w:ascii="Arial" w:hAnsi="Arial"/>
          <w:b w:val="0"/>
          <w:i/>
          <w:color w:val="000000"/>
          <w:sz w:val="18"/>
        </w:rPr>
        <w:t>Figura 13.1 — Modelo Entidad-Relación v1 (diagramas/png/13_mer_v1.png)</w:t>
      </w:r>
    </w:p>
    <w:p>
      <w:pPr>
        <w:spacing w:before="140" w:after="80"/>
      </w:pPr>
      <w:r>
        <w:rPr>
          <w:rFonts w:ascii="Arial" w:hAnsi="Arial"/>
          <w:b/>
          <w:i w:val="0"/>
          <w:color w:val="000000"/>
          <w:sz w:val="24"/>
        </w:rPr>
        <w:t>Diccionario de datos (Modelo Relacional v1 — script SQL ejecutado)</w:t>
      </w:r>
    </w:p>
    <w:p>
      <w:pPr>
        <w:spacing w:before="0" w:after="160"/>
      </w:pPr>
      <w:r>
        <w:rPr>
          <w:rFonts w:ascii="Arial" w:hAnsi="Arial"/>
          <w:b w:val="0"/>
          <w:i w:val="0"/>
          <w:color w:val="000000"/>
          <w:sz w:val="24"/>
        </w:rPr>
        <w:t>A continuación, las 11 tablas del script base_datos/esquema_hwanghon_v1.sql, en el mismo orden en que aparecen en el script. Para cada tabla: propósito de negocio, columnas (nombre, tipo tal cual el SQL, nulidad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Verdadero solo para Aldrin.</w:t>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Condición de salud relevante (RN-1.5).</w:t>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Nulo hasta el primer examen aprobado (RN-10.3).</w:t>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por el valor 'otro' (RN-6.1).</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Ruta o nombre del archivo almacenado.</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ENUM('cargado',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carga del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120" w:after="60"/>
      </w:pPr>
      <w:r>
        <w:rPr>
          <w:rFonts w:ascii="Arial" w:hAnsi="Arial"/>
          <w:b/>
          <w:i w:val="0"/>
          <w:color w:val="000000"/>
          <w:sz w:val="22"/>
        </w:rPr>
        <w:t>5.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6.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pago.</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Mes del pago, de 1 a 12; solo aplica a mensualidad.</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1 a 4, semana del mes del pago (RN-8.1), solo mensualidad.</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ENUM('pagado',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pago.</w:t>
            </w:r>
          </w:p>
        </w:tc>
      </w:tr>
      <w:tr>
        <w:tc>
          <w:tcPr>
            <w:tcW w:type="dxa" w:w="1872"/>
          </w:tcPr>
          <w:p>
            <w:r>
              <w:rPr>
                <w:rFonts w:ascii="Arial" w:hAnsi="Arial"/>
                <w:b w:val="0"/>
                <w:i w:val="0"/>
                <w:color w:val="000000"/>
                <w:sz w:val="19"/>
              </w:rPr>
              <w:t>consecuencia_mora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Consecuencia tras mora prolongada (RN-8.7); se deja NULL, no se inventa la consecuencia.</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7.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evento.</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8.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9.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VALIDACIÓN] </w:t>
            </w:r>
            <w:r>
              <w:rPr>
                <w:rFonts w:ascii="Arial" w:hAnsi="Arial"/>
                <w:b w:val="0"/>
                <w:i w:val="0"/>
                <w:color w:val="000000"/>
                <w:sz w:val="19"/>
              </w:rPr>
              <w:t>Pesos por edad para categorías menores, consultado con Viviana (RN-3.1/RN-3.8).</w:t>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10.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26 de abril, 26 de julio y 13 de diciembre de 2026 — verificado contra el Plan de Acción IMRDS 2026, fuente primaria (RN-5.4).</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11.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la evaluación.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Valor numérico de prueba física (RN-2.3).</w:t>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hasta completar; PROPUESTA: si es verdadero, actualiza deportista.grado_actual (RN-10.3).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after="160"/>
      </w:pPr>
      <w:r>
        <w:rPr>
          <w:rFonts w:ascii="Arial" w:hAnsi="Arial"/>
          <w:b w:val="0"/>
          <w:i/>
          <w:color w:val="000000"/>
          <w:sz w:val="20"/>
        </w:rPr>
        <w:t>Fuente: base_datos/esquema_hwanghon_v1.sql (script DDL ejecutado y verificado por John el 25/09/2026); Reglas de Negocio v0.3.</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preliminar entregado el 22/09/2026 (11 entidades más la leyenda); corregido el 23/09/2026 (modalidad trasladado de Competencia a Participación en Competencia, RN-3.1). Versión 1 (vigente, 23/09/2026): agrega estado_animico a Deportista (RN-2.4), separa categoria_edad (CONFIRMADO) de categoria_peso (pendiente) en Competencia (RN-3.8), confirma la fecha de Sesión_Examen contra fuente primaria (RN-5.4), agrega fecha_completado a Detalle_Evaluación (RN-5.5). El preliminar se conserva como histórico.</w:t>
      </w:r>
    </w:p>
    <w:p>
      <w:pPr>
        <w:spacing w:before="0" w:after="160"/>
      </w:pPr>
      <w:r>
        <w:rPr>
          <w:rFonts w:ascii="Arial" w:hAnsi="Arial"/>
          <w:b w:val="0"/>
          <w:i w:val="0"/>
          <w:color w:val="000000"/>
          <w:sz w:val="24"/>
        </w:rPr>
        <w:t>Modelo Relacional (14_modelo_relacional_v1.mmd/.png): vigente desde el 25/09/2026, traduce el MER v1 a nivel lógico — nombres definitivos de tabla/columna, tipos de dato MySQL 8, nulidad y llaves primarias/foráneas con ON DELETE/ON UPDATE. Es la base directa del script SQL ejecutado (base_datos/esquema_hwanghon_v1.sql), documentado como diccionario de datos completo en la sección 13.</w:t>
      </w:r>
    </w:p>
    <w:p>
      <w:pPr>
        <w:spacing w:after="160"/>
      </w:pPr>
      <w:r>
        <w:rPr>
          <w:rFonts w:ascii="Arial" w:hAnsi="Arial"/>
          <w:b w:val="0"/>
          <w:i/>
          <w:color w:val="000000"/>
          <w:sz w:val="20"/>
        </w:rPr>
        <w:t>Fuente: Reglas de Negocio v0.3;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