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100"/>
        <w:jc w:val="center"/>
      </w:pPr>
      <w:r>
        <w:rPr>
          <w:rFonts w:ascii="Arial" w:hAnsi="Arial"/>
          <w:b/>
          <w:i w:val="0"/>
          <w:color w:val="000000"/>
          <w:sz w:val="40"/>
        </w:rPr>
        <w:t>ESPECIFICACIÓN DE LÓGICA DE NEGOCIO</w:t>
      </w:r>
    </w:p>
    <w:p>
      <w:pPr>
        <w:spacing w:after="300"/>
        <w:jc w:val="center"/>
      </w:pPr>
      <w:r>
        <w:rPr>
          <w:rFonts w:ascii="Arial" w:hAnsi="Arial"/>
          <w:b/>
          <w:i w:val="0"/>
          <w:color w:val="000000"/>
          <w:sz w:val="32"/>
        </w:rPr>
        <w:t>HwangHon-Sports-System</w:t>
      </w:r>
    </w:p>
    <w:p>
      <w:pPr>
        <w:spacing w:after="800"/>
        <w:jc w:val="center"/>
      </w:pPr>
      <w:r>
        <w:rPr>
          <w:rFonts w:ascii="Arial" w:hAnsi="Arial"/>
          <w:b w:val="0"/>
          <w:i w:val="0"/>
          <w:color w:val="000000"/>
          <w:sz w:val="24"/>
        </w:rPr>
        <w:t>Versión 0.1 — documento de trabajo</w:t>
      </w:r>
    </w:p>
    <w:p>
      <w:pPr>
        <w:spacing w:after="80"/>
        <w:jc w:val="center"/>
      </w:pPr>
      <w:r>
        <w:rPr>
          <w:rFonts w:ascii="Arial" w:hAnsi="Arial"/>
          <w:b w:val="0"/>
          <w:i w:val="0"/>
          <w:color w:val="000000"/>
          <w:sz w:val="22"/>
        </w:rPr>
        <w:t>Club Deportivo de Hapkido Hwang Hon — Soacha, Cundinamarca</w:t>
      </w:r>
    </w:p>
    <w:p>
      <w:pPr>
        <w:spacing w:after="80"/>
        <w:jc w:val="center"/>
      </w:pPr>
      <w:r>
        <w:rPr>
          <w:rFonts w:ascii="Arial" w:hAnsi="Arial"/>
          <w:b w:val="0"/>
          <w:i w:val="0"/>
          <w:color w:val="000000"/>
          <w:sz w:val="22"/>
        </w:rPr>
        <w:t>Cliente: Aldrin Díaz Herrera (Maestro del club)</w:t>
      </w:r>
    </w:p>
    <w:p>
      <w:pPr>
        <w:spacing w:after="80"/>
        <w:jc w:val="center"/>
      </w:pPr>
      <w:r>
        <w:rPr>
          <w:rFonts w:ascii="Arial" w:hAnsi="Arial"/>
          <w:b w:val="0"/>
          <w:i w:val="0"/>
          <w:color w:val="000000"/>
          <w:sz w:val="22"/>
        </w:rPr>
        <w:t>Autor: John Alejandro Contreras — Ingeniería de Software, Fundación Universitaria Compensar (práctica profesional)</w:t>
      </w:r>
    </w:p>
    <w:p>
      <w:pPr>
        <w:spacing w:after="400"/>
        <w:jc w:val="center"/>
      </w:pPr>
      <w:r>
        <w:rPr>
          <w:rFonts w:ascii="Arial" w:hAnsi="Arial"/>
          <w:b w:val="0"/>
          <w:i w:val="0"/>
          <w:color w:val="000000"/>
          <w:sz w:val="22"/>
        </w:rPr>
        <w:t>26 de septiembre de 2026</w:t>
      </w:r>
    </w:p>
    <w:p>
      <w:pPr>
        <w:spacing w:after="80"/>
        <w:jc w:val="center"/>
      </w:pPr>
      <w:r>
        <w:rPr>
          <w:rFonts w:ascii="Arial" w:hAnsi="Arial"/>
          <w:b w:val="0"/>
          <w:i/>
          <w:color w:val="000000"/>
          <w:sz w:val="18"/>
        </w:rPr>
        <w:t>Basado en Reglas de Negocio v0.3 (documentacion/reglas_negocio/) — no se duplica su contexto ni su justificación, cada punto lo referencia por número de regla.</w:t>
      </w:r>
    </w:p>
    <w:p>
      <w:pPr>
        <w:spacing w:after="0"/>
        <w:jc w:val="center"/>
      </w:pPr>
      <w:r>
        <w:rPr>
          <w:rFonts w:ascii="Arial" w:hAnsi="Arial"/>
          <w:b w:val="0"/>
          <w:i/>
          <w:color w:val="000000"/>
          <w:sz w:val="18"/>
        </w:rPr>
        <w:t>Etiquetas usadas: [CONFIRMADO] · [PROPUESTA] · [PENDIENTE DE ALDRIN] · [PENDIENTE DE VERIFICACIÓN] · [PENDIENTE DE VALIDACIÓN] (las mismas cinco de Reglas de Negocio v0.3, citadas junto con cada regla de origen) · [PENDIENTE DE ESPECIFICAR] (sexta etiqueta, exclusiva de este documento — ver sección 1).</w:t>
      </w:r>
    </w:p>
    <w:p>
      <w:pPr>
        <w:spacing w:before="400"/>
        <w:jc w:val="center"/>
      </w:pPr>
      <w:r>
        <w:rPr>
          <w:rFonts w:ascii="Arial" w:hAnsi="Arial"/>
          <w:b w:val="0"/>
          <w:i/>
          <w:color w:val="000000"/>
          <w:sz w:val="16"/>
        </w:rPr>
        <w:t>v0.1: creación inicial del documento — inventario completo de Reglas de Negocio v0.3 (994 líneas, diez módulos más Transversal). Secciones A-D con la regla de origen citada y un placeholder explícito de especificación técnica pendiente; sección E trasladada sin cambios de contenido.</w:t>
      </w:r>
    </w:p>
    <w:p>
      <w:pPr>
        <w:spacing w:after="0"/>
      </w:pPr>
    </w:p>
    <w:p>
      <w:pPr>
        <w:spacing w:before="200" w:after="200"/>
      </w:pPr>
      <w:r>
        <w:rPr>
          <w:rFonts w:ascii="Arial" w:hAnsi="Arial"/>
          <w:b/>
          <w:i w:val="0"/>
          <w:color w:val="000000"/>
          <w:sz w:val="28"/>
        </w:rPr>
        <w:t>Contenido</w:t>
      </w:r>
    </w:p>
    <w:p>
      <w:pPr>
        <w:spacing w:after="80"/>
      </w:pPr>
      <w:r>
        <w:rPr>
          <w:rFonts w:ascii="Arial" w:hAnsi="Arial"/>
          <w:b w:val="0"/>
          <w:i w:val="0"/>
          <w:color w:val="000000"/>
          <w:sz w:val="22"/>
        </w:rPr>
        <w:t>1. Introducción y alcance</w:t>
      </w:r>
    </w:p>
    <w:p>
      <w:pPr>
        <w:spacing w:after="80"/>
      </w:pPr>
      <w:r>
        <w:rPr>
          <w:rFonts w:ascii="Arial" w:hAnsi="Arial"/>
          <w:b w:val="0"/>
          <w:i w:val="0"/>
          <w:color w:val="000000"/>
          <w:sz w:val="22"/>
        </w:rPr>
        <w:t>A. Cálculos derivados</w:t>
      </w:r>
    </w:p>
    <w:p>
      <w:pPr>
        <w:spacing w:after="80"/>
      </w:pPr>
      <w:r>
        <w:rPr>
          <w:rFonts w:ascii="Arial" w:hAnsi="Arial"/>
          <w:b w:val="0"/>
          <w:i w:val="0"/>
          <w:color w:val="000000"/>
          <w:sz w:val="22"/>
        </w:rPr>
        <w:t>B. Máquinas de estado</w:t>
      </w:r>
    </w:p>
    <w:p>
      <w:pPr>
        <w:spacing w:after="80"/>
      </w:pPr>
      <w:r>
        <w:rPr>
          <w:rFonts w:ascii="Arial" w:hAnsi="Arial"/>
          <w:b w:val="0"/>
          <w:i w:val="0"/>
          <w:color w:val="000000"/>
          <w:sz w:val="22"/>
        </w:rPr>
        <w:t>C. Reglas de autorización</w:t>
      </w:r>
    </w:p>
    <w:p>
      <w:pPr>
        <w:spacing w:after="80"/>
      </w:pPr>
      <w:r>
        <w:rPr>
          <w:rFonts w:ascii="Arial" w:hAnsi="Arial"/>
          <w:b w:val="0"/>
          <w:i w:val="0"/>
          <w:color w:val="000000"/>
          <w:sz w:val="22"/>
        </w:rPr>
        <w:t>D. Procesos de importación</w:t>
      </w:r>
    </w:p>
    <w:p>
      <w:pPr>
        <w:spacing w:after="80"/>
      </w:pPr>
      <w:r>
        <w:rPr>
          <w:rFonts w:ascii="Arial" w:hAnsi="Arial"/>
          <w:b w:val="0"/>
          <w:i w:val="0"/>
          <w:color w:val="000000"/>
          <w:sz w:val="22"/>
        </w:rPr>
        <w:t>E. Bloqueadas por falta de insumo</w:t>
      </w:r>
    </w:p>
    <w:p>
      <w:pPr>
        <w:spacing w:after="80"/>
      </w:pPr>
      <w:r>
        <w:rPr>
          <w:rFonts w:ascii="Arial" w:hAnsi="Arial"/>
          <w:b w:val="0"/>
          <w:i w:val="0"/>
          <w:color w:val="000000"/>
          <w:sz w:val="22"/>
        </w:rPr>
        <w:t>Cierre</w:t>
      </w:r>
    </w:p>
    <w:p>
      <w:pPr>
        <w:sectPr>
          <w:pgSz w:w="12240" w:h="15840"/>
          <w:pgMar w:top="1440" w:right="1800" w:bottom="1440" w:left="1800" w:header="720" w:footer="720" w:gutter="0"/>
          <w:cols w:space="720"/>
          <w:docGrid w:linePitch="360"/>
        </w:sectPr>
      </w:pPr>
    </w:p>
    <w:p>
      <w:pPr>
        <w:spacing w:before="320" w:after="160"/>
      </w:pPr>
      <w:r>
        <w:rPr>
          <w:rFonts w:ascii="Arial" w:hAnsi="Arial"/>
          <w:b/>
          <w:i w:val="0"/>
          <w:color w:val="000000"/>
          <w:sz w:val="28"/>
        </w:rPr>
        <w:t>1. Introducción y alcance</w:t>
      </w:r>
    </w:p>
    <w:p>
      <w:pPr>
        <w:spacing w:after="80"/>
      </w:pPr>
      <w:r>
        <w:rPr>
          <w:rFonts w:ascii="Arial" w:hAnsi="Arial"/>
          <w:b w:val="0"/>
          <w:i w:val="0"/>
          <w:color w:val="000000"/>
          <w:sz w:val="24"/>
        </w:rPr>
        <w:t>Con la Etapa 2 (Diseño de base de datos) cerrada -- Modelo Relacional v1 y el script SQL ejecutado y verificado (base_datos/esquema_hwanghon_v1.sql), documentados en Documentación Técnica v0.1.4 -- el proyecto entra a la Etapa 3 (Definición de lógica de negocio). El primer paso fue un inventario completo de Reglas de Negocio v0.3 (994 líneas, los diez módulos más Transversal), categorizando qué reglas necesitan una especificación técnica precisa antes de poder implementarlas.</w:t>
      </w:r>
    </w:p>
    <w:p>
      <w:pPr>
        <w:spacing w:after="80"/>
      </w:pPr>
      <w:r>
        <w:rPr>
          <w:rFonts w:ascii="Arial" w:hAnsi="Arial"/>
          <w:b w:val="0"/>
          <w:i w:val="0"/>
          <w:color w:val="000000"/>
          <w:sz w:val="24"/>
        </w:rPr>
        <w:t>Reglas de Negocio v0.3 da el contexto y la decisión de cada regla, pero varias de ellas describen una lógica -- un cálculo, un flujo de estados, un permiso, una importación -- sin fijar su especificación técnica exacta. Este documento existe para cerrar esa brecha antes de diseñar la arquitectura backend: cada punto más abajo cita su regla de origen en Reglas de Negocio v0.3 (no se duplica su contexto ni su justificación, solo se referencia por número) y añade una sección "Especificación técnica", que por ahora queda como [PENDIENTE DE ESPECIFICAR] -- un placeholder explícito, no una especificación inventada.</w:t>
      </w:r>
    </w:p>
    <w:p>
      <w:pPr>
        <w:spacing w:after="160"/>
      </w:pPr>
      <w:r>
        <w:rPr>
          <w:rFonts w:ascii="Arial" w:hAnsi="Arial"/>
          <w:b w:val="0"/>
          <w:i w:val="0"/>
          <w:color w:val="000000"/>
          <w:sz w:val="24"/>
        </w:rPr>
        <w:t>Las fórmulas y los flujos exactos se irán definiendo progresivamente en el chat técnico, en pasadas siguientes sobre este mismo documento (misma convención de corrección puntual sobre la misma versión ya usada en este proyecto, o v0.2 si el contenido nuevo es sustancial -- se decide cuando llegue el momento).</w:t>
      </w:r>
    </w:p>
    <w:p>
      <w:pPr>
        <w:spacing w:before="120" w:after="80"/>
      </w:pPr>
      <w:r>
        <w:rPr>
          <w:rFonts w:ascii="Arial" w:hAnsi="Arial"/>
          <w:b/>
          <w:i w:val="0"/>
          <w:color w:val="000000"/>
          <w:sz w:val="24"/>
        </w:rPr>
        <w:t>Etiquetas de estado</w:t>
      </w:r>
    </w:p>
    <w:p>
      <w:pPr>
        <w:spacing w:after="80"/>
      </w:pPr>
      <w:r>
        <w:rPr>
          <w:rFonts w:ascii="Arial" w:hAnsi="Arial"/>
          <w:b w:val="0"/>
          <w:i w:val="0"/>
          <w:color w:val="000000"/>
          <w:sz w:val="24"/>
        </w:rPr>
        <w:t>Cada regla citada conserva exactamente la etiqueta con la que aparece en Reglas de Negocio v0.3. Cada sección de especificación técnica que aún no existe usa una sexta etiqueta, propia de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2880"/>
        <w:gridCol w:w="6480"/>
      </w:tblGrid>
      <w:tr>
        <w:tc>
          <w:tcPr>
            <w:tcW w:type="dxa" w:w="2880"/>
          </w:tcPr>
          <w:p>
            <w:r>
              <w:rPr>
                <w:rFonts w:ascii="Arial" w:hAnsi="Arial"/>
                <w:b/>
                <w:i w:val="0"/>
                <w:color w:val="000000"/>
                <w:sz w:val="20"/>
              </w:rPr>
              <w:t>Etiqueta</w:t>
            </w:r>
          </w:p>
        </w:tc>
        <w:tc>
          <w:tcPr>
            <w:tcW w:type="dxa" w:w="6480"/>
          </w:tcPr>
          <w:p>
            <w:r>
              <w:rPr>
                <w:rFonts w:ascii="Arial" w:hAnsi="Arial"/>
                <w:b/>
                <w:i w:val="0"/>
                <w:color w:val="000000"/>
                <w:sz w:val="20"/>
              </w:rPr>
              <w:t>Significado</w:t>
            </w:r>
          </w:p>
        </w:tc>
      </w:tr>
      <w:tr>
        <w:tc>
          <w:tcPr>
            <w:tcW w:type="dxa" w:w="2880"/>
          </w:tcPr>
          <w:p>
            <w:r>
              <w:rPr>
                <w:rFonts w:ascii="Arial" w:hAnsi="Arial"/>
                <w:b/>
                <w:i w:val="0"/>
                <w:color w:val="000000"/>
                <w:sz w:val="20"/>
              </w:rPr>
              <w:t>[CONFIRMADO]</w:t>
            </w:r>
          </w:p>
        </w:tc>
        <w:tc>
          <w:tcPr>
            <w:tcW w:type="dxa" w:w="6480"/>
          </w:tcPr>
          <w:p>
            <w:r>
              <w:rPr>
                <w:rFonts w:ascii="Arial" w:hAnsi="Arial"/>
                <w:b w:val="0"/>
                <w:i w:val="0"/>
                <w:color w:val="000000"/>
                <w:sz w:val="20"/>
              </w:rPr>
              <w:t>Confirmado por Aldrin directamente, o decisión ya cerrada por John como responsable técnico del proyecto.</w:t>
            </w:r>
          </w:p>
        </w:tc>
      </w:tr>
      <w:tr>
        <w:tc>
          <w:tcPr>
            <w:tcW w:type="dxa" w:w="2880"/>
          </w:tcPr>
          <w:p>
            <w:r>
              <w:rPr>
                <w:rFonts w:ascii="Arial" w:hAnsi="Arial"/>
                <w:b/>
                <w:i w:val="0"/>
                <w:color w:val="000000"/>
                <w:sz w:val="20"/>
              </w:rPr>
              <w:t>[PROPUESTA]</w:t>
            </w:r>
          </w:p>
        </w:tc>
        <w:tc>
          <w:tcPr>
            <w:tcW w:type="dxa" w:w="6480"/>
          </w:tcPr>
          <w:p>
            <w:r>
              <w:rPr>
                <w:rFonts w:ascii="Arial" w:hAnsi="Arial"/>
                <w:b w:val="0"/>
                <w:i w:val="0"/>
                <w:color w:val="000000"/>
                <w:sz w:val="20"/>
              </w:rPr>
              <w:t>Planteamiento del equipo de desarrollo, sujeto a validación o construcción futura.</w:t>
            </w:r>
          </w:p>
        </w:tc>
      </w:tr>
      <w:tr>
        <w:tc>
          <w:tcPr>
            <w:tcW w:type="dxa" w:w="2880"/>
          </w:tcPr>
          <w:p>
            <w:r>
              <w:rPr>
                <w:rFonts w:ascii="Arial" w:hAnsi="Arial"/>
                <w:b/>
                <w:i w:val="0"/>
                <w:color w:val="000000"/>
                <w:sz w:val="20"/>
              </w:rPr>
              <w:t>[PENDIENTE DE ALDRIN]</w:t>
            </w:r>
          </w:p>
        </w:tc>
        <w:tc>
          <w:tcPr>
            <w:tcW w:type="dxa" w:w="6480"/>
          </w:tcPr>
          <w:p>
            <w:r>
              <w:rPr>
                <w:rFonts w:ascii="Arial" w:hAnsi="Arial"/>
                <w:b w:val="0"/>
                <w:i w:val="0"/>
                <w:color w:val="000000"/>
                <w:sz w:val="20"/>
              </w:rPr>
              <w:t>Depende específicamente de que Aldrin la confirme o entregue documentación oficial.</w:t>
            </w:r>
          </w:p>
        </w:tc>
      </w:tr>
      <w:tr>
        <w:tc>
          <w:tcPr>
            <w:tcW w:type="dxa" w:w="2880"/>
          </w:tcPr>
          <w:p>
            <w:r>
              <w:rPr>
                <w:rFonts w:ascii="Arial" w:hAnsi="Arial"/>
                <w:b/>
                <w:i w:val="0"/>
                <w:color w:val="000000"/>
                <w:sz w:val="20"/>
              </w:rPr>
              <w:t>[PENDIENTE DE VERIFICACIÓN]</w:t>
            </w:r>
          </w:p>
        </w:tc>
        <w:tc>
          <w:tcPr>
            <w:tcW w:type="dxa" w:w="6480"/>
          </w:tcPr>
          <w:p>
            <w:r>
              <w:rPr>
                <w:rFonts w:ascii="Arial" w:hAnsi="Arial"/>
                <w:b w:val="0"/>
                <w:i w:val="0"/>
                <w:color w:val="000000"/>
                <w:sz w:val="20"/>
              </w:rPr>
              <w:t>El dato existe en una fuente, pero no se ha verificado directamente contra el documento original.</w:t>
            </w:r>
          </w:p>
        </w:tc>
      </w:tr>
      <w:tr>
        <w:tc>
          <w:tcPr>
            <w:tcW w:type="dxa" w:w="2880"/>
          </w:tcPr>
          <w:p>
            <w:r>
              <w:rPr>
                <w:rFonts w:ascii="Arial" w:hAnsi="Arial"/>
                <w:b/>
                <w:i w:val="0"/>
                <w:color w:val="000000"/>
                <w:sz w:val="20"/>
              </w:rPr>
              <w:t>[PENDIENTE DE VALIDACIÓN]</w:t>
            </w:r>
          </w:p>
        </w:tc>
        <w:tc>
          <w:tcPr>
            <w:tcW w:type="dxa" w:w="6480"/>
          </w:tcPr>
          <w:p>
            <w:r>
              <w:rPr>
                <w:rFonts w:ascii="Arial" w:hAnsi="Arial"/>
                <w:b w:val="0"/>
                <w:i w:val="0"/>
                <w:color w:val="000000"/>
                <w:sz w:val="20"/>
              </w:rPr>
              <w:t>Depende específicamente de que Viviana (secretaria del club) la confirme o entregue la información correspondiente.</w:t>
            </w:r>
          </w:p>
        </w:tc>
      </w:tr>
      <w:tr>
        <w:tc>
          <w:tcPr>
            <w:tcW w:type="dxa" w:w="2880"/>
          </w:tcPr>
          <w:p>
            <w:r>
              <w:rPr>
                <w:rFonts w:ascii="Arial" w:hAnsi="Arial"/>
                <w:b/>
                <w:i w:val="0"/>
                <w:color w:val="000000"/>
                <w:sz w:val="20"/>
              </w:rPr>
              <w:t>[PENDIENTE DE ESPECIFICAR]</w:t>
            </w:r>
          </w:p>
        </w:tc>
        <w:tc>
          <w:tcPr>
            <w:tcW w:type="dxa" w:w="6480"/>
          </w:tcPr>
          <w:p>
            <w:r>
              <w:rPr>
                <w:rFonts w:ascii="Arial" w:hAnsi="Arial"/>
                <w:b w:val="0"/>
                <w:i w:val="0"/>
                <w:color w:val="000000"/>
                <w:sz w:val="20"/>
              </w:rPr>
              <w:t>Exclusiva de este documento: la regla de origen ya está confirmada o decidida en Reglas de Negocio v0.3, pero su especificación técnica exacta (fórmula, flujo de estados, umbral, formato) aún no se ha definido.</w:t>
            </w:r>
          </w:p>
        </w:tc>
      </w:tr>
    </w:tbl>
    <w:p>
      <w:pPr>
        <w:spacing w:after="80"/>
      </w:pPr>
    </w:p>
    <w:p>
      <w:pPr>
        <w:spacing w:after="160"/>
      </w:pPr>
      <w:r>
        <w:rPr>
          <w:rFonts w:ascii="Arial" w:hAnsi="Arial"/>
          <w:b w:val="0"/>
          <w:i w:val="0"/>
          <w:color w:val="000000"/>
          <w:sz w:val="24"/>
        </w:rPr>
        <w:t>Ninguna sección marcada como [PENDIENTE DE ESPECIFICAR] debe tratarse como una especificación definitiva ni implementarse a partir de una suposición: el valor exacto se define en una pasada posterior sobre este documento.</w:t>
      </w:r>
    </w:p>
    <w:p>
      <w:pPr>
        <w:spacing w:after="200"/>
      </w:pPr>
      <w:r>
        <w:rPr>
          <w:rFonts w:ascii="Arial" w:hAnsi="Arial"/>
          <w:b w:val="0"/>
          <w:i/>
          <w:color w:val="000000"/>
          <w:sz w:val="20"/>
        </w:rPr>
        <w:t>Fuente: Reglas de Negocio v0.3 (documentacion/reglas_negocio/); inventario de las 994 líneas realizado por John el 26/09/2026.</w:t>
      </w:r>
    </w:p>
    <w:p>
      <w:pPr>
        <w:spacing w:before="320" w:after="160"/>
      </w:pPr>
      <w:r>
        <w:rPr>
          <w:rFonts w:ascii="Arial" w:hAnsi="Arial"/>
          <w:b/>
          <w:i w:val="0"/>
          <w:color w:val="000000"/>
          <w:sz w:val="28"/>
        </w:rPr>
        <w:t>A. Cálculos derivados</w:t>
      </w:r>
    </w:p>
    <w:p>
      <w:pPr>
        <w:spacing w:after="160"/>
      </w:pPr>
      <w:r>
        <w:rPr>
          <w:rFonts w:ascii="Arial" w:hAnsi="Arial"/>
          <w:b w:val="0"/>
          <w:i/>
          <w:color w:val="000000"/>
          <w:sz w:val="22"/>
        </w:rPr>
        <w:t>Reglas que implican una fórmula a partir de datos ya almacenados. Cada una necesita una especificación técnica precisa -- la fórmula exacta, redondeos y casos borde -- antes de poder implementarse.</w:t>
      </w:r>
    </w:p>
    <w:p>
      <w:pPr>
        <w:spacing w:before="200" w:after="60"/>
      </w:pPr>
      <w:r>
        <w:rPr>
          <w:rFonts w:ascii="Arial" w:hAnsi="Arial"/>
          <w:b/>
          <w:i w:val="0"/>
          <w:color w:val="000000"/>
          <w:sz w:val="24"/>
        </w:rPr>
        <w:t>A.1. RN-1.3 — Edad y categoría calculadas dinámicamente</w:t>
      </w:r>
    </w:p>
    <w:p>
      <w:pPr>
        <w:spacing w:after="80"/>
      </w:pPr>
      <w:r>
        <w:rPr>
          <w:rFonts w:ascii="Arial" w:hAnsi="Arial"/>
          <w:b/>
          <w:i w:val="0"/>
          <w:color w:val="000000"/>
          <w:sz w:val="24"/>
        </w:rPr>
        <w:t xml:space="preserve">Regla de origen (RN-1.3, Reglas de Negocio v0.3):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80"/>
      </w:pPr>
      <w:r>
        <w:rPr>
          <w:rFonts w:ascii="Arial" w:hAnsi="Arial"/>
          <w:b w:val="0"/>
          <w:i w:val="0"/>
          <w:color w:val="000000"/>
          <w:sz w:val="24"/>
        </w:rPr>
        <w:t>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hAnsi="Arial"/>
          <w:b w:val="0"/>
          <w:i w:val="0"/>
          <w:color w:val="000000"/>
          <w:sz w:val="24"/>
        </w:rPr>
        <w:t>Depende, además, de que se resuelva RN-3.8 (ver sección 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ESPECIFICAR] </w:t>
      </w:r>
    </w:p>
    <w:p>
      <w:pPr>
        <w:spacing w:before="200" w:after="60"/>
      </w:pPr>
      <w:r>
        <w:rPr>
          <w:rFonts w:ascii="Arial" w:hAnsi="Arial"/>
          <w:b/>
          <w:i w:val="0"/>
          <w:color w:val="000000"/>
          <w:sz w:val="24"/>
        </w:rPr>
        <w:t>A.2. RN-2.2 — Cálculo de permanencia</w:t>
      </w:r>
    </w:p>
    <w:p>
      <w:pPr>
        <w:spacing w:after="80"/>
      </w:pPr>
      <w:r>
        <w:rPr>
          <w:rFonts w:ascii="Arial" w:hAnsi="Arial"/>
          <w:b/>
          <w:i w:val="0"/>
          <w:color w:val="000000"/>
          <w:sz w:val="24"/>
        </w:rPr>
        <w:t xml:space="preserve">Regla de origen (RN-2.2,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permanencia del deportista en el club se calcula a partir del historial de pagos de mensualidad (meses efectivamente pagados), en vez de construir una estructura separada de periodos de pausa o inactividad.</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ESPECIFICAR] </w:t>
      </w:r>
    </w:p>
    <w:p>
      <w:pPr>
        <w:spacing w:before="200" w:after="60"/>
      </w:pPr>
      <w:r>
        <w:rPr>
          <w:rFonts w:ascii="Arial" w:hAnsi="Arial"/>
          <w:b/>
          <w:i w:val="0"/>
          <w:color w:val="000000"/>
          <w:sz w:val="24"/>
        </w:rPr>
        <w:t>A.3. RN-5.2 — Umbral de inasistencia para presentar examen</w:t>
      </w:r>
    </w:p>
    <w:p>
      <w:pPr>
        <w:spacing w:after="80"/>
      </w:pPr>
      <w:r>
        <w:rPr>
          <w:rFonts w:ascii="Arial" w:hAnsi="Arial"/>
          <w:b/>
          <w:i w:val="0"/>
          <w:color w:val="000000"/>
          <w:sz w:val="24"/>
        </w:rPr>
        <w:t xml:space="preserve">Regla de origen (RN-5.2,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hAnsi="Arial"/>
          <w:b w:val="0"/>
          <w:i w:val="0"/>
          <w:color w:val="000000"/>
          <w:sz w:val="24"/>
        </w:rPr>
        <w:t>El denominador exacto de sesiones del ciclo depende de RN-9.7 (el club entrena solo sábados y domingos).</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ESPECIFICAR] </w:t>
      </w:r>
    </w:p>
    <w:p>
      <w:pPr>
        <w:spacing w:before="200" w:after="60"/>
      </w:pPr>
      <w:r>
        <w:rPr>
          <w:rFonts w:ascii="Arial" w:hAnsi="Arial"/>
          <w:b/>
          <w:i w:val="0"/>
          <w:color w:val="000000"/>
          <w:sz w:val="24"/>
        </w:rPr>
        <w:t>A.4. RN-8.3 — Alerta de deuda sin mostrar valor monetario</w:t>
      </w:r>
    </w:p>
    <w:p>
      <w:pPr>
        <w:spacing w:after="80"/>
      </w:pPr>
      <w:r>
        <w:rPr>
          <w:rFonts w:ascii="Arial" w:hAnsi="Arial"/>
          <w:b/>
          <w:i w:val="0"/>
          <w:color w:val="000000"/>
          <w:sz w:val="24"/>
        </w:rPr>
        <w:t xml:space="preserve">Regla de origen (RN-8.3,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ESPECIFICAR] </w:t>
      </w:r>
    </w:p>
    <w:p>
      <w:pPr>
        <w:spacing w:before="200" w:after="60"/>
      </w:pPr>
      <w:r>
        <w:rPr>
          <w:rFonts w:ascii="Arial" w:hAnsi="Arial"/>
          <w:b/>
          <w:i w:val="0"/>
          <w:color w:val="000000"/>
          <w:sz w:val="24"/>
        </w:rPr>
        <w:t>A.5. RN-10.3 — Reporte prioritario: ficha consolidada</w:t>
      </w:r>
    </w:p>
    <w:p>
      <w:pPr>
        <w:spacing w:after="80"/>
      </w:pPr>
      <w:r>
        <w:rPr>
          <w:rFonts w:ascii="Arial" w:hAnsi="Arial"/>
          <w:b/>
          <w:i w:val="0"/>
          <w:color w:val="000000"/>
          <w:sz w:val="24"/>
        </w:rPr>
        <w:t xml:space="preserve">Regla de origen (RN-10.3,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único reporte prioritario definido hasta ahora es la ficha consolidada del deportista: datos personales (nombre, edad, categoría, peso, cinturón, condición de salud) junto con su nivel deportivo/aptitud para torneos y qué necesita mejorar.</w:t>
      </w:r>
    </w:p>
    <w:p>
      <w:pPr>
        <w:spacing w:after="160"/>
      </w:pPr>
      <w:r>
        <w:rPr>
          <w:rFonts w:ascii="Arial" w:hAnsi="Arial"/>
          <w:b w:val="0"/>
          <w:i w:val="0"/>
          <w:color w:val="000000"/>
          <w:sz w:val="24"/>
        </w:rPr>
        <w:t>Es una agregación de campos ya calculados en otros puntos de esta sección (A.1, A.2) y en el módulo de evaluaciones (ver sección B.1); no introduce un cálculo propio adicional.</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ESPECIFICAR] </w:t>
      </w:r>
    </w:p>
    <w:p>
      <w:pPr>
        <w:spacing w:before="320" w:after="160"/>
      </w:pPr>
      <w:r>
        <w:rPr>
          <w:rFonts w:ascii="Arial" w:hAnsi="Arial"/>
          <w:b/>
          <w:i w:val="0"/>
          <w:color w:val="000000"/>
          <w:sz w:val="28"/>
        </w:rPr>
        <w:t>B. Máquinas de estado</w:t>
      </w:r>
    </w:p>
    <w:p>
      <w:pPr>
        <w:spacing w:after="160"/>
      </w:pPr>
      <w:r>
        <w:rPr>
          <w:rFonts w:ascii="Arial" w:hAnsi="Arial"/>
          <w:b w:val="0"/>
          <w:i/>
          <w:color w:val="000000"/>
          <w:sz w:val="22"/>
        </w:rPr>
        <w:t>Reglas con un ciclo de vida de estados: necesitan definir los estados exactos, las transiciones permitidas entre ellos y qué evento dispara cada transición.</w:t>
      </w:r>
    </w:p>
    <w:p>
      <w:pPr>
        <w:spacing w:before="200" w:after="60"/>
      </w:pPr>
      <w:r>
        <w:rPr>
          <w:rFonts w:ascii="Arial" w:hAnsi="Arial"/>
          <w:b/>
          <w:i w:val="0"/>
          <w:color w:val="000000"/>
          <w:sz w:val="24"/>
        </w:rPr>
        <w:t>B.1. RN-5.5 — Creación de sesión de examen y registro de resultados por modalidad</w:t>
      </w:r>
    </w:p>
    <w:p>
      <w:pPr>
        <w:spacing w:after="80"/>
      </w:pPr>
      <w:r>
        <w:rPr>
          <w:rFonts w:ascii="Arial" w:hAnsi="Arial"/>
          <w:b/>
          <w:i w:val="0"/>
          <w:color w:val="000000"/>
          <w:sz w:val="24"/>
        </w:rPr>
        <w:t xml:space="preserve">Regla de origen (RN-5.5,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8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after="160"/>
      </w:pPr>
      <w:r>
        <w:rPr>
          <w:rFonts w:ascii="Arial" w:hAnsi="Arial"/>
          <w:b w:val="0"/>
          <w:i w:val="0"/>
          <w:color w:val="000000"/>
          <w:sz w:val="24"/>
        </w:rPr>
        <w:t>Ver también Documentación Técnica v0.1.4, sección 13 (detalle_evaluacion.aprobado): nulo hasta completar la modalidad; cuando es verdadero, actualiza deportista.grado_actual -- marcado como PROPUESTA y referenciado a RN-10.3 en esa tabla, pendiente de confirmar exactamente cuándo se considera "completa" una sesión completa (¿todas las modalidades en completado, o basta con las que aplican al grado evaluado?).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ESPECIFICAR] </w:t>
      </w:r>
    </w:p>
    <w:p>
      <w:pPr>
        <w:spacing w:before="200" w:after="60"/>
      </w:pPr>
      <w:r>
        <w:rPr>
          <w:rFonts w:ascii="Arial" w:hAnsi="Arial"/>
          <w:b/>
          <w:i w:val="0"/>
          <w:color w:val="000000"/>
          <w:sz w:val="24"/>
        </w:rPr>
        <w:t>B.2. RN-6.3 / RN-6.6 — Ventana de autorregistro: editable → bloqueada al confirmar "Guardar cambios"</w:t>
      </w:r>
    </w:p>
    <w:p>
      <w:pPr>
        <w:spacing w:after="80"/>
      </w:pPr>
      <w:r>
        <w:rPr>
          <w:rFonts w:ascii="Arial" w:hAnsi="Arial"/>
          <w:b/>
          <w:i w:val="0"/>
          <w:color w:val="000000"/>
          <w:sz w:val="24"/>
        </w:rPr>
        <w:t xml:space="preserve">Regla de origen (RN-6.3,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80"/>
      </w:pPr>
      <w:r>
        <w:rPr>
          <w:rFonts w:ascii="Arial" w:hAnsi="Arial"/>
          <w:b/>
          <w:i w:val="0"/>
          <w:color w:val="000000"/>
          <w:sz w:val="24"/>
        </w:rPr>
        <w:t xml:space="preserve">Regla de origen (RN-6.6,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 En el canal de carga directa, el espacio temporal queda bloqueado definitivamente solo al confirmar "Guardar cambios", momento en el que aplica el mismo límite de la ventana de autorregistro.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ESPECIFICAR] </w:t>
      </w:r>
    </w:p>
    <w:p>
      <w:pPr>
        <w:spacing w:before="200" w:after="60"/>
      </w:pPr>
      <w:r>
        <w:rPr>
          <w:rFonts w:ascii="Arial" w:hAnsi="Arial"/>
          <w:b/>
          <w:i w:val="0"/>
          <w:color w:val="000000"/>
          <w:sz w:val="24"/>
        </w:rPr>
        <w:t>B.3. RN-T.12 — Recuperación de contraseña por enlace de un solo uso</w:t>
      </w:r>
    </w:p>
    <w:p>
      <w:pPr>
        <w:spacing w:after="80"/>
      </w:pPr>
      <w:r>
        <w:rPr>
          <w:rFonts w:ascii="Arial" w:hAnsi="Arial"/>
          <w:b/>
          <w:i w:val="0"/>
          <w:color w:val="000000"/>
          <w:sz w:val="24"/>
        </w:rPr>
        <w:t xml:space="preserve">Regla de origen (RN-T.12,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ESPECIFICAR] </w:t>
      </w:r>
    </w:p>
    <w:p>
      <w:pPr>
        <w:spacing w:before="200" w:after="60"/>
      </w:pPr>
      <w:r>
        <w:rPr>
          <w:rFonts w:ascii="Arial" w:hAnsi="Arial"/>
          <w:b/>
          <w:i w:val="0"/>
          <w:color w:val="000000"/>
          <w:sz w:val="24"/>
        </w:rPr>
        <w:t>B.4. RN-T.14 — Autorregistro de deportistas y tutores</w:t>
      </w:r>
    </w:p>
    <w:p>
      <w:pPr>
        <w:spacing w:after="80"/>
      </w:pPr>
      <w:r>
        <w:rPr>
          <w:rFonts w:ascii="Arial" w:hAnsi="Arial"/>
          <w:b/>
          <w:i w:val="0"/>
          <w:color w:val="000000"/>
          <w:sz w:val="24"/>
        </w:rPr>
        <w:t xml:space="preserve">Regla de origen (RN-T.14,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16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ESPECIFICAR] </w:t>
      </w:r>
    </w:p>
    <w:p>
      <w:pPr>
        <w:spacing w:before="320" w:after="160"/>
      </w:pPr>
      <w:r>
        <w:rPr>
          <w:rFonts w:ascii="Arial" w:hAnsi="Arial"/>
          <w:b/>
          <w:i w:val="0"/>
          <w:color w:val="000000"/>
          <w:sz w:val="28"/>
        </w:rPr>
        <w:t>C. Reglas de autorización</w:t>
      </w:r>
    </w:p>
    <w:p>
      <w:pPr>
        <w:spacing w:after="160"/>
      </w:pPr>
      <w:r>
        <w:rPr>
          <w:rFonts w:ascii="Arial" w:hAnsi="Arial"/>
          <w:b w:val="0"/>
          <w:i/>
          <w:color w:val="000000"/>
          <w:sz w:val="22"/>
        </w:rPr>
        <w:t>Quién puede ver o editar qué. Cada regla necesita traducirse en un chequeo de permisos concreto en el backend (por rol/vista, no por módulo).</w:t>
      </w:r>
    </w:p>
    <w:p>
      <w:pPr>
        <w:spacing w:before="200" w:after="60"/>
      </w:pPr>
      <w:r>
        <w:rPr>
          <w:rFonts w:ascii="Arial" w:hAnsi="Arial"/>
          <w:b/>
          <w:i w:val="0"/>
          <w:color w:val="000000"/>
          <w:sz w:val="24"/>
        </w:rPr>
        <w:t>C.1. RN-1.4 / RN-T.3 — Vista pública: solo edita peso y discapacidad/condición de salud</w:t>
      </w:r>
    </w:p>
    <w:p>
      <w:pPr>
        <w:spacing w:after="80"/>
      </w:pPr>
      <w:r>
        <w:rPr>
          <w:rFonts w:ascii="Arial" w:hAnsi="Arial"/>
          <w:b/>
          <w:i w:val="0"/>
          <w:color w:val="000000"/>
          <w:sz w:val="24"/>
        </w:rPr>
        <w:t xml:space="preserve">Regla de origen (RN-1.4,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administrativa puede editar cualquier dato del deportista. La vista pública (el propio deportista, si es mayor de edad, o su acudiente/representante, si es menor) solo puede editar dos campos: peso y discapacidad / condición de salud.</w:t>
      </w:r>
    </w:p>
    <w:p>
      <w:pPr>
        <w:spacing w:after="80"/>
      </w:pPr>
      <w:r>
        <w:rPr>
          <w:rFonts w:ascii="Arial" w:hAnsi="Arial"/>
          <w:b/>
          <w:i w:val="0"/>
          <w:color w:val="000000"/>
          <w:sz w:val="24"/>
        </w:rPr>
        <w:t xml:space="preserve">Regla de origen (RN-T.3,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deportista (si es mayor de edad) o su representante legal/acudiente (si es menor) accede a su propia información: formulario de registro para nuevos ingresos, estado de mensualidad y matrícula, alerta de vencimiento, y edición de peso y discapacidad/condición de salud.</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ESPECIFICAR] </w:t>
      </w:r>
    </w:p>
    <w:p>
      <w:pPr>
        <w:spacing w:before="200" w:after="60"/>
      </w:pPr>
      <w:r>
        <w:rPr>
          <w:rFonts w:ascii="Arial" w:hAnsi="Arial"/>
          <w:b/>
          <w:i w:val="0"/>
          <w:color w:val="000000"/>
          <w:sz w:val="24"/>
        </w:rPr>
        <w:t>C.2. RN-T.2 — Vista administrativa unificada, sin permisos granulares</w:t>
      </w:r>
    </w:p>
    <w:p>
      <w:pPr>
        <w:spacing w:after="80"/>
      </w:pPr>
      <w:r>
        <w:rPr>
          <w:rFonts w:ascii="Arial" w:hAnsi="Arial"/>
          <w:b/>
          <w:i w:val="0"/>
          <w:color w:val="000000"/>
          <w:sz w:val="24"/>
        </w:rPr>
        <w:t xml:space="preserve">Regla de origen (RN-T.2,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ESPECIFICAR] </w:t>
      </w:r>
    </w:p>
    <w:p>
      <w:pPr>
        <w:spacing w:before="200" w:after="60"/>
      </w:pPr>
      <w:r>
        <w:rPr>
          <w:rFonts w:ascii="Arial" w:hAnsi="Arial"/>
          <w:b/>
          <w:i w:val="0"/>
          <w:color w:val="000000"/>
          <w:sz w:val="24"/>
        </w:rPr>
        <w:t>C.3. RN-T.10 / RN-T.11 — Solo Aldrin gestiona cuentas administrativas</w:t>
      </w:r>
    </w:p>
    <w:p>
      <w:pPr>
        <w:spacing w:after="80"/>
      </w:pPr>
      <w:r>
        <w:rPr>
          <w:rFonts w:ascii="Arial" w:hAnsi="Arial"/>
          <w:b/>
          <w:i w:val="0"/>
          <w:color w:val="000000"/>
          <w:sz w:val="24"/>
        </w:rPr>
        <w:t xml:space="preserve">Regla de origen (RN-T.10,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80"/>
      </w:pPr>
      <w:r>
        <w:rPr>
          <w:rFonts w:ascii="Arial" w:hAnsi="Arial"/>
          <w:b/>
          <w:i w:val="0"/>
          <w:color w:val="000000"/>
          <w:sz w:val="24"/>
        </w:rPr>
        <w:t xml:space="preserve">Regla de origen (RN-T.11,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Aldrin, como administrador principal, es el único con capacidad de gestionar las cuentas del equipo administrativo: alta, edición y baja.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ESPECIFICAR] </w:t>
      </w:r>
    </w:p>
    <w:p>
      <w:pPr>
        <w:spacing w:before="200" w:after="60"/>
      </w:pPr>
      <w:r>
        <w:rPr>
          <w:rFonts w:ascii="Arial" w:hAnsi="Arial"/>
          <w:b/>
          <w:i w:val="0"/>
          <w:color w:val="000000"/>
          <w:sz w:val="24"/>
        </w:rPr>
        <w:t>C.4. RN-6.3 — Documentos: administrativo sin restricción, deportista/tutor solo durante la ventana de autorregistro</w:t>
      </w:r>
    </w:p>
    <w:p>
      <w:pPr>
        <w:spacing w:after="80"/>
      </w:pPr>
      <w:r>
        <w:rPr>
          <w:rFonts w:ascii="Arial" w:hAnsi="Arial"/>
          <w:b/>
          <w:i w:val="0"/>
          <w:color w:val="000000"/>
          <w:sz w:val="24"/>
        </w:rPr>
        <w:t xml:space="preserve">Regla de origen (RN-6.3,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El deportista/tutor solo puede cargar o modificar sus documentos durante la ventana de autorregistro inicial (ver RN-T.14).</w:t>
      </w:r>
    </w:p>
    <w:p>
      <w:pPr>
        <w:spacing w:after="160"/>
      </w:pPr>
      <w:r>
        <w:rPr>
          <w:rFonts w:ascii="Arial" w:hAnsi="Arial"/>
          <w:b w:val="0"/>
          <w:i w:val="0"/>
          <w:color w:val="000000"/>
          <w:sz w:val="24"/>
        </w:rPr>
        <w:t>Esta misma regla ya aparece en la sección B (B.2) desde el ángulo de máquina de estados; aquí se cita desde el ángulo de autorización -- ambas comparten una sola especificación técnica, no dos.</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ESPECIFICAR] </w:t>
      </w:r>
    </w:p>
    <w:p>
      <w:pPr>
        <w:spacing w:before="320" w:after="160"/>
      </w:pPr>
      <w:r>
        <w:rPr>
          <w:rFonts w:ascii="Arial" w:hAnsi="Arial"/>
          <w:b/>
          <w:i w:val="0"/>
          <w:color w:val="000000"/>
          <w:sz w:val="28"/>
        </w:rPr>
        <w:t>D. Procesos de importación</w:t>
      </w:r>
    </w:p>
    <w:p>
      <w:pPr>
        <w:spacing w:after="160"/>
      </w:pPr>
      <w:r>
        <w:rPr>
          <w:rFonts w:ascii="Arial" w:hAnsi="Arial"/>
          <w:b w:val="0"/>
          <w:i/>
          <w:color w:val="000000"/>
          <w:sz w:val="22"/>
        </w:rPr>
        <w:t>Carga masiva vía Excel/CSV. Ambas reglas comparten el mismo mecanismo -- el mismo patrón de plantilla Excel exportada a CSV -- así que comparten una sola especificación técnica en vez de dos.</w:t>
      </w:r>
    </w:p>
    <w:p>
      <w:pPr>
        <w:spacing w:before="200" w:after="60"/>
      </w:pPr>
      <w:r>
        <w:rPr>
          <w:rFonts w:ascii="Arial" w:hAnsi="Arial"/>
          <w:b/>
          <w:i w:val="0"/>
          <w:color w:val="000000"/>
          <w:sz w:val="24"/>
        </w:rPr>
        <w:t>D.1. RN-1.7 — Carga masiva de deportistas</w:t>
      </w:r>
    </w:p>
    <w:p>
      <w:pPr>
        <w:spacing w:after="80"/>
      </w:pPr>
      <w:r>
        <w:rPr>
          <w:rFonts w:ascii="Arial" w:hAnsi="Arial"/>
          <w:b/>
          <w:i w:val="0"/>
          <w:color w:val="000000"/>
          <w:sz w:val="24"/>
        </w:rPr>
        <w:t xml:space="preserve">Regla de origen (RN-1.7,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w:t>
      </w:r>
    </w:p>
    <w:p>
      <w:pPr>
        <w:spacing w:before="200" w:after="60"/>
      </w:pPr>
      <w:r>
        <w:rPr>
          <w:rFonts w:ascii="Arial" w:hAnsi="Arial"/>
          <w:b/>
          <w:i w:val="0"/>
          <w:color w:val="000000"/>
          <w:sz w:val="24"/>
        </w:rPr>
        <w:t>D.2. RN-9.6 — Carga anual vía plantilla</w:t>
      </w:r>
    </w:p>
    <w:p>
      <w:pPr>
        <w:spacing w:after="80"/>
      </w:pPr>
      <w:r>
        <w:rPr>
          <w:rFonts w:ascii="Arial" w:hAnsi="Arial"/>
          <w:b/>
          <w:i w:val="0"/>
          <w:color w:val="000000"/>
          <w:sz w:val="24"/>
        </w:rPr>
        <w:t xml:space="preserve">Regla de origen (RN-9.6,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160"/>
      </w:pPr>
      <w:r>
        <w:rPr>
          <w:rFonts w:ascii="Arial" w:hAnsi="Arial"/>
          <w:b w:val="0"/>
          <w:i w:val="0"/>
          <w:color w:val="000000"/>
          <w:sz w:val="24"/>
        </w:rPr>
        <w:t>RN-1.7 y RN-9.6 comparten el mismo mecanismo de importación (plantilla Excel → CSV → carga en bloque); la especificación técnica se define una sola vez para ambas -- formato exacto de columnas, validaciones de fila y manejo de errores de importación.</w:t>
      </w:r>
    </w:p>
    <w:p>
      <w:pPr>
        <w:spacing w:before="60" w:after="60"/>
      </w:pPr>
      <w:r>
        <w:rPr>
          <w:rFonts w:ascii="Arial" w:hAnsi="Arial"/>
          <w:b/>
          <w:i w:val="0"/>
          <w:color w:val="000000"/>
          <w:sz w:val="24"/>
        </w:rPr>
        <w:t>Especificación técnica (compartida entre D.1 y D.2)</w:t>
      </w:r>
    </w:p>
    <w:p>
      <w:pPr>
        <w:spacing w:after="80"/>
      </w:pPr>
      <w:r>
        <w:rPr>
          <w:rFonts w:ascii="Arial" w:hAnsi="Arial"/>
          <w:b/>
          <w:i w:val="0"/>
          <w:color w:val="000000"/>
          <w:sz w:val="24"/>
        </w:rPr>
        <w:t xml:space="preserve">[PENDIENTE DE ESPECIFICAR] </w:t>
      </w:r>
    </w:p>
    <w:p>
      <w:pPr>
        <w:spacing w:before="320" w:after="160"/>
      </w:pPr>
      <w:r>
        <w:rPr>
          <w:rFonts w:ascii="Arial" w:hAnsi="Arial"/>
          <w:b/>
          <w:i w:val="0"/>
          <w:color w:val="000000"/>
          <w:sz w:val="28"/>
        </w:rPr>
        <w:t>E. Bloqueadas por falta de insumo</w:t>
      </w:r>
    </w:p>
    <w:p>
      <w:pPr>
        <w:spacing w:after="160"/>
      </w:pPr>
      <w:r>
        <w:rPr>
          <w:rFonts w:ascii="Arial" w:hAnsi="Arial"/>
          <w:b w:val="0"/>
          <w:i/>
          <w:color w:val="000000"/>
          <w:sz w:val="22"/>
        </w:rPr>
        <w:t>Puntos trasladados sin cambios de contenido desde Reglas de Negocio v0.3. No llevan todavía sección de especificación técnica: cada uno queda marcado solo con el punto de extensión y a quién le corresponde resolverlo.</w:t>
      </w:r>
    </w:p>
    <w:p>
      <w:pPr>
        <w:spacing w:before="200" w:after="60"/>
      </w:pPr>
      <w:r>
        <w:rPr>
          <w:rFonts w:ascii="Arial" w:hAnsi="Arial"/>
          <w:b/>
          <w:i w:val="0"/>
          <w:color w:val="000000"/>
          <w:sz w:val="24"/>
        </w:rPr>
        <w:t>E.1. RN-2.5 — Tiempos mínimos de entrenamiento entre ascensos</w:t>
      </w:r>
    </w:p>
    <w:p>
      <w:pPr>
        <w:spacing w:after="80"/>
      </w:pPr>
      <w:r>
        <w:rPr>
          <w:rFonts w:ascii="Arial" w:hAnsi="Arial"/>
          <w:b/>
          <w:i w:val="0"/>
          <w:color w:val="000000"/>
          <w:sz w:val="24"/>
        </w:rPr>
        <w:t xml:space="preserve">Regla de origen (RN-2.5, Reglas de Negocio v0.3): </w:t>
      </w:r>
      <w:r>
        <w:rPr>
          <w:rFonts w:ascii="Arial" w:hAnsi="Arial"/>
          <w:b w:val="0"/>
          <w:i w:val="0"/>
          <w:color w:val="000000"/>
          <w:sz w:val="24"/>
        </w:rPr>
      </w:r>
    </w:p>
    <w:p>
      <w:pPr>
        <w:spacing w:after="80"/>
      </w:pPr>
      <w:r>
        <w:rPr>
          <w:rFonts w:ascii="Arial" w:hAnsi="Arial"/>
          <w:b/>
          <w:i w:val="0"/>
          <w:color w:val="000000"/>
          <w:sz w:val="24"/>
        </w:rPr>
        <w:t xml:space="preserve">[PENDIENTE DE VALIDACIÓN / PENDIENTE DE ALDRIN] </w:t>
      </w:r>
    </w:p>
    <w:p>
      <w:pPr>
        <w:spacing w:after="80"/>
      </w:pPr>
      <w:r>
        <w:rPr>
          <w:rFonts w:ascii="Arial" w:hAnsi="Arial"/>
          <w:b w:val="0"/>
          <w:i w:val="0"/>
          <w:color w:val="000000"/>
          <w:sz w:val="24"/>
        </w:rPr>
        <w:t>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 Este dato proviene de la experiencia personal de John en el club, no de un documento oficial, por lo que debe confirmarse antes de tratarse como regla oficial.</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 y Viviana (consulta ya en curso con ambos).</w:t>
      </w:r>
    </w:p>
    <w:p>
      <w:pPr>
        <w:spacing w:before="200" w:after="60"/>
      </w:pPr>
      <w:r>
        <w:rPr>
          <w:rFonts w:ascii="Arial" w:hAnsi="Arial"/>
          <w:b/>
          <w:i w:val="0"/>
          <w:color w:val="000000"/>
          <w:sz w:val="24"/>
        </w:rPr>
        <w:t>E.2. RN-3.8 — Categorías oficiales por edad y peso — parte de pesos menores de 16 años</w:t>
      </w:r>
    </w:p>
    <w:p>
      <w:pPr>
        <w:spacing w:after="80"/>
      </w:pPr>
      <w:r>
        <w:rPr>
          <w:rFonts w:ascii="Arial" w:hAnsi="Arial"/>
          <w:b/>
          <w:i w:val="0"/>
          <w:color w:val="000000"/>
          <w:sz w:val="24"/>
        </w:rPr>
        <w:t xml:space="preserve">Regla de origen (RN-3.8, Reglas de Negocio v0.3): </w:t>
      </w:r>
      <w:r>
        <w:rPr>
          <w:rFonts w:ascii="Arial" w:hAnsi="Arial"/>
          <w:b w:val="0"/>
          <w:i w:val="0"/>
          <w:color w:val="000000"/>
          <w:sz w:val="24"/>
        </w:rPr>
      </w:r>
    </w:p>
    <w:p>
      <w:pPr>
        <w:spacing w:after="80"/>
      </w:pPr>
      <w:r>
        <w:rPr>
          <w:rFonts w:ascii="Arial" w:hAnsi="Arial"/>
          <w:b/>
          <w:i w:val="0"/>
          <w:color w:val="000000"/>
          <w:sz w:val="24"/>
        </w:rPr>
        <w:t xml:space="preserve">[PENDIENTE DE VALIDACIÓN] </w:t>
      </w:r>
    </w:p>
    <w:p>
      <w:pPr>
        <w:spacing w:after="80"/>
      </w:pPr>
      <w:r>
        <w:rPr>
          <w:rFonts w:ascii="Arial" w:hAnsi="Arial"/>
          <w:b w:val="0"/>
          <w:i w:val="0"/>
          <w:color w:val="000000"/>
          <w:sz w:val="24"/>
        </w:rPr>
        <w:t>Categorías de peso por edad, para las categorías menores de 16 años: solo existe tabla oficial de pesos para la categoría avanzada (16 años en adelante). Consultado con Viviana (secretaria del club); los pesos por edad para las categorías menores de 16 años quedan pendientes de su validación. (La parte de categorías por edad de esta misma regla ya está CONFIRMADO y no forma parte de este punto -- ver sección A.1.)</w:t>
      </w:r>
    </w:p>
    <w:p>
      <w:pPr>
        <w:spacing w:after="80"/>
      </w:pPr>
      <w:r>
        <w:rPr>
          <w:rFonts w:ascii="Arial" w:hAnsi="Arial"/>
          <w:b/>
          <w:i w:val="0"/>
          <w:color w:val="000000"/>
          <w:sz w:val="24"/>
        </w:rPr>
        <w:t xml:space="preserve">Punto de extensión: </w:t>
      </w:r>
      <w:r>
        <w:rPr>
          <w:rFonts w:ascii="Arial" w:hAnsi="Arial"/>
          <w:b w:val="0"/>
          <w:i w:val="0"/>
          <w:color w:val="000000"/>
          <w:sz w:val="24"/>
        </w:rPr>
        <w:t>pendiente de Viviana.</w:t>
      </w:r>
    </w:p>
    <w:p>
      <w:pPr>
        <w:spacing w:before="200" w:after="60"/>
      </w:pPr>
      <w:r>
        <w:rPr>
          <w:rFonts w:ascii="Arial" w:hAnsi="Arial"/>
          <w:b/>
          <w:i w:val="0"/>
          <w:color w:val="000000"/>
          <w:sz w:val="24"/>
        </w:rPr>
        <w:t>E.3. RN-4.4 — Evaluación cualitativa periódica</w:t>
      </w:r>
    </w:p>
    <w:p>
      <w:pPr>
        <w:spacing w:after="80"/>
      </w:pPr>
      <w:r>
        <w:rPr>
          <w:rFonts w:ascii="Arial" w:hAnsi="Arial"/>
          <w:b/>
          <w:i w:val="0"/>
          <w:color w:val="000000"/>
          <w:sz w:val="24"/>
        </w:rPr>
        <w:t xml:space="preserve">Regla de origen (RN-4.4, Reglas de Negocio v0.3): </w:t>
      </w:r>
      <w:r>
        <w:rPr>
          <w:rFonts w:ascii="Arial" w:hAnsi="Arial"/>
          <w:b w:val="0"/>
          <w:i w:val="0"/>
          <w:color w:val="000000"/>
          <w:sz w:val="24"/>
        </w:rPr>
      </w:r>
    </w:p>
    <w:p>
      <w:pPr>
        <w:spacing w:after="80"/>
      </w:pPr>
      <w:r>
        <w:rPr>
          <w:rFonts w:ascii="Arial" w:hAnsi="Arial"/>
          <w:b/>
          <w:i w:val="0"/>
          <w:color w:val="000000"/>
          <w:sz w:val="24"/>
        </w:rPr>
        <w:t xml:space="preserve">[PENDIENTE DE ALDRIN] </w:t>
      </w:r>
    </w:p>
    <w:p>
      <w:pPr>
        <w:spacing w:after="80"/>
      </w:pPr>
      <w:r>
        <w:rPr>
          <w:rFonts w:ascii="Arial" w:hAnsi="Arial"/>
          <w:b w:val="0"/>
          <w:i w:val="0"/>
          <w:color w:val="000000"/>
          <w:sz w:val="24"/>
        </w:rPr>
        <w:t>Se explora un sistema de evaluación cualitativa donde Aldrin calificaría al deportista periódicamente (por ejemplo, trimestralmente) sobre unas "preguntas base" con una escala (1 a 5, o 1 a 10), graficadas en el tiempo para visualizar mejora o desmejora. Las preguntas o criterios base son subjetivos y propios del club: deben salir de Aldrin, no se inventan.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E.4. RN-5.1 / RN-5.3 — Plantilla oficial de examen de ascenso</w:t>
      </w:r>
    </w:p>
    <w:p>
      <w:pPr>
        <w:spacing w:after="80"/>
      </w:pPr>
      <w:r>
        <w:rPr>
          <w:rFonts w:ascii="Arial" w:hAnsi="Arial"/>
          <w:b/>
          <w:i w:val="0"/>
          <w:color w:val="000000"/>
          <w:sz w:val="24"/>
        </w:rPr>
        <w:t xml:space="preserve">Regla de origen (RN-5.1, Reglas de Negocio v0.3):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En cuanto Aldrin envíe la plantilla oficial de examen de ascenso, se hace una transcripción literal de sus campos al sistema: fecha, grado evaluado, resultado, criterios evaluados, puntajes, aspectos fallidos, observaciones, recomendaciones, aprobado sí/no. No se inventa una estructura propia más allá de estos campos.</w:t>
      </w:r>
    </w:p>
    <w:p>
      <w:pPr>
        <w:spacing w:after="80"/>
      </w:pPr>
      <w:r>
        <w:rPr>
          <w:rFonts w:ascii="Arial" w:hAnsi="Arial"/>
          <w:b/>
          <w:i w:val="0"/>
          <w:color w:val="000000"/>
          <w:sz w:val="24"/>
        </w:rPr>
        <w:t xml:space="preserve">Regla de origen (RN-5.3, Reglas de Negocio v0.3): </w:t>
      </w:r>
      <w:r>
        <w:rPr>
          <w:rFonts w:ascii="Arial" w:hAnsi="Arial"/>
          <w:b w:val="0"/>
          <w:i w:val="0"/>
          <w:color w:val="000000"/>
          <w:sz w:val="24"/>
        </w:rPr>
      </w:r>
    </w:p>
    <w:p>
      <w:pPr>
        <w:spacing w:after="80"/>
      </w:pPr>
      <w:r>
        <w:rPr>
          <w:rFonts w:ascii="Arial" w:hAnsi="Arial"/>
          <w:b/>
          <w:i w:val="0"/>
          <w:color w:val="000000"/>
          <w:sz w:val="24"/>
        </w:rPr>
        <w:t xml:space="preserve">[PENDIENTE DE ALDRIN] </w:t>
      </w:r>
    </w:p>
    <w:p>
      <w:pPr>
        <w:spacing w:after="160"/>
      </w:pPr>
      <w:r>
        <w:rPr>
          <w:rFonts w:ascii="Arial" w:hAnsi="Arial"/>
          <w:b w:val="0"/>
          <w:i w:val="0"/>
          <w:color w:val="000000"/>
          <w:sz w:val="24"/>
        </w:rPr>
        <w:t>La plantilla oficial de evaluación de examen de ascenso, con sus criterios y puntajes definitivos por grado, aún no ha sido entregada por Aldrin.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E.5. RN-6.5 — Consentimientos específicos</w:t>
      </w:r>
    </w:p>
    <w:p>
      <w:pPr>
        <w:spacing w:after="80"/>
      </w:pPr>
      <w:r>
        <w:rPr>
          <w:rFonts w:ascii="Arial" w:hAnsi="Arial"/>
          <w:b/>
          <w:i w:val="0"/>
          <w:color w:val="000000"/>
          <w:sz w:val="24"/>
        </w:rPr>
        <w:t xml:space="preserve">Regla de origen (RN-6.5, Reglas de Negocio v0.3): </w:t>
      </w:r>
      <w:r>
        <w:rPr>
          <w:rFonts w:ascii="Arial" w:hAnsi="Arial"/>
          <w:b w:val="0"/>
          <w:i w:val="0"/>
          <w:color w:val="000000"/>
          <w:sz w:val="24"/>
        </w:rPr>
      </w:r>
    </w:p>
    <w:p>
      <w:pPr>
        <w:spacing w:after="80"/>
      </w:pPr>
      <w:r>
        <w:rPr>
          <w:rFonts w:ascii="Arial" w:hAnsi="Arial"/>
          <w:b/>
          <w:i w:val="0"/>
          <w:color w:val="000000"/>
          <w:sz w:val="24"/>
        </w:rPr>
        <w:t xml:space="preserve">[PENDIENTE DE ALDRIN] </w:t>
      </w:r>
    </w:p>
    <w:p>
      <w:pPr>
        <w:spacing w:after="80"/>
      </w:pPr>
      <w:r>
        <w:rPr>
          <w:rFonts w:ascii="Arial" w:hAnsi="Arial"/>
          <w:b w:val="0"/>
          <w:i w:val="0"/>
          <w:color w:val="000000"/>
          <w:sz w:val="24"/>
        </w:rPr>
        <w:t>Falta confirmar con Aldrin la lista exacta de consentimientos específicos requeridos, más allá de la autorización general de datos (RN-1.8/RN-T.9) -- por ejemplo, un consentimiento del padre o acudiente para que un menor participe en un torneo de combate, asumiendo el riesgo de lesión.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E.6. RN-8.6 / RN-8.7 — Reglas de mora</w:t>
      </w:r>
    </w:p>
    <w:p>
      <w:pPr>
        <w:spacing w:after="80"/>
      </w:pPr>
      <w:r>
        <w:rPr>
          <w:rFonts w:ascii="Arial" w:hAnsi="Arial"/>
          <w:b/>
          <w:i w:val="0"/>
          <w:color w:val="000000"/>
          <w:sz w:val="24"/>
        </w:rPr>
        <w:t xml:space="preserve">Regla de origen (RN-8.6, Reglas de Negocio v0.3):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80"/>
      </w:pPr>
      <w:r>
        <w:rPr>
          <w:rFonts w:ascii="Arial" w:hAnsi="Arial"/>
          <w:b w:val="0"/>
          <w:i w:val="0"/>
          <w:color w:val="000000"/>
          <w:sz w:val="24"/>
        </w:rPr>
        <w:t>Por defecto, el sistema solo mostraría una advertencia/alerta ante mora, nunca un bloqueo automático del deportista.</w:t>
      </w:r>
    </w:p>
    <w:p>
      <w:pPr>
        <w:spacing w:after="80"/>
      </w:pPr>
      <w:r>
        <w:rPr>
          <w:rFonts w:ascii="Arial" w:hAnsi="Arial"/>
          <w:b/>
          <w:i w:val="0"/>
          <w:color w:val="000000"/>
          <w:sz w:val="24"/>
        </w:rPr>
        <w:t xml:space="preserve">Regla de origen (RN-8.7, Reglas de Negocio v0.3): </w:t>
      </w:r>
      <w:r>
        <w:rPr>
          <w:rFonts w:ascii="Arial" w:hAnsi="Arial"/>
          <w:b w:val="0"/>
          <w:i w:val="0"/>
          <w:color w:val="000000"/>
          <w:sz w:val="24"/>
        </w:rPr>
      </w:r>
    </w:p>
    <w:p>
      <w:pPr>
        <w:spacing w:after="80"/>
      </w:pPr>
      <w:r>
        <w:rPr>
          <w:rFonts w:ascii="Arial" w:hAnsi="Arial"/>
          <w:b/>
          <w:i w:val="0"/>
          <w:color w:val="000000"/>
          <w:sz w:val="24"/>
        </w:rPr>
        <w:t xml:space="preserve">[PENDIENTE DE ALDRIN] </w:t>
      </w:r>
    </w:p>
    <w:p>
      <w:pPr>
        <w:spacing w:after="160"/>
      </w:pPr>
      <w:r>
        <w:rPr>
          <w:rFonts w:ascii="Arial" w:hAnsi="Arial"/>
          <w:b w:val="0"/>
          <w:i w:val="0"/>
          <w:color w:val="000000"/>
          <w:sz w:val="24"/>
        </w:rPr>
        <w:t>Falta confirmar con Aldrin si debe existir alguna consecuencia concreta tras una mora prolongada, más allá de la alerta descrita en RN-8.3.</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 -- explícitamente diferido al final del proyecto, no prioritario ahora (agrupado con RN-4.4 en Reglas de Negocio v0.3).</w:t>
      </w:r>
    </w:p>
    <w:p>
      <w:pPr>
        <w:spacing w:before="320" w:after="160"/>
      </w:pPr>
      <w:r>
        <w:rPr>
          <w:rFonts w:ascii="Arial" w:hAnsi="Arial"/>
          <w:b/>
          <w:i w:val="0"/>
          <w:color w:val="000000"/>
          <w:sz w:val="28"/>
        </w:rPr>
        <w:t>Cierre</w:t>
      </w:r>
    </w:p>
    <w:p>
      <w:pPr>
        <w:spacing w:after="160"/>
      </w:pPr>
      <w:r>
        <w:rPr>
          <w:rFonts w:ascii="Arial" w:hAnsi="Arial"/>
          <w:b w:val="0"/>
          <w:i w:val="0"/>
          <w:color w:val="000000"/>
          <w:sz w:val="24"/>
        </w:rPr>
        <w:t>Este documento se completa progresivamente conforme se cierre cada punto de las secciones A a D: cada [PENDIENTE DE ESPECIFICAR] se reemplaza por la especificación técnica exacta (fórmula, flujo de estados, formato de importación) a medida que se define en el chat técnico. La sección E se traslada aquí desde Reglas de Negocio v0.3 sin cambios de contenido -- sigue bloqueada por falta del mismo insumo (Aldrin o Viviana) descrito en esa misma regla, y se cierra solo cuando Reglas de Negocio v0.3 también se actualice con la confirmación correspondiente.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sz w:val="16"/>
        <w:szCs w:val="16"/>
      </w:rPr>
      <w:t xml:space="preserve">Página </w:t>
    </w:r>
    <w:r>
      <w:rPr>
        <w:rFonts w:ascii="Arial" w:hAnsi="Arial" w:eastAsia="Arial" w:cs="Arial"/>
        <w:sz w:val="16"/>
        <w:szCs w:val="16"/>
      </w:rPr>
      <w:fldChar w:fldCharType="begin"/>
      <w:instrText xml:space="preserve">PAGE</w:instrText>
      <w:fldChar w:fldCharType="separate"/>
      <w:fldChar w:fldCharType="end"/>
    </w:r>
    <w:r>
      <w:rPr>
        <w:rFonts w:ascii="Arial" w:hAnsi="Arial" w:eastAsia="Arial" w:cs="Arial"/>
        <w:sz w:val="16"/>
        <w:szCs w:val="16"/>
      </w:rPr>
      <w:t xml:space="preserve"> de </w:t>
    </w:r>
    <w:r>
      <w:rPr>
        <w:rFonts w:ascii="Arial" w:hAnsi="Arial" w:eastAsia="Arial" w:cs="Arial"/>
        <w:sz w:val="16"/>
        <w:szCs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000000"/>
        <w:sz w:val="16"/>
      </w:rPr>
      <w:t>HwangHon-Sports-System — Especificación de Lógica de Negocio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