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 xml:space="preserve">Versión 0.1.1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 xml:space="preserve">20 de septiembre de 2026</w:t>
      </w:r>
    </w:p>
    <w:p>
      <w:pPr>
        <w:spacing w:after="60"/>
        <w:jc w:val="center"/>
      </w:pPr>
      <w:r>
        <w:rPr>
          <w:rFonts w:ascii="Arial" w:cs="Arial" w:eastAsia="Arial" w:hAnsi="Arial"/>
          <w:b w:val="false"/>
          <w:bCs w:val="false"/>
          <w:i/>
          <w:iCs/>
          <w:color w:val="000000"/>
          <w:sz w:val="18"/>
          <w:szCs w:val="18"/>
        </w:rPr>
        <w:t xml:space="preserve">Basado en el Documento Maestro v0.2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ectPr>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after="160"/>
      </w:pPr>
      <w:r>
        <w:rPr>
          <w:rFonts w:ascii="Arial" w:cs="Arial" w:eastAsia="Arial" w:hAnsi="Arial"/>
          <w:b w:val="false"/>
          <w:bCs w:val="false"/>
          <w:i/>
          <w:iCs/>
          <w:color w:val="000000"/>
          <w:sz w:val="24"/>
          <w:szCs w:val="24"/>
        </w:rPr>
        <w:t xml:space="preserve">Pendiente de desarrollo — se elaboran a partir de los módulos y reglas ya definidos.</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after="160"/>
      </w:pPr>
      <w:r>
        <w:rPr>
          <w:rFonts w:ascii="Arial" w:cs="Arial" w:eastAsia="Arial" w:hAnsi="Arial"/>
          <w:b w:val="false"/>
          <w:bCs w:val="false"/>
          <w:i/>
          <w:iCs/>
          <w:color w:val="000000"/>
          <w:sz w:val="24"/>
          <w:szCs w:val="24"/>
        </w:rPr>
        <w:t xml:space="preserve">Pendiente de desarrollo — se diseña a partir de los módulos y reglas de negocio de las secciones 9 y 11.</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after="160"/>
      </w:pPr>
      <w:r>
        <w:rPr>
          <w:rFonts w:ascii="Arial" w:cs="Arial" w:eastAsia="Arial" w:hAnsi="Arial"/>
          <w:b w:val="false"/>
          <w:bCs w:val="false"/>
          <w:i/>
          <w:iCs/>
          <w:color w:val="000000"/>
          <w:sz w:val="24"/>
          <w:szCs w:val="24"/>
        </w:rPr>
        <w:t xml:space="preserve">Pendiente de desarrollo — incluye diagramas de casos de uso, de flujo y entidad-relación, pendientes de elaborar.</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 xml:space="preserve">HwangHon-Sports-System — Documentación Técnica v0.1.1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