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 xml:space="preserve">Versión 0.1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 xml:space="preserve">20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 xml:space="preserve">Etiquetas de estado: [CONFIRMADO] · [PROPUESTA] · [PENDIENTE DE ALDRIN]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ALDRIN] — depende específicamente de que Aldrin la confirme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cs="Arial" w:eastAsia="Arial" w:hAnsi="Arial"/>
          <w:color w:val="000000"/>
          <w:sz w:val="24"/>
          <w:szCs w:val="24"/>
        </w:rPr>
        <w:t xml:space="preserve">Ninguna regla marcada como PROPUESTA, PENDIENTE DE ALDRIN o PENDIENTE DE VERIFICACIÓN debe tratarse como definitiva ni implementarse como tal sin la confirmación correspondiente.</w:t>
      </w:r>
    </w:p>
    <w:p>
      <w:pPr>
        <w:spacing w:after="200"/>
      </w:pPr>
      <w:r>
        <w:rPr>
          <w:rFonts w:ascii="Arial" w:cs="Arial" w:eastAsia="Arial" w:hAnsi="Arial"/>
          <w:i/>
          <w:iCs/>
          <w:color w:val="000000"/>
          <w:sz w:val="20"/>
          <w:szCs w:val="20"/>
        </w:rPr>
        <w:t xml:space="preserve">Fuente: Documento Maestro v0.2; Bitácora Académica (18/09/2026); registro de dominio del proyecto (topics/dominio-hwanghon.md); ronda de revisión del 20/09/2026.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16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16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Categorías de edad identificadas en una fuente externa (un PDF de mindeporte.gov.co y la página de la Federación Colombiana de Hapkido): Junior (12-14), Juvenil (15-17), Mayores (18-35), Sénior (36-45), Máster (46+). John propone además una categoría "Infantil" (aproximadamente 5 a 11 años), no verificada en documento oficial, para los festivales/actividades ligeras que suelen organizarse en torneos para niños de 10 años para abajo.</w:t>
      </w:r>
    </w:p>
    <w:p>
      <w:pPr>
        <w:spacing w:after="160"/>
      </w:pPr>
      <w:r>
        <w:rPr>
          <w:rFonts w:ascii="Arial" w:cs="Arial" w:eastAsia="Arial" w:hAnsi="Arial"/>
          <w:color w:val="000000"/>
          <w:sz w:val="24"/>
          <w:szCs w:val="24"/>
        </w:rPr>
        <w:t xml:space="preserve">El contenido exacto de la tabla no se ha verificado línea por línea contra el documento fuente (parece un documento escaneado, no se pudo extraer ni descargar directamente). Las divisiones de peso identificadas solo cubren combate individual; para combate en equipos, defensa personal, saltos y formas se asume que la categoría depende solo de edad, sin criterio de peso — esto es una inferencia, no un hecho confirmado. Se recomienda conservar el PDF fuente en recursos/archivos_originales para verificación posterior.</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cs="Arial" w:eastAsia="Arial" w:hAnsi="Arial"/>
          <w:b/>
          <w:bCs/>
          <w:color w:val="000000"/>
          <w:sz w:val="24"/>
          <w:szCs w:val="24"/>
        </w:rPr>
        <w:t xml:space="preserve">[PENDIENTE DE VERIFICACIÓN] </w:t>
      </w:r>
    </w:p>
    <w:p>
      <w:pPr>
        <w:spacing w:after="80"/>
      </w:pPr>
      <w:r>
        <w:rPr>
          <w:rFonts w:ascii="Arial" w:cs="Arial" w:eastAsia="Arial" w:hAnsi="Arial"/>
          <w:color w:val="000000"/>
          <w:sz w:val="24"/>
          <w:szCs w:val="24"/>
        </w:rPr>
        <w:t xml:space="preserve">Fechas candidatas de examen para 2026: 26 de abril, 26 de julio y 13 de diciembre. Sirven de referencia para el denominador de sesiones usado en el umbral de inasistencia (RN-5.2).</w:t>
      </w:r>
    </w:p>
    <w:p>
      <w:pPr>
        <w:spacing w:after="160"/>
      </w:pPr>
      <w:r>
        <w:rPr>
          <w:rFonts w:ascii="Arial" w:cs="Arial" w:eastAsia="Arial" w:hAnsi="Arial"/>
          <w:color w:val="000000"/>
          <w:sz w:val="24"/>
          <w:szCs w:val="24"/>
        </w:rPr>
        <w:t xml:space="preserve">Estas fechas fueron extraídas por una herramienta externa de un documento entregado por Aldrin, y no se han verificado directamente contra la fuente original — se tratan como pendientes de verificación, no como confirmadas.</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Solo el personal administrativo puede ver y modificar los documentos, coherente con la vista administrativa compartida sin permisos granulares (RN-T.2). Formatos permitidos: PDF y Word.</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si debe existir alguna consecuencia concreta tras una mora prolongada, más allá de la alerta descrita en RN-8.3.</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[PENDIENTE DE VERIFICACIÓN]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 pero esas fechas de examen todavía no están verificadas contra el documento fuente.</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 xml:space="preserve">HwangHon-Sports-System — Reglas de Negocio v0.1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