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0.1.9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23 de octubre de 2026</w:t>
      </w:r>
    </w:p>
    <w:p>
      <w:pPr>
        <w:spacing w:after="60"/>
        <w:jc w:val="center"/>
      </w:pPr>
      <w:r>
        <w:rPr>
          <w:rFonts w:ascii="Arial" w:cs="Arial" w:eastAsia="Arial" w:hAnsi="Arial"/>
          <w:b w:val="false"/>
          <w:bCs w:val="false"/>
          <w:i/>
          <w:iCs/>
          <w:color w:val="000000"/>
          <w:sz w:val="18"/>
          <w:szCs w:val="18"/>
        </w:rPr>
        <w:t>Basado en el Documento Maestro v0.2.8, en Reglas de Negocio v1.2 (documentacion/reglas_negocio/) y en</w:t>
      </w:r>
    </w:p>
    <w:p>
      <w:pPr>
        <w:spacing w:after="60"/>
        <w:jc w:val="center"/>
      </w:pPr>
      <w:r>
        <w:rPr>
          <w:rFonts w:ascii="Arial" w:cs="Arial" w:eastAsia="Arial" w:hAnsi="Arial"/>
          <w:b w:val="false"/>
          <w:bCs w:val="false"/>
          <w:i/>
          <w:iCs/>
          <w:color w:val="000000"/>
          <w:sz w:val="18"/>
          <w:szCs w:val="18"/>
        </w:rPr>
        <w:t>el script base_datos/esquema_hwanghon_v4.sql, fuente autoritativa del modelo de datos (sección 13).</w:t>
      </w:r>
    </w:p>
    <w:p>
      <w:pPr>
        <w:spacing w:after="60"/>
        <w:jc w:val="center"/>
      </w:pPr>
      <w:r>
        <w:rPr>
          <w:rFonts w:ascii="Arial" w:cs="Arial" w:eastAsia="Arial" w:hAnsi="Arial"/>
          <w:b w:val="false"/>
          <w:bCs w:val="false"/>
          <w:i/>
          <w:iCs/>
          <w:color w:val="000000"/>
          <w:sz w:val="18"/>
          <w:szCs w:val="18"/>
        </w:rPr>
        <w:t>Etiquetas usadas: [CONFIRMADO] · [PROPUESTA / A DEFINIR] · [PENDIENTE DE RESPUESTA]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pacing w:after="0"/>
      </w:pPr>
      <w:r>
        <w:rPr>
          <w:rFonts w:ascii="Arial" w:hAnsi="Arial"/>
          <w:b w:val="0"/>
          <w:i/>
          <w:color w:val="000000"/>
          <w:sz w:val="16"/>
        </w:rPr>
        <w:t>v0.1.5 (28/09/2026): sección 10 (Casos de uso y flujos alternativos) ampliada con la lógica ya definida en Especificación de Lógica de Negocio v0.4 y Reglas de Negocio v0.6. Login y creación de cuentas gana la vigencia exacta del token de recuperación (1 hora, RN-T.12) y precisa que el autorregistro no tiene estado "rechazado" — un registro descartado se elimina, no se marca (RN-T.14). Módulo 1 corrige "validación fila por fila" por el mecanismo real, campo por campo (RN-1.7/RN-9.6), y agrega el comportamiento de actualización de deportistas ya registrados con confirmación previa (RN-1.9) y el manejo de correo compartido entre un deportista adulto y su rol de tutor frente a un conflicto real entre dos adultos (RN-1.10). Módulo 5 agrega el mensaje de advertencia por inasistencia al crear una sesión de examen (RN-5.2) y la confirmación manual de entrega física del cinturón, independiente de la aprobación académica (RN-5.7). Módulo 8 agrega la alerta automática de mensualidad vencida desde el primer mes (RN-8.3). Fuentes: Reglas de Negocio v0.1 y Documento Maestro v0.2.1 para el resto de la sección 10, sin cambios.</w:t>
      </w:r>
    </w:p>
    <w:p>
      <w:pPr>
        <w:spacing w:after="0"/>
      </w:pPr>
      <w:r>
        <w:rPr>
          <w:rFonts w:ascii="Arial" w:hAnsi="Arial"/>
          <w:b w:val="0"/>
          <w:i w:val="0"/>
          <w:color w:val="000000"/>
          <w:sz w:val="16"/>
        </w:rPr>
        <w:t>v0.1.6 (09/10/2026): decisión final de John sobre el ámbito público — una sola cuenta por deportista, sin distinción por edad; el acudiente no tiene login propio (ver Reglas de Negocio v0.9). Sección 8: "Vista pública (deportista / acudiente)" pasa a "Vista pública (deportista)" (también en la tabla resumen de la sección 9). Sección 10: se retira "el ingreso es por documento de identidad, sin contraseña" (ya estaba desactualizada) y se agrega [AMPLIADO] con el mecanismo real de RN-T.16 (documento + fecha de nacimiento del deportista, bloqueo de 5 intentos/15 minutos). Sección 13: se agrega la columna sexo a la tabla deportista y la entidad nueva intento_acceso_publico, verificadas directamente contra esquema_hwanghon_v3.sql. Módulo 1 sin cambio.</w:t>
      </w:r>
    </w:p>
    <w:p>
      <w:pPr>
        <w:spacing w:after="0"/>
      </w:pPr>
      <w:r>
        <w:rPr>
          <w:rFonts w:ascii="Arial" w:hAnsi="Arial"/>
          <w:color w:val="000000"/>
          <w:sz w:val="16"/>
        </w:rPr>
        <w:t>v0.1.7 (16/10/2026): sincronización completa con Reglas de Negocio v1.0, esquema_hwanghon_v4.sql y Especificación de Lógica de Negocio v0.9. Sección 13 reescrita por completo: diccionario de datos de las 14 tablas del esquema v4 (antes 12), con sus 15 llaves foráneas, 3 restricciones CHECK y el procedimiento almacenado cambiar_correo_administrador; se agregan documento_general y entrega_cinturon (antes pendiente, fuera de alcance) y se renombra intento_acceso_publico a intento_acceso (ahora compartida entre los dos ámbitos, llave ambito + identificador). Sección 8: la vista pública edita peso, discapacidad, teléfono, dirección y correo, y confirma la entrega de su cinturón — ya no «solo peso y discapacidad». Sección 9: se corrigen las fechas de examen (ya verificadas) y la categoría Infantil (8 a 11 años, ya resuelta); se retira la atribución a Aldrin de la consecuencia de mora, que depende de una decisión de desarrollo, no del club. Sección 10: login público y administrativo con bloqueo de 4 intentos (antes 5) y tabla intento_acceso compartida; estadísticas e historial en una sola pantalla con dos pestañas; puesto en competencias; sesión de examen abierta/cerrada con nota de 1 a 10; documentos por tipo más documentos generales; asistencia solo fines de semana; pagos con semana habitual y anulación por mes; calendario con tipo grado; seis reportes de la primera versión; desactivación (no baja) de cuentas administrativas por Aldrin y la cuenta Desarrollador; expiración de sesión (2 horas administrativa, 30 minutos pública). Sección 20: referencia el Modelo Relacional v4 y el MER v5 (los PNG se agregarán cuando se generen). Todas las citas del documento se actualizan a Reglas de Negocio v1.0.</w:t>
      </w:r>
    </w:p>
    <w:p>
      <w:pPr>
        <w:spacing w:after="0"/>
      </w:pPr>
      <w:r>
        <w:rPr>
          <w:rFonts w:ascii="Arial" w:hAnsi="Arial"/>
          <w:color w:val="000000"/>
          <w:sz w:val="16"/>
        </w:rPr>
        <w:t>v0.1.8 (23/10/2026): sincronización con Reglas de Negocio v1.1 (RN-3.8): la tabla de categorías de peso para Junior y Juvenil pasa de PROPUESTA a oficial, tomada del Reglamento de Competencia Fedecolhap v3.1 2024, art. 4 — Juvenil deja de compartir la tabla de Mayores y pasa a tener la suya propia. Infantil sigue siendo PROPUESTA del equipo (no existe en el reglamento). Se actualiza la fila "Categoría Infantil" de la sección 9 y la columna categoria_peso de la sección 13 (deportista_participacion); se corrige la nota de módulo 3 en la sección 9, que aún decía "Infantil (5-11 años)" en vez de 8-11.</w:t>
      </w:r>
    </w:p>
    <w:p>
      <w:pPr>
        <w:spacing w:after="0"/>
      </w:pPr>
      <w:r>
        <w:rPr>
          <w:rFonts w:ascii="Arial" w:hAnsi="Arial"/>
          <w:color w:val="000000"/>
          <w:sz w:val="16"/>
        </w:rPr>
        <w:t>v0.1.9 (23/10/2026): se corrige la descripción del módulo 8 (registro de pagos y matrícula) para coincidir con las decisiones confirmadas por John el 21/10/2026 (Contexto Base 35.11): la matrícula nunca genera deuda, solo un recordatorio anual, y quien ingresa en diciembre paga la mensualidad pero no la matrícula al inscribirse; un mes cuenta como deuda si hubo dos o más asistencias desde el vencimiento en adelante dentro de ese mismo ciclo (no "ese mismo mes"), la deuda solo mira el año en curso, y el margen del aviso «por vencer» es de 5 días constante, configurable entre 3 y 5 (no «3 por defecto»). Se actualizan los punteros de la portada a Documento Maestro v0.2.8 y Reglas de Negocio v1.2.</w:t>
      </w:r>
    </w:p>
    <w:p>
      <w:pPr>
        <w:sectPr>
          <w:headerReference w:type="default" r:id="rId22"/>
          <w:footerReference w:type="default" r:id="rId24"/>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Vista pública (deportista)</w:t>
      </w:r>
    </w:p>
    <w:p>
      <w:pPr>
        <w:spacing w:after="160" w:before="0"/>
        <w:jc w:val="left"/>
      </w:pPr>
      <w:r>
        <w:rPr>
          <w:rFonts w:ascii="Arial" w:cs="Arial" w:eastAsia="Arial" w:hAnsi="Arial"/>
          <w:b w:val="false"/>
          <w:bCs w:val="false"/>
          <w:i w:val="false"/>
          <w:iCs w:val="false"/>
          <w:color w:val="000000"/>
          <w:sz w:val="24"/>
          <w:szCs w:val="24"/>
        </w:rPr>
        <w:t>Consulta de la información propia del deportista (evolución, estadísticas, historial, estado de mensualidades y matrícula). Edición de peso, discapacidad/condición de salud, teléfono, dirección y correo, y confirmación de la entrega de su propio cinturón cuando corresponda (RN-1.4, RN-5.7).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Reglas registradas hasta la ronda de revisión de reglas de negocio del 20 de septiembre de 2026, con los estados actualizados al 16/10/2026 según Reglas de Negocio v1.0. Ninguna regla marcada como PROPUESTA o PENDIENTE se implementa como definitiva sin confirmación. Esta tabla resume los puntos en seguimiento; para el detalle completo de cada regla, con su contexto y justificación, ver el documento Reglas de Negocio v1.0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Por defecto, el sistema solo muestra una advertencia/alerta ante mora, nunca un bloqueo automático. Si debe existir alguna consecuencia adicional queda pendiente de una decisión de desarrollo, no del club — funcionalidad a definir al final del proyecto, agrupada con la evaluación cualitativa periódica.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PROPUESTA / A DEFINIR (decisión de desarrollo, no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Confirmadas: 26 de abril, 26 de julio y 13 de diciembre de 2026, verificadas contra el Plan de Acción IMRDS 2026 (fuente primaria).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Infantil: 8 a 11 años (no 5 a 11, como se manejaba antes). Tabla de pesos por categoría: oficial de Fedecolhap (Reglamento de Competencia v3.1 2024, art. 4) para Junior, Juvenil, Mayores, Sénior y Máster; Infantil sigue siendo PROPUESTA del equipo de desarrollo, porque esa categoría no existe en el reglamento (ver sección 13, deportista_participacion.categoria_peso).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 (edad; pesos de Junior/Juvenil/Mayores-Sénior-Máster, fuente Fedecolhap); PROPUESTA (pesos de Infantil, ver sección 13)</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Fuente: Bitácora Académica (18/09/2026), matrices de módulos 1, 2, 4, 5, 8 y 9; Reglas de Negocio v1.0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0" w:after="160"/>
      </w:pPr>
      <w:r>
        <w:rPr>
          <w:rFonts w:ascii="Arial" w:hAnsi="Arial"/>
          <w:b w:val="0"/>
          <w:i w:val="0"/>
          <w:color w:val="000000"/>
          <w:sz w:val="24"/>
        </w:rPr>
        <w:t>Ampliación (28/09/2026): en Login y creación de cuentas, Módulo 1, Módulo 5 y Módulo 8 se incorporan puntos de la lógica ya definida en Especificación de Lógica de Negocio v0.4 y Reglas de Negocio v0.6 — marcados con la etiqueta [AMPLIADO — 28/09/2026] en cada subsección — sin alterar el resto de la sección, que conserva su redacción original del 22/09/2026.</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w:t>
      </w:r>
    </w:p>
    <w:p>
      <w:pPr>
        <w:spacing w:before="0" w:after="160"/>
      </w:pPr>
      <w:r>
        <w:rPr>
          <w:rFonts w:ascii="Arial" w:hAnsi="Arial"/>
          <w:b w:val="0"/>
          <w:i w:val="0"/>
          <w:color w:val="000000"/>
          <w:sz w:val="24"/>
        </w:rPr>
        <w:t>[AMPLIADO — 16/10/2026, Reglas de Negocio v1.0, RN-T.16] El ingreso a la vista pública es con documento de identidad y fecha de nacimiento del deportista — una sola cuenta por deportista, sin distinción por edad; el acudiente no tiene login propio (ver sección 8). Tras 4 intentos fallidos consecutivos (antes 5) para un mismo documento o correo, según el ámbito, el acceso queda bloqueado 15 minutos; el contador se reinicia al acertar. El mismo bloqueo cubre también el login administrativo, identificado por correo en vez de documento (tabla compartida intento_acceso, ver sección 13). El mensaje de error es el mismo exista o no la cuenta, para no revelar qué documentos o correos están registrados.</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campos editables de cualquier cuenta pública: peso, discapacidad/condición de salud, teléfono, dirección y correo, más la confirmación de entrega de su cinturón cuando corresponda (ver sección 8). El administrativo cuenta con una lista de registros pendientes de validación para revisar y aprobar; mientras un registro sigue pendiente, es invisible para el ámbito público — no se puede iniciar sesión con él.</w:t>
      </w:r>
    </w:p>
    <w:p>
      <w:pPr>
        <w:spacing w:before="0" w:after="160"/>
      </w:pPr>
      <w:r>
        <w:rPr>
          <w:rFonts w:ascii="Arial" w:hAnsi="Arial"/>
          <w:b w:val="0"/>
          <w:i w:val="0"/>
          <w:color w:val="000000"/>
          <w:sz w:val="24"/>
        </w:rPr>
        <w:t>Las cuentas administrativas son individuales por persona, no una credencial genérica compartida entre el equipo. Aldrin, como administrador principal, y la cuenta técnica «Desarrollador» (de John, con el mismo acceso completo, visible en la lista de usuarios) son quienes pueden gestionar las cuentas del equipo administrativo: alta, edición y desactivación — ya no «baja»: las cuentas no se borran, y ninguna puede desactivarse a sí misma. Esto no altera la vista administrativa unificada sin permisos granulares ya confirmada (ver sección 8): todas las cuentas siguen viendo y editando lo mismo, la gestión de cuentas es la única función exclusiva de Aldrin y la cuenta Desarrollador. La recuperación de contraseña se hace por un enlace enviado al correo, con un token de un solo uso y vigencia de 1 hora (RN-T.12); quien gestiona cuentas también puede restablecer directamente la contraseña de cualquier otra cuenta administrativa, sin depender del correo. La sesión expira por inactividad a las 2 horas en el ámbito administrativo y a los 30 minutos en el ámbito público (RN-T.17); la contraseña exige un mínimo de 8 caracteres, con una acción «cambiar mi contraseña» que pide la contraseña actual (RN-T.18).</w:t>
      </w:r>
    </w:p>
    <w:p>
      <w:pPr>
        <w:spacing w:before="0" w:after="160"/>
      </w:pPr>
      <w:r>
        <w:rPr>
          <w:rFonts w:ascii="Arial" w:hAnsi="Arial"/>
          <w:b w:val="0"/>
          <w:i w:val="0"/>
          <w:color w:val="000000"/>
          <w:sz w:val="24"/>
        </w:rPr>
        <w:t>[AMPLIADO — 28/09/2026, Especificación de Lógica de Negocio v0.4, RN-T.14] El registro de autorregistro no tiene un estado "rechazado": si el administrativo revisa un registro pendiente y determina que no corresponde a un miembro real del club, simplemente lo elimina de la lista — no queda una marca de rechazo conservada en el sistema.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(un único acudiente/tutor por deportista menor, con teléfono y correo propios — ya no hay un segundo padre o madre en el formulario estructurado, solo en el documento escaneado), y carga masiva por Excel/CSV con validación campo por campo dentro de cada fila (requiere JavaScript asíncrono; mismo mecanismo confirmado para el calendario, módulo 9): el campo que falta o está mal formado se deja vacío en ese registro en vez de rechazar la fila completa, con un aviso (toast) indicando qué campo y de qué persona. El selector de archivo es único, pero filtra el tipo de archivo permitido según el contexto desde el que se abre: en carga masiva solo permite CSV/Excel; en documentos de un deportista ya seleccionado, solo permite los formatos de ese tipo de documento (ver módulo 6), y ahí sí se permite seleccionar varios archivos a la vez cuando el tipo lo admite. Desde la ficha del deportista hay un enlace directo hacia «Estadísticas e historial» (pantalla única con dos pestañas, ver módulos 2 y 4).</w:t>
      </w:r>
    </w:p>
    <w:p>
      <w:pPr>
        <w:spacing w:before="0" w:after="160"/>
      </w:pPr>
      <w:r>
        <w:rPr>
          <w:rFonts w:ascii="Arial" w:hAnsi="Arial"/>
          <w:b w:val="0"/>
          <w:i w:val="0"/>
          <w:color w:val="000000"/>
          <w:sz w:val="24"/>
        </w:rPr>
        <w:t>[AMPLIADO — 28/09/2026, Especificación de Lógica de Negocio v0.4, RN-1.9] Recargar el mismo archivo de carga masiva también actualiza deportistas ya registrados, no solo da de alta nuevos: el sistema identifica una fila existente por coincidencia de documento y, antes de guardar, muestra una pantalla de confirmación con los campos que cambiarían (valor actual frente al del archivo) para que el personal administrativo decida aplicar o descartar cada actualización.</w:t>
      </w:r>
    </w:p>
    <w:p>
      <w:pPr>
        <w:spacing w:before="0" w:after="160"/>
      </w:pPr>
      <w:r>
        <w:rPr>
          <w:rFonts w:ascii="Arial" w:hAnsi="Arial"/>
          <w:b w:val="0"/>
          <w:i w:val="0"/>
          <w:color w:val="000000"/>
          <w:sz w:val="24"/>
        </w:rPr>
        <w:t>[AMPLIADO — 16/10/2026, Reglas de Negocio v1.0, RN-1.10] Un correo repetido en la carga masiva no se rechaza automáticamente: si coincide porque dos deportistas menores de edad son hermanos entre sí y comparten el correo de su acudiente, se permite — son hermanos, no un duplicado. Si el mismo correo aparece como correo propio de dos deportistas ADULTOS distintos, sin relación de hermandad entre ellos, sí es un conflicto real y esa fila se rechaza con el mismo aviso (toast) usado para filas incompletas.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[AMPLIADO — 16/10/2026, Reglas de Negocio v1.0, RN-2.3] El historial deportivo (este módulo) y las estadísticas de rendimiento (módulo 4) se presentan en una sola pantalla, «Estadísticas e historial», con dos pestañas: Registros (tablas de torneos, ascensos y permanencia, con filtros por torneo/ascenso, deportista y fechas) y Gráficas (evolución y comparación de dos deportistas en paralelo). Dentro de Registros, lo que en pantalla se llama «fortalezas y aspectos por mejorar» muestra los aspectos fallidos, observaciones y recomendaciones ya registrados en cada examen (ver módulo 5) — no es un campo nuevo.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puesto obtenido (participacion_competencia.puesto) lo digita el staff después del torneo, no se calcula; queda vacío hasta entonces. No existe la acción «eliminar torneo»: lo que sí existe es quitar a un participante.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dentro de la pestaña Gráficas de «Estadísticas e historial» (ver módulo 2): el segundo deportista se carga de forma asíncrona en la columna derecha, sin recargar la página ni perder la vista del primero. Es exclusiva del ámbito administrativo/staff; no aplica a la vista pública.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llaves, entre otras) con una nota de 1 a 10 (ya no de 1 a 5) y un estado pendiente/completado, independiente por deportista y por modalidad, con guardado en tiempo real (asíncrono). La sesión vive en dos estados — abierta (por defecto) y cerrada —, con dos fechas separadas (inicio de exámenes y día del grado, cada una vinculada a su propio evento de calendario). «Cerrar examen» exige que todas las modalidades de todos los participantes estén completadas; una sesión cerrada se protege y solo se vuelve a editar reabriéndola.</w:t>
      </w:r>
    </w:p>
    <w:p>
      <w:pPr>
        <w:spacing w:before="0" w:after="160"/>
      </w:pPr>
      <w:r>
        <w:rPr>
          <w:rFonts w:ascii="Arial" w:hAnsi="Arial"/>
          <w:b w:val="0"/>
          <w:i w:val="0"/>
          <w:color w:val="000000"/>
          <w:sz w:val="24"/>
        </w:rPr>
        <w:t>[AMPLIADO — 16/10/2026, Reglas de Negocio v1.0, RN-5.2] Al seleccionar participantes, el sistema muestra un aviso — nunca un bloqueo — a quien supere el umbral de inasistencia en la ventana entre el examen o grado anterior y el inicio del actual (más de 30% para 5-16 años, más de 40% para 17+), visible directamente en la lista de candidatos (columnas nombre, grado, edad, % de inasistencia y marca apto/no apto).</w:t>
      </w:r>
    </w:p>
    <w:p>
      <w:pPr>
        <w:spacing w:before="0" w:after="160"/>
      </w:pPr>
      <w:r>
        <w:rPr>
          <w:rFonts w:ascii="Arial" w:hAnsi="Arial"/>
          <w:b w:val="0"/>
          <w:i w:val="0"/>
          <w:color w:val="000000"/>
          <w:sz w:val="24"/>
        </w:rPr>
        <w:t>[AMPLIADO — 16/10/2026, Reglas de Negocio v1.0, RN-5.7] La actualización de deportista.grado_actual requiere dos condiciones: que la sesión de examen esté cerrada con resultado aprobado (seis modalidades completas y promedio de notas ≥ 5), y una confirmación de que el cinturón fue físicamente entregado. Esa confirmación la puede hacer el personal administrativo o el propio deportista desde la vista pública (ver sección 8) — no solo el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before="0" w:after="160"/>
      </w:pPr>
      <w:r>
        <w:rPr>
          <w:rFonts w:ascii="Arial" w:hAnsi="Arial"/>
          <w:color w:val="000000"/>
          <w:sz w:val="24"/>
        </w:rPr>
        <w:t>[AMPLIADO — 16/10/2026, Reglas de Negocio v1.0, RN-6.1/RN-6.3/RN-6.8] Los documentos de un deportista se organizan por tipo fijo (documento_identidad, formulario_inscripcion, documento_acudiente, fotografia, consentimiento, certificado_ascenso, competencia, preparacion_fisica, otro), cada uno con sus formatos permitidos (ver sección 13). Los tipos críticos (documento_identidad, formulario_inscripcion y, si es menor, documento_acudiente) admiten un solo archivo que se reemplaza; los demás acumulan varios. Aparte, existe una sección de documentos generales del club (documento_general, p. ej. teorías de ascenso), visibles para cualquier deportista sin filtro por grado, cuya carga es exclusiva del personal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before="0" w:after="160"/>
      </w:pPr>
      <w:r>
        <w:rPr>
          <w:rFonts w:ascii="Arial" w:hAnsi="Arial"/>
          <w:color w:val="000000"/>
          <w:sz w:val="24"/>
        </w:rPr>
        <w:t>[AMPLIADO — 16/10/2026, Reglas de Negocio v1.0, RN-7.4/RN-7.7/RN-7.8] El club solo entrena sábados y domingos: la pantalla de tomar asistencia solo se habilita esos dos días, usando la fecha actual en hora de Bogotá, y muestra dos listas — deportistas activos (por defecto «no asistió», sin botón «marcar todos presentes») y, abajo, deportistas inactivos (ver módulo 1/RN-1.11): marcarlos presentes los reactiva automáticamente y los sube a la lista de activos.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 Cada deportista tiene una semana habitual de pago sugerida (la más frecuente en su historial), editable. «Anular pago» borra únicamente el registro de ese mes y esa semana, no todo el historial. La matrícula anual se reinicia globalmente en enero para todo el club. Quien ingresa en diciembre paga la mensualidad pero no la matrícula al inscribirse — paga la de renovación en enero, con todo el grupo (decisión de John, 21/10/2026).</w:t>
      </w:r>
    </w:p>
    <w:p>
      <w:pPr>
        <w:spacing w:before="0" w:after="160"/>
      </w:pPr>
      <w:r>
        <w:rPr>
          <w:rFonts w:ascii="Arial" w:hAnsi="Arial"/>
          <w:b w:val="0"/>
          <w:i w:val="0"/>
          <w:color w:val="000000"/>
          <w:sz w:val="24"/>
        </w:rPr>
        <w:t>[AMPLIADO — 16/10/2026, actualizado 23/10/2026, Reglas de Negocio v1.2, RN-8.1/RN-8.2/RN-8.3] Un mes cuenta como deuda cuando ya venció, no tiene pago registrado, y el deportista asistió dos o más veces desde la fecha de vencimiento en adelante, dentro de ese mismo ciclo de pago — una sola asistencia no basta; si el mes termina sin una segunda asistencia, no queda debiendo nada. La alerta se muestra como «mensualidad no pagada, deuda de X mes(es)», sin mostrar el valor monetario; un deportista inactivo (RN-1.11) no la genera, y la deuda solo mira el año en curso. La matrícula nunca genera esta alerta — es solo un recordatorio anual (pagada/pendiente), no una obligación para seguir entrenando. Un aviso aparte, 5 días antes del vencimiento (constante, configurable entre 3 y 5), avisa que la mensualidad está «por vencer».</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 si la plantilla trae un evento duplicado (mismo nombre y fecha de uno ya existente), esa fila se omite, no se bloquea toda la importación —, más la posibilidad de agregar eventos manuales sin recargar la página (asíncrono). Tipos de evento: competencia, evaluacion, grado (nuevo: la ceremonia de entrega de cinturones, antes combinada con evaluacion), reunion_administrativa y evento_extra; cada evento tiene una sola fecha, sin fecha de fin. La vista pública del calendario se limita a competencias, evaluaciones, grados y eventos extra: no incluye reuniones administrativas. Cumpleaños y vencimientos de mensualidad de deportistas activos se calculan al consultar el calendario, agrupados por día — no se guardan como eventos.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before="0" w:after="160"/>
      </w:pPr>
      <w:r>
        <w:rPr>
          <w:rFonts w:ascii="Arial" w:hAnsi="Arial"/>
          <w:color w:val="000000"/>
          <w:sz w:val="24"/>
        </w:rPr>
        <w:t>[AMPLIADO — 16/10/2026, Reglas de Negocio v1.0, RN-10.2] Reportes de la primera versión, todos exclusivos del ámbito administrativo,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 La lista definitiva se valida con el club más adelante.</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Vista administrativa edita todo; vista pública edita peso, discapacidad, teléfono, dirección, correo y confirma la entrega de su cinturón.</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p>
            <w:r>
              <w:rPr>
                <w:rFonts w:ascii="Arial" w:cs="Arial" w:eastAsia="Arial" w:hAnsi="Arial"/>
                <w:b w:val="false"/>
                <w:bCs w:val="false"/>
                <w:i w:val="false"/>
                <w:iCs w:val="false"/>
                <w:color w:val="000000"/>
                <w:sz w:val="19"/>
                <w:szCs w:val="19"/>
              </w:rPr>
              <w:t>Categoría "Infantil" (8 a 11 años): tabla de pesos PROPUESTA del equipo, porque no existe en el reglamento de la federación (RN-3.8).</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Vista pública (deportista).</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base_datos/esquema_hwanghon_v4.sql (14 tablas, InnoDB, utf8mb4; 15 llaves foráneas; 3 restricciones CHECK — rango_pago_mes, rango_pago_semana, rango_detalle_nota; 1 procedimiento almacenado, cambiar_correo_administrador), que traduce el Modelo Relacional v4 (diagramas/mmd/14_modelo_relacional_v4.mmd) a nombres definitivos de tabla/columna, tipos de dato MySQL 8, nulidad, valores por defecto y llaves primarias/foráneas con su comportamiento ON DELETE/ON UPDATE. El diccionario de datos completo, tabla por tabla, está más abajo. El Modelo Entidad-Relación (MER) v5 (diagramas/mmd/13_mer_v5.mmd) se conserva como referencia conceptual (Figura 13.1); las versiones preliminares anteriores siguen como histórico.</w:t>
      </w:r>
    </w:p>
    <w:p>
      <w:pPr>
        <w:spacing w:before="140" w:after="80"/>
      </w:pPr>
      <w:r>
        <w:rPr>
          <w:rFonts w:ascii="Arial" w:hAnsi="Arial"/>
          <w:b/>
          <w:i w:val="0"/>
          <w:color w:val="000000"/>
          <w:sz w:val="24"/>
        </w:rPr>
        <w:t>Cambios frente a la versión anterior (esquema v1)</w:t>
      </w:r>
    </w:p>
    <w:p>
      <w:pPr>
        <w:spacing w:before="0" w:after="160"/>
      </w:pPr>
      <w:r>
        <w:rPr>
          <w:rFonts w:ascii="Arial" w:hAnsi="Arial"/>
          <w:b w:val="0"/>
          <w:i w:val="0"/>
          <w:color w:val="000000"/>
          <w:sz w:val="24"/>
        </w:rPr>
        <w:t>El esquema v1 (23/09/2026, 11 tablas) se amplió por etapas hasta el v4 (16/10/2026, 14 tablas), siguiendo el cierre de Reglas de Negocio v1.0. Los cambios acumulados más relevantes frente a v1:</w:t>
      </w:r>
    </w:p>
    <w:p>
      <w:pPr>
        <w:spacing w:before="0" w:after="160"/>
      </w:pPr>
      <w:r>
        <w:rPr>
          <w:rFonts w:ascii="Arial" w:hAnsi="Arial"/>
          <w:b w:val="0"/>
          <w:i w:val="0"/>
          <w:color w:val="000000"/>
          <w:sz w:val="24"/>
        </w:rPr>
        <w:t>1. Dos tablas nuevas: documento_general (documentos del club visibles para todos, sin filtro por grado, RN-6.8) y entrega_cinturon (confirmación de entrega física del cinturón, por el administrativo o por el deportista, RN-5.7).</w:t>
      </w:r>
    </w:p>
    <w:p>
      <w:pPr>
        <w:spacing w:before="0" w:after="160"/>
      </w:pPr>
      <w:r>
        <w:rPr>
          <w:rFonts w:ascii="Arial" w:hAnsi="Arial"/>
          <w:b w:val="0"/>
          <w:i w:val="0"/>
          <w:color w:val="000000"/>
          <w:sz w:val="24"/>
        </w:rPr>
        <w:t>2. intento_acceso_publico se renombra a intento_acceso y pasa a cubrir también el login administrativo: llave primaria compuesta (ambito, identificador); bloqueo a los 4 intentos fallidos (antes 5, RN-T.16).</w:t>
      </w:r>
    </w:p>
    <w:p>
      <w:pPr>
        <w:spacing w:before="0" w:after="160"/>
      </w:pPr>
      <w:r>
        <w:rPr>
          <w:rFonts w:ascii="Arial" w:hAnsi="Arial"/>
          <w:b w:val="0"/>
          <w:i w:val="0"/>
          <w:color w:val="000000"/>
          <w:sz w:val="24"/>
        </w:rPr>
        <w:t>3. Columnas nuevas de contacto y recuperación: acudiente_tutor.telefono/correo; deportista.lugar_nacimiento/experiencia_previa/telefono/direccion/correo; documento.nombre_original; usuario_administrativo.activa/token_recuperacion/token_recuperacion_expira.</w:t>
      </w:r>
    </w:p>
    <w:p>
      <w:pPr>
        <w:spacing w:before="0" w:after="160"/>
      </w:pPr>
      <w:r>
        <w:rPr>
          <w:rFonts w:ascii="Arial" w:hAnsi="Arial"/>
          <w:b w:val="0"/>
          <w:i w:val="0"/>
          <w:color w:val="000000"/>
          <w:sz w:val="24"/>
        </w:rPr>
        <w:t>4. Sesión de examen (RN-5.5) gana estado abierta/cerrada, fecha_grado separada de la fecha de inicio, y sus dos eventos de calendario vinculados (evento_examen_id, evento_grado_id); detalle_evaluacion gana la columna nota (escala de 1 a 10, RN-5.1); participacion_competencia gana puesto (RN-3.1/RN-3.3).</w:t>
      </w:r>
    </w:p>
    <w:p>
      <w:pPr>
        <w:spacing w:before="0" w:after="160"/>
      </w:pPr>
      <w:r>
        <w:rPr>
          <w:rFonts w:ascii="Arial" w:hAnsi="Arial"/>
          <w:color w:val="000000"/>
          <w:sz w:val="24"/>
        </w:rPr>
        <w:t>5. Se retiran documento.estado, pago.estado y pago.consecuencia_mora (sin uso real: la deuda se calcula por ausencia de fila de pago, no por un campo de estado — RN-8.1/RN-8.3; la consecuencia de mora sigue sin definir, RN-8.6); pago.mes pasa a NOT NULL (0 = matrícula, 1-12 = mes), con llave única (deportista_documento, tipo, anio, mes); evento_calendario.tipo agrega el valor grado (RN-9.2).</w:t>
      </w:r>
    </w:p>
    <w:p>
      <w:pPr>
        <w:spacing w:before="80" w:after="80"/>
        <w:jc w:val="center"/>
      </w:pPr>
      <w:r>
        <w:rPr>
          <w:i/>
        </w:rPr>
        <w:t>[Imagen pendiente — se agregará diagramas/png/13_mer_v5.png aquí cuando se genere a partir de diagramas/mmd/13_mer_v5.mmd. La imagen del MER v1, ya desactualizada frente al esquema v4, se retira de esta versión para no inducir a error.]</w:t>
      </w:r>
    </w:p>
    <w:p>
      <w:pPr>
        <w:spacing w:after="280"/>
        <w:jc w:val="center"/>
      </w:pPr>
      <w:r>
        <w:rPr>
          <w:rFonts w:ascii="Arial" w:hAnsi="Arial"/>
          <w:b w:val="0"/>
          <w:i/>
          <w:color w:val="000000"/>
          <w:sz w:val="18"/>
        </w:rPr>
        <w:t>Figura 13.1 — Modelo Entidad-Relación v5 (pendiente: se agregará el PNG cuando se genere a partir de diagramas/mmd/13_mer_v5.mmd)</w:t>
      </w:r>
    </w:p>
    <w:p>
      <w:pPr>
        <w:spacing w:before="140" w:after="80"/>
      </w:pPr>
      <w:r>
        <w:rPr>
          <w:rFonts w:ascii="Arial" w:hAnsi="Arial"/>
          <w:b/>
          <w:i w:val="0"/>
          <w:color w:val="000000"/>
          <w:sz w:val="24"/>
        </w:rPr>
        <w:t>Diccionario de datos (Modelo Relacional v4 — script SQL ejecutado)</w:t>
      </w:r>
    </w:p>
    <w:p>
      <w:pPr>
        <w:spacing w:before="0" w:after="160"/>
      </w:pPr>
      <w:r>
        <w:rPr>
          <w:rFonts w:ascii="Arial" w:hAnsi="Arial"/>
          <w:b w:val="0"/>
          <w:i w:val="0"/>
          <w:color w:val="000000"/>
          <w:sz w:val="24"/>
        </w:rPr>
        <w:t>A continuación, las 14 tablas del script base_datos/esquema_hwanghon_v4.sql, en el mismo orden en que aparecen en el script. Para cada tabla: propósito de negocio, columnas (nombre, tipo tal cual el SQL, nulidad/valor por defecto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Celular del acudiente que firma el formulario; el otro padre/madre queda solo en el documento escaneado (RN-1.1, RN-T.9).</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Correo del acudiente que firma el formulario; el otro padre/madre queda solo en el documento escaneado.</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Verdadero para quien gestiona cuentas administrativas (RN-T.11): Aldrin y la cuenta Desarrollador.</w:t>
            </w:r>
            <w:r>
              <w:rPr>
                <w:rFonts w:ascii="Arial" w:hAnsi="Arial"/>
                <w:b w:val="0"/>
                <w:i w:val="0"/>
                <w:color w:val="000000"/>
                <w:sz w:val="19"/>
              </w:rPr>
            </w:r>
          </w:p>
        </w:tc>
      </w:tr>
      <w:tr>
        <w:tc>
          <w:tcPr>
            <w:tcW w:type="dxa" w:w="1872"/>
          </w:tcPr>
          <w:p>
            <w:r>
              <w:rPr>
                <w:rFonts w:ascii="Arial" w:hAnsi="Arial"/>
                <w:b w:val="0"/>
                <w:i w:val="0"/>
                <w:color w:val="000000"/>
                <w:sz w:val="19"/>
              </w:rPr>
              <w:t>activa</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 por defecto 1</w:t>
            </w:r>
          </w:p>
        </w:tc>
        <w:tc>
          <w:tcPr>
            <w:tcW w:type="dxa" w:w="4320"/>
          </w:tcPr>
          <w:p>
            <w:r>
              <w:rPr>
                <w:rFonts w:ascii="Arial" w:hAnsi="Arial"/>
                <w:b/>
                <w:i w:val="0"/>
                <w:color w:val="000000"/>
                <w:sz w:val="19"/>
              </w:rPr>
              <w:t>[CONFIRMADO] Falso = cuenta desactivada: no inicia sesión y su sesión abierta deja de valer; las cuentas no se borran (RN-T.11).</w:t>
            </w:r>
            <w:r>
              <w:rPr>
                <w:rFonts w:ascii="Arial" w:hAnsi="Arial"/>
                <w:b w:val="0"/>
                <w:i w:val="0"/>
                <w:color w:val="000000"/>
                <w:sz w:val="19"/>
              </w:rPr>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r>
        <w:tc>
          <w:tcPr>
            <w:tcW w:type="dxa" w:w="1872"/>
          </w:tcPr>
          <w:p>
            <w:r>
              <w:rPr>
                <w:rFonts w:ascii="Arial" w:hAnsi="Arial"/>
                <w:b w:val="0"/>
                <w:i w:val="0"/>
                <w:color w:val="000000"/>
                <w:sz w:val="19"/>
              </w:rPr>
              <w:t>token_recuperacion</w:t>
            </w:r>
          </w:p>
        </w:tc>
        <w:tc>
          <w:tcPr>
            <w:tcW w:type="dxa" w:w="1872"/>
          </w:tcPr>
          <w:p>
            <w:r>
              <w:rPr>
                <w:rFonts w:ascii="Arial" w:hAnsi="Arial"/>
                <w:b w:val="0"/>
                <w:i w:val="0"/>
                <w:color w:val="000000"/>
                <w:sz w:val="19"/>
              </w:rPr>
              <w:t>CHAR(64)</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Hash SHA-256 (hex) del token de recuperación de un solo uso, nunca el token en claro; nulo si no hay solicitud activa (RN-T.12).</w:t>
            </w:r>
            <w:r>
              <w:rPr>
                <w:rFonts w:ascii="Arial" w:hAnsi="Arial"/>
                <w:b w:val="0"/>
                <w:i w:val="0"/>
                <w:color w:val="000000"/>
                <w:sz w:val="19"/>
              </w:rPr>
            </w:r>
          </w:p>
        </w:tc>
      </w:tr>
      <w:tr>
        <w:tc>
          <w:tcPr>
            <w:tcW w:type="dxa" w:w="1872"/>
          </w:tcPr>
          <w:p>
            <w:r>
              <w:rPr>
                <w:rFonts w:ascii="Arial" w:hAnsi="Arial"/>
                <w:b w:val="0"/>
                <w:i w:val="0"/>
                <w:color w:val="000000"/>
                <w:sz w:val="19"/>
              </w:rPr>
              <w:t>token_recuperacion_expira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Vencimiento del token: 1 hora desde la solicitud (RN-T.12).</w:t>
            </w:r>
            <w:r>
              <w:rPr>
                <w:rFonts w:ascii="Arial" w:hAnsi="Arial"/>
                <w:b w:val="0"/>
                <w:i w:val="0"/>
                <w:color w:val="000000"/>
                <w:sz w:val="19"/>
              </w:rPr>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lugar_nacimiento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Ciudad o municipio de nacimiento (formulario de inscripción).</w:t>
            </w:r>
          </w:p>
        </w:tc>
      </w:tr>
      <w:tr>
        <w:tc>
          <w:tcPr>
            <w:tcW w:type="dxa" w:w="1872"/>
          </w:tcPr>
          <w:p>
            <w:r>
              <w:rPr>
                <w:rFonts w:ascii="Arial" w:hAnsi="Arial"/>
                <w:b w:val="0"/>
                <w:i w:val="0"/>
                <w:color w:val="000000"/>
                <w:sz w:val="19"/>
              </w:rPr>
              <w:t>sexo</w:t>
            </w:r>
          </w:p>
        </w:tc>
        <w:tc>
          <w:tcPr>
            <w:tcW w:type="dxa" w:w="1872"/>
          </w:tcPr>
          <w:p>
            <w:r>
              <w:rPr>
                <w:rFonts w:ascii="Arial" w:hAnsi="Arial"/>
                <w:b w:val="0"/>
                <w:i w:val="0"/>
                <w:color w:val="000000"/>
                <w:sz w:val="19"/>
              </w:rPr>
              <w:t>ENUM('masculino', 'femenino')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Sexo del deportista; se pide en la inscripción. Necesario para la categoría por peso y las competencias (RN-3.8).</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Editable en vista pública (RN-1.1, RN-1.4).</w:t>
            </w:r>
          </w:p>
        </w:tc>
      </w:tr>
      <w:tr>
        <w:tc>
          <w:tcPr>
            <w:tcW w:type="dxa" w:w="1872"/>
          </w:tcPr>
          <w:p>
            <w:r>
              <w:rPr>
                <w:rFonts w:ascii="Arial" w:hAnsi="Arial"/>
                <w:b w:val="0"/>
                <w:i w:val="0"/>
                <w:color w:val="000000"/>
                <w:sz w:val="19"/>
              </w:rPr>
              <w:t>direccion</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la del acudiente. Editable en vista pública (RN-1.1, RN-1.4).</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Sin índice único: hermanos menores pueden compartirlo (RN-1.1, RN-1.10). Editable en vista pública (RN-1.4).</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Condición de salud relevante (RN-1.5); texto libre que reemplaza las seis preguntas de salud del formulario físico (infecto-contagiosas, cardiovasculares, respiratorias, alérgicas, fracturas y otras). Editable en vista pública.</w:t>
            </w:r>
            <w:r>
              <w:rPr>
                <w:rFonts w:ascii="Arial" w:hAnsi="Arial"/>
                <w:b w:val="0"/>
                <w:i w:val="0"/>
                <w:color w:val="000000"/>
                <w:sz w:val="19"/>
              </w:rPr>
            </w:r>
          </w:p>
        </w:tc>
      </w:tr>
      <w:tr>
        <w:tc>
          <w:tcPr>
            <w:tcW w:type="dxa" w:w="1872"/>
          </w:tcPr>
          <w:p>
            <w:r>
              <w:rPr>
                <w:rFonts w:ascii="Arial" w:hAnsi="Arial"/>
                <w:b w:val="0"/>
                <w:i w:val="0"/>
                <w:color w:val="000000"/>
                <w:sz w:val="19"/>
              </w:rPr>
              <w:t>experiencia_previa</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Opcional, texto libre: arte marcial anterior, club, país/ciudad, maestro, fecha de retiro, motivo, último grado y fecha de última graduación (formulario de inscripción).</w:t>
            </w:r>
            <w:r>
              <w:rPr>
                <w:rFonts w:ascii="Arial" w:hAnsi="Arial"/>
                <w:b w:val="0"/>
                <w:i w:val="0"/>
                <w:color w:val="000000"/>
                <w:sz w:val="19"/>
              </w:rPr>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Nulo equivale a Ingresado (sin cinturón) hasta el primer examen aprobado; editable a mano por el administrativo; si llega de otro club con cinturón, lo digita el administrativo (RN-5.3, RN-10.3).</w:t>
            </w:r>
            <w:r>
              <w:rPr>
                <w:rFonts w:ascii="Arial" w:hAnsi="Arial"/>
                <w:b w:val="0"/>
                <w:i w:val="0"/>
                <w:color w:val="000000"/>
                <w:sz w:val="19"/>
              </w:rPr>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Conjunto fijo de valores (RN-6.1): formulario_inscripcion, documento_identidad, documento_acudiente, fotografia, consentimiento, certificado_ascenso, competencia, preparacion_fisica, otro (para cualquier documento administrativo que no encaje en los anteriores).</w:t>
            </w:r>
            <w:r>
              <w:rPr>
                <w:rFonts w:ascii="Arial" w:hAnsi="Arial"/>
                <w:b w:val="0"/>
                <w:i w:val="0"/>
                <w:color w:val="000000"/>
                <w:sz w:val="19"/>
              </w:rPr>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aleatorio del archivo en disco, fuera de la carpeta pública del servidor (RN-6.3).</w:t>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con el que se subió; la descarga se entrega con este nombre, sin exponer la URL directa al archivo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0" w:after="60"/>
      </w:pPr>
      <w:r>
        <w:rPr>
          <w:rFonts w:ascii="Arial" w:hAnsi="Arial"/>
          <w:b/>
          <w:color w:val="000000"/>
          <w:sz w:val="24"/>
        </w:rPr>
        <w:t>5. documento_general</w:t>
      </w:r>
    </w:p>
    <w:p>
      <w:pPr>
        <w:spacing w:before="0" w:after="60"/>
      </w:pPr>
      <w:r>
        <w:rPr>
          <w:rFonts w:ascii="Arial" w:hAnsi="Arial"/>
          <w:color w:val="000000"/>
          <w:sz w:val="24"/>
        </w:rPr>
        <w:t>[PROPUESTA, validación pendiente] Tabla aparte para documentos generales del club — por ejemplo, las teorías de ascenso — visibles para los dos ámbitos sin filtro por grado; subir, reemplazar y borrar un documento general es exclusivo del personal administrativo (RN-6.8).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 general.</w:t>
            </w:r>
          </w:p>
        </w:tc>
      </w:tr>
      <w:tr>
        <w:tc>
          <w:tcPr>
            <w:tcW w:type="dxa" w:w="1872"/>
          </w:tcPr>
          <w:p>
            <w:r>
              <w:rPr>
                <w:rFonts w:ascii="Arial" w:hAnsi="Arial"/>
                <w:b w:val="0"/>
                <w:i w:val="0"/>
                <w:color w:val="000000"/>
                <w:sz w:val="19"/>
              </w:rPr>
              <w:t>titulo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[PROPUESTA, validación pendiente] Ej. "teoría de ascenso"; visible para todos sin filtro por grado (RN-6.8).</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Nombre del archivo almacenado.</w:t>
            </w:r>
            <w:r>
              <w:rPr>
                <w:rFonts w:ascii="Arial" w:hAnsi="Arial"/>
                <w:b w:val="0"/>
                <w:i w:val="0"/>
                <w:color w:val="000000"/>
                <w:sz w:val="19"/>
              </w:rPr>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con el que se subió; con él se entrega la descarga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 Sin llaves foráneas.</w:t>
      </w:r>
    </w:p>
    <w:p>
      <w:pPr>
        <w:spacing w:before="120" w:after="60"/>
      </w:pPr>
      <w:r>
        <w:rPr>
          <w:rFonts w:ascii="Arial" w:hAnsi="Arial"/>
          <w:b/>
          <w:i w:val="0"/>
          <w:color w:val="000000"/>
          <w:sz w:val="22"/>
        </w:rPr>
        <w:t>6.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7.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Solo se guardan pagos hechos; la deuda se calcula por ausencia de fila, no por una fila "pendiente" (RN-8.1, RN-8.3).</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0 = matrícula; 1 a 12 = mes de la mensualidad pagada. CHECK rango_pago_mes (0 a 12); llave única unico_pago_periodo (deportista_documento, tipo, anio, mes) (RN-8.1, RN-8.2).</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1 a 4, semana del mes del pago (RN-8.1), solo mensualidad (nulo en matrícula). CHECK rango_pago_semana (1 a 4).</w:t>
            </w:r>
            <w:r>
              <w:rPr>
                <w:rFonts w:ascii="Arial" w:hAnsi="Arial"/>
                <w:b w:val="0"/>
                <w:i w:val="0"/>
                <w:color w:val="000000"/>
                <w:sz w:val="19"/>
              </w:rPr>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8.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'grado',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competencia (torneos), evaluacion (inicio de examen de ascenso), grado (ceremonia de entrega de cinturones — nuevo en esta versión: antes examen y grado eran un solo evento, ahora son dos separados), reunion_administrativa, o evento_extra (cualquier otro hecho extracurricular del club) (RN-9.2, RN-5.5).</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9.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10.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Sugerida por la tabla oficial de Fedecolhap (RN-3.8) para Junior, Juvenil, Mayores, Sénior y Máster — excepto Infantil, que sigue siendo PROPUESTA del equipo; con corte inclusivo; editable (RN-3.1/RN-3.8).</w:t>
            </w:r>
            <w:r>
              <w:rPr>
                <w:rFonts w:ascii="Arial" w:hAnsi="Arial"/>
                <w:b w:val="0"/>
                <w:i w:val="0"/>
                <w:color w:val="000000"/>
                <w:sz w:val="19"/>
              </w:rPr>
            </w:r>
          </w:p>
        </w:tc>
      </w:tr>
      <w:tr>
        <w:tc>
          <w:tcPr>
            <w:tcW w:type="dxa" w:w="1872"/>
          </w:tcPr>
          <w:p>
            <w:r>
              <w:rPr>
                <w:rFonts w:ascii="Arial" w:hAnsi="Arial"/>
                <w:b w:val="0"/>
                <w:i w:val="0"/>
                <w:color w:val="000000"/>
                <w:sz w:val="19"/>
              </w:rPr>
              <w:t>puesto</w:t>
            </w:r>
          </w:p>
        </w:tc>
        <w:tc>
          <w:tcPr>
            <w:tcW w:type="dxa" w:w="1872"/>
          </w:tcPr>
          <w:p>
            <w:r>
              <w:rPr>
                <w:rFonts w:ascii="Arial" w:hAnsi="Arial"/>
                <w:b w:val="0"/>
                <w:i w:val="0"/>
                <w:color w:val="000000"/>
                <w:sz w:val="19"/>
              </w:rPr>
              <w:t>TINYINT UNSIGNED</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Lugar en el torneo; lo digita el staff, no se calcula ni se valida que sea único (dos deportistas pueden compartir puesto); pensado sobre todo para torneos de combate pequeños; nulo hasta después del torneo (RN-3.1, RN-3.3).</w:t>
            </w:r>
            <w:r>
              <w:rPr>
                <w:rFonts w:ascii="Arial" w:hAnsi="Arial"/>
                <w:b w:val="0"/>
                <w:i w:val="0"/>
                <w:color w:val="000000"/>
                <w:sz w:val="19"/>
              </w:rPr>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11.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inicio de los exámenes: 26 de abril, 26 de julio y 13 de diciembre de 2026 — verificado contra el Plan de Acción IMRDS 2026, fuente primaria (RN-5.4, RN-5.5).</w:t>
            </w:r>
            <w:r>
              <w:rPr>
                <w:rFonts w:ascii="Arial" w:hAnsi="Arial"/>
                <w:b w:val="0"/>
                <w:i w:val="0"/>
                <w:color w:val="000000"/>
                <w:sz w:val="19"/>
              </w:rPr>
            </w:r>
          </w:p>
        </w:tc>
      </w:tr>
      <w:tr>
        <w:tc>
          <w:tcPr>
            <w:tcW w:type="dxa" w:w="1872"/>
          </w:tcPr>
          <w:p>
            <w:r>
              <w:rPr>
                <w:rFonts w:ascii="Arial" w:hAnsi="Arial"/>
                <w:b w:val="0"/>
                <w:i w:val="0"/>
                <w:color w:val="000000"/>
                <w:sz w:val="19"/>
              </w:rPr>
              <w:t>fecha_grado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la ceremonia de entrega de cinturones; fecha_entrega (ver entrega_cinturon) toma este valor por defecto, aunque puede ajustarse (RN-5.5, RN-5.7).</w:t>
            </w:r>
            <w:r>
              <w:rPr>
                <w:rFonts w:ascii="Arial" w:hAnsi="Arial"/>
                <w:b w:val="0"/>
                <w:i w:val="0"/>
                <w:color w:val="000000"/>
                <w:sz w:val="19"/>
              </w:rPr>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ENUM('abierta', 'cerrada')</w:t>
            </w:r>
          </w:p>
        </w:tc>
        <w:tc>
          <w:tcPr>
            <w:tcW w:type="dxa" w:w="1296"/>
          </w:tcPr>
          <w:p>
            <w:r>
              <w:rPr>
                <w:rFonts w:ascii="Arial" w:hAnsi="Arial"/>
                <w:b w:val="0"/>
                <w:i w:val="0"/>
                <w:color w:val="000000"/>
                <w:sz w:val="19"/>
              </w:rPr>
              <w:t>NOT NULL, por defecto 'abierta'</w:t>
            </w:r>
          </w:p>
        </w:tc>
        <w:tc>
          <w:tcPr>
            <w:tcW w:type="dxa" w:w="4320"/>
          </w:tcPr>
          <w:p>
            <w:r>
              <w:rPr>
                <w:rFonts w:ascii="Arial" w:hAnsi="Arial"/>
                <w:b w:val="0"/>
                <w:i w:val="0"/>
                <w:color w:val="000000"/>
                <w:sz w:val="19"/>
              </w:rPr>
              <w:t>[CONFIRMADO] Cerrada solo con todas las modalidades completadas; para editar notas hay que reabrirla (RN-5.5).</w:t>
            </w:r>
          </w:p>
        </w:tc>
      </w:tr>
      <w:tr>
        <w:tc>
          <w:tcPr>
            <w:tcW w:type="dxa" w:w="1872"/>
          </w:tcPr>
          <w:p>
            <w:r>
              <w:rPr>
                <w:rFonts w:ascii="Arial" w:hAnsi="Arial"/>
                <w:b w:val="0"/>
                <w:i w:val="0"/>
                <w:color w:val="000000"/>
                <w:sz w:val="19"/>
              </w:rPr>
              <w:t>evento_examen_id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evaluacion, en la fecha de inicio; único por sesión, llave única unico_evento_examen (RN-5.5, RN-9.2).</w:t>
            </w:r>
          </w:p>
        </w:tc>
      </w:tr>
      <w:tr>
        <w:tc>
          <w:tcPr>
            <w:tcW w:type="dxa" w:w="1872"/>
          </w:tcPr>
          <w:p>
            <w:r>
              <w:rPr>
                <w:rFonts w:ascii="Arial" w:hAnsi="Arial"/>
                <w:b w:val="0"/>
                <w:i w:val="0"/>
                <w:color w:val="000000"/>
                <w:sz w:val="19"/>
              </w:rPr>
              <w:t>evento_grado_id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grado, en la fecha de grado; único por sesión, llave única unico_evento_grado (RN-5.5, RN-9.2).</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Llave foránea: evento_examen_id → evento_calendario.id. ON DELETE SET NULL: si se elimina el evento de calendario, la sesión de examen no se borra ni queda huérfana, solo pierde la referencia. ON UPDATE CASCADE: propagación estándar.</w:t>
      </w:r>
    </w:p>
    <w:p>
      <w:pPr>
        <w:spacing w:before="0" w:after="160"/>
      </w:pPr>
      <w:r>
        <w:rPr>
          <w:rFonts w:ascii="Arial" w:hAnsi="Arial"/>
          <w:color w:val="000000"/>
          <w:sz w:val="24"/>
        </w:rPr>
        <w:t>Llave foránea: evento_grado_id → evento_calendario.id. ON DELETE SET NULL: igual razonamiento que evento_examen_id. ON UPDATE CASCADE: propagación estándar.</w:t>
      </w:r>
    </w:p>
    <w:p>
      <w:pPr>
        <w:spacing w:before="120" w:after="60"/>
      </w:pPr>
      <w:r>
        <w:rPr>
          <w:rFonts w:ascii="Arial" w:hAnsi="Arial"/>
          <w:b/>
          <w:i w:val="0"/>
          <w:color w:val="000000"/>
          <w:sz w:val="22"/>
        </w:rPr>
        <w:t>12.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Estado de esta modalidad (pendiente/completado); no confundir con el estado abierta/cerrada de la sesión completa (ver sesion_examen).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nota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Escala de 1 a 10, ya no de 1 a 5 (RN-5.1, RN-5.3); nulo hasta calificar. CHECK rango_detalle_nota (1 a 10).</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[PENDIENTE DE RESPUESTA] Valor numérico de prueba física; depende todavía de la plantilla oficial de examen qué prueba exacta corresponde a este número por modalidad (RN-2.3, RN-5.1, RN-5.3).</w:t>
            </w:r>
            <w:r>
              <w:rPr>
                <w:rFonts w:ascii="Arial" w:hAnsi="Arial"/>
                <w:b w:val="0"/>
                <w:i w:val="0"/>
                <w:color w:val="000000"/>
                <w:sz w:val="19"/>
              </w:rPr>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Nulo hasta calificar; se deriva de la nota al guardar y es solo informativo por modalidad — no decide por sí mismo el resultado general del examen. El resultado general es provisional mientras no llegue la plantilla oficial: las seis modalidades completadas y promedio de notas igual o mayor a 5, sin exigir aprobar cada una por separado (RN-5.1, RN-5.3).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before="0" w:after="60"/>
      </w:pPr>
      <w:r>
        <w:rPr>
          <w:rFonts w:ascii="Arial" w:hAnsi="Arial"/>
          <w:b/>
          <w:color w:val="000000"/>
          <w:sz w:val="24"/>
        </w:rPr>
        <w:t>13. entrega_cinturon</w:t>
      </w:r>
    </w:p>
    <w:p>
      <w:pPr>
        <w:spacing w:before="0" w:after="60"/>
      </w:pPr>
      <w:r>
        <w:rPr>
          <w:rFonts w:ascii="Arial" w:hAnsi="Arial"/>
          <w:color w:val="000000"/>
          <w:sz w:val="24"/>
        </w:rPr>
        <w:t>Registra, por sesión de examen y deportista, la confirmación de entrega física del cinturón tras un examen aprobado — condición necesaria junto con el cierre de la sesión para que deportista.grado_actual se actualice (RN-5.3, RN-5.5, RN-5.7).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corresponde esta entrega.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se le entrega el cinturón.</w:t>
            </w:r>
          </w:p>
        </w:tc>
      </w:tr>
      <w:tr>
        <w:tc>
          <w:tcPr>
            <w:tcW w:type="dxa" w:w="1872"/>
          </w:tcPr>
          <w:p>
            <w:r>
              <w:rPr>
                <w:rFonts w:ascii="Arial" w:hAnsi="Arial"/>
                <w:b w:val="0"/>
                <w:i w:val="0"/>
                <w:color w:val="000000"/>
                <w:sz w:val="19"/>
              </w:rPr>
              <w:t>cinturon_entregado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Confirmación manual de la entrega física del cinturón, por el personal administrativo o por el propio deportista desde la vista pública (RN-5.7).</w:t>
            </w:r>
            <w:r>
              <w:rPr>
                <w:rFonts w:ascii="Arial" w:hAnsi="Arial"/>
                <w:b w:val="0"/>
                <w:i w:val="0"/>
                <w:color w:val="000000"/>
                <w:sz w:val="19"/>
              </w:rPr>
            </w:r>
          </w:p>
        </w:tc>
      </w:tr>
      <w:tr>
        <w:tc>
          <w:tcPr>
            <w:tcW w:type="dxa" w:w="1872"/>
          </w:tcPr>
          <w:p>
            <w:r>
              <w:rPr>
                <w:rFonts w:ascii="Arial" w:hAnsi="Arial"/>
                <w:b w:val="0"/>
                <w:i w:val="0"/>
                <w:color w:val="000000"/>
                <w:sz w:val="19"/>
              </w:rPr>
              <w:t>fecha_entrega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mientras no se haya entregado; toma por defecto la fecha de grado de la sesión, aunque puede ajustarse (RN-5.7).</w:t>
            </w:r>
          </w:p>
        </w:tc>
      </w:tr>
      <w:tr>
        <w:tc>
          <w:tcPr>
            <w:tcW w:type="dxa" w:w="1872"/>
          </w:tcPr>
          <w:p>
            <w:r>
              <w:rPr>
                <w:rFonts w:ascii="Arial" w:hAnsi="Arial"/>
                <w:b w:val="0"/>
                <w:i w:val="0"/>
                <w:color w:val="000000"/>
                <w:sz w:val="19"/>
              </w:rPr>
              <w:t>confirmado_por</w:t>
            </w:r>
          </w:p>
        </w:tc>
        <w:tc>
          <w:tcPr>
            <w:tcW w:type="dxa" w:w="1872"/>
          </w:tcPr>
          <w:p>
            <w:r>
              <w:rPr>
                <w:rFonts w:ascii="Arial" w:hAnsi="Arial"/>
                <w:b w:val="0"/>
                <w:i w:val="0"/>
                <w:color w:val="000000"/>
                <w:sz w:val="19"/>
              </w:rPr>
              <w:t>ENUM('administrativo', 'deportista')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Quién confirmó la entrega; nulo mientras no se haya entregado (RN-5.7).</w:t>
            </w:r>
          </w:p>
        </w:tc>
      </w:tr>
    </w:tbl>
    <w:p>
      <w:pPr>
        <w:spacing w:before="0" w:after="60"/>
      </w:pPr>
      <w:r>
        <w:rPr>
          <w:rFonts w:ascii="Arial" w:hAnsi="Arial"/>
          <w:b w:val="0"/>
          <w:i w:val="0"/>
          <w:color w:val="000000"/>
          <w:sz w:val="24"/>
        </w:rPr>
        <w:t>Llave primaria: compuesta (sesion_examen_id, deportista_documento).</w:t>
      </w:r>
    </w:p>
    <w:p>
      <w:pPr>
        <w:spacing w:before="0" w:after="60"/>
      </w:pPr>
      <w:r>
        <w:rPr>
          <w:rFonts w:ascii="Arial" w:hAnsi="Arial"/>
          <w:color w:val="000000"/>
          <w:sz w:val="24"/>
        </w:rPr>
        <w:t>Llave foránea: sesion_examen_id → sesion_examen.id. ON DELETE RESTRICT: no se borra una sesión de examen con entregas de cinturón registradas. ON UPDATE CASCADE: propagación estándar.</w:t>
      </w:r>
    </w:p>
    <w:p>
      <w:pPr>
        <w:spacing w:before="0" w:after="60"/>
      </w:pPr>
      <w:r>
        <w:rPr>
          <w:rFonts w:ascii="Arial" w:hAnsi="Arial"/>
          <w:color w:val="000000"/>
          <w:sz w:val="24"/>
        </w:rPr>
        <w:t>Llave foránea: deportista_documento → deportista.documento. ON DELETE RESTRICT: no se borra el historial de entregas de cinturón de un deportista. ON UPDATE CASCADE: propaga la corrección del documento del deportista.</w:t>
      </w:r>
    </w:p>
    <w:p>
      <w:pPr>
        <w:spacing w:after="160"/>
      </w:pPr>
      <w:r>
        <w:rPr>
          <w:rFonts w:ascii="Arial" w:hAnsi="Arial"/>
          <w:b/>
          <w:i w:val="0"/>
          <w:color w:val="000000"/>
          <w:sz w:val="20"/>
        </w:rPr>
        <w:t>14. intento_acceso</w:t>
      </w:r>
    </w:p>
    <w:p>
      <w:pPr>
        <w:spacing w:after="160"/>
      </w:pPr>
      <w:r>
        <w:rPr>
          <w:rFonts w:ascii="Arial" w:hAnsi="Arial"/>
          <w:b w:val="0"/>
          <w:i w:val="0"/>
          <w:color w:val="000000"/>
          <w:sz w:val="20"/>
        </w:rPr>
        <w:t>Registra los intentos fallidos de acceso de los dos ámbitos (RN-T.16, RN-T.2): cuántos fallos consecutivos lleva un identificador (documento en el ámbito público, correo en el ámbito administrativo) y, si llegó a 4, hasta cuándo queda bloqueado.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ambito</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Login al que corresponde el contador; mismos valores que el ámbito de la sesión (RN-T.2).</w:t>
            </w:r>
          </w:p>
        </w:tc>
      </w:tr>
      <w:tr>
        <w:tc>
          <w:tcPr>
            <w:tcW w:type="dxa" w:w="1872"/>
          </w:tcPr>
          <w:p>
            <w:r>
              <w:rPr>
                <w:rFonts w:ascii="Arial" w:hAnsi="Arial"/>
                <w:b w:val="0"/>
                <w:i w:val="0"/>
                <w:color w:val="000000"/>
                <w:sz w:val="19"/>
              </w:rPr>
              <w:t>identificador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 digitado al entrar: correo (ámbito administrativo) o documento del deportista (ámbito público). Sin llave foránea a propósito: puede no existir y no debe poder deducirse si existe.</w:t>
            </w:r>
          </w:p>
        </w:tc>
      </w:tr>
      <w:tr>
        <w:tc>
          <w:tcPr>
            <w:tcW w:type="dxa" w:w="1872"/>
          </w:tcPr>
          <w:p>
            <w:r>
              <w:rPr>
                <w:rFonts w:ascii="Arial" w:hAnsi="Arial"/>
                <w:b w:val="0"/>
                <w:i w:val="0"/>
                <w:color w:val="000000"/>
                <w:sz w:val="19"/>
              </w:rPr>
              <w:t>intentos_fallidos</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 por defecto 0</w:t>
            </w:r>
          </w:p>
        </w:tc>
        <w:tc>
          <w:tcPr>
            <w:tcW w:type="dxa" w:w="4320"/>
          </w:tcPr>
          <w:p>
            <w:r>
              <w:rPr>
                <w:rFonts w:ascii="Arial" w:hAnsi="Arial"/>
                <w:b w:val="0"/>
                <w:i w:val="0"/>
                <w:color w:val="000000"/>
                <w:sz w:val="19"/>
              </w:rPr>
              <w:t>[CONFIRMADO] Fallos consecutivos; con 4 se bloquea 15 minutos (antes 5); vuelve a 0 al acertar (RN-T.16).</w:t>
            </w:r>
          </w:p>
        </w:tc>
      </w:tr>
      <w:tr>
        <w:tc>
          <w:tcPr>
            <w:tcW w:type="dxa" w:w="1872"/>
          </w:tcPr>
          <w:p>
            <w:r>
              <w:rPr>
                <w:rFonts w:ascii="Arial" w:hAnsi="Arial"/>
                <w:b w:val="0"/>
                <w:i w:val="0"/>
                <w:color w:val="000000"/>
                <w:sz w:val="19"/>
              </w:rPr>
              <w:t>bloqueado_hasta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Fin del bloqueo de 15 minutos tras el cuarto fallo (antes quinto); nulo si no está bloqueado (RN-T.16).</w:t>
            </w:r>
          </w:p>
        </w:tc>
      </w:tr>
    </w:tbl>
    <w:p>
      <w:pPr>
        <w:spacing w:after="160"/>
      </w:pPr>
      <w:r>
        <w:rPr>
          <w:rFonts w:ascii="Arial" w:hAnsi="Arial"/>
          <w:b w:val="0"/>
          <w:i w:val="0"/>
          <w:color w:val="000000"/>
          <w:sz w:val="20"/>
        </w:rPr>
        <w:t>Llave primaria: compuesta (ambito, identificador). Sin llaves foráneas (a propósito, ver arriba).</w:t>
      </w:r>
    </w:p>
    <w:p>
      <w:pPr>
        <w:spacing w:after="160"/>
      </w:pPr>
      <w:r>
        <w:rPr>
          <w:rFonts w:ascii="Arial" w:hAnsi="Arial"/>
          <w:color w:val="000000"/>
          <w:sz w:val="20"/>
        </w:rPr>
        <w:t>Procedimiento almacenado cambiar_correo_administrador(correo_actual, correo_nuevo): en una sola transacción, propaga el cambio de correo de una cuenta administrativa a las dos columnas que lo referencian sin llave foránea — usuario_administrativo.creado_por_correo y deportista.validado_por_correo —, además de la propia usuario_administrativo.correo, para que ninguna quede con un correo desactualizado (RN-T.11, RN-T.12).</w:t>
      </w:r>
    </w:p>
    <w:p>
      <w:pPr>
        <w:spacing w:after="160"/>
      </w:pPr>
      <w:r>
        <w:rPr>
          <w:rFonts w:ascii="Arial" w:hAnsi="Arial"/>
          <w:b w:val="0"/>
          <w:i/>
          <w:color w:val="000000"/>
          <w:sz w:val="20"/>
        </w:rPr>
        <w:t>Fuente: base_datos/esquema_hwanghon_v4.sql (script DDL ejecutado y verificado por John el 16/10/2026); Reglas de Negocio v1.0; ver también sección 20.</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histórico, documentado arriba. Versión vigente: 13_mer_v5.mmd, sincronizada el 16/10/2026 con Reglas de Negocio v1.0 y esquema_hwanghon_v4.sql — acumula los cambios ya descritos en la sección 13 (documento_general, entrega_cinturon, intento_acceso con llave ambito + identificador, nuevas columnas de contacto y de estado de la sesión de examen, entre otros). Se mantiene la leyenda de notación ya definida en la versión v1 (ver arriba). El archivo 13_mer_v5.png aún no se ha generado; se agrega a este documento cuando esté listo.</w:t>
      </w:r>
    </w:p>
    <w:p>
      <w:pPr>
        <w:spacing w:before="0" w:after="160"/>
      </w:pPr>
      <w:r>
        <w:rPr>
          <w:rFonts w:ascii="Arial" w:hAnsi="Arial"/>
          <w:b w:val="0"/>
          <w:i w:val="0"/>
          <w:color w:val="000000"/>
          <w:sz w:val="24"/>
        </w:rPr>
        <w:t>Modelo Relacional (14_modelo_relacional_v1.mmd/.png): histórico, documentado arriba. Versión vigente: 14_modelo_relacional_v4.mmd, que traduce el MER v5 a nivel lógico — nombres definitivos de tabla/columna, tipos de dato MySQL 8, nulidad y llaves primarias/foráneas con ON DELETE/ON UPDATE. Es la base directa del script SQL ejecutado y verificado (base_datos/esquema_hwanghon_v4.sql), documentado como diccionario de datos completo en la sección 13. El archivo 14_modelo_relacional_v4.png aún no se ha generado; se agrega a este documento cuando esté listo.</w:t>
      </w:r>
    </w:p>
    <w:p>
      <w:pPr>
        <w:spacing w:after="160"/>
      </w:pPr>
      <w:r>
        <w:rPr>
          <w:rFonts w:ascii="Arial" w:hAnsi="Arial"/>
          <w:b w:val="0"/>
          <w:i/>
          <w:color w:val="000000"/>
          <w:sz w:val="20"/>
        </w:rPr>
        <w:t>Fuente: Reglas de Negocio v1.0;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 Id="rId24"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