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Versión 0.1.3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23 de septiembre de 2026</w:t>
      </w:r>
    </w:p>
    <w:p>
      <w:pPr>
        <w:spacing w:after="60"/>
        <w:jc w:val="center"/>
      </w:pPr>
      <w:r>
        <w:rPr>
          <w:rFonts w:ascii="Arial" w:cs="Arial" w:eastAsia="Arial" w:hAnsi="Arial"/>
          <w:b w:val="false"/>
          <w:bCs w:val="false"/>
          <w:i/>
          <w:iCs/>
          <w:color w:val="000000"/>
          <w:sz w:val="18"/>
          <w:szCs w:val="18"/>
        </w:rPr>
        <w:t xml:space="preserve">Basado en el Documento Maestro v0.2.2 (documentacion/maestro/) y en la Bitácora Académica de</w:t>
      </w:r>
    </w:p>
    <w:p>
      <w:pPr>
        <w:spacing w:after="60"/>
        <w:jc w:val="center"/>
      </w:pPr>
      <w:r>
        <w:rPr>
          <w:rFonts w:ascii="Arial" w:cs="Arial" w:eastAsia="Arial" w:hAnsi="Arial"/>
          <w:b w:val="false"/>
          <w:bCs w:val="false"/>
          <w:i/>
          <w:iCs/>
          <w:color w:val="000000"/>
          <w:sz w:val="18"/>
          <w:szCs w:val="18"/>
        </w:rPr>
        <w:t xml:space="preserve">trabajo técnico del 18 de septiembre de 2026 (recursos/academico/).</w:t>
      </w:r>
    </w:p>
    <w:p>
      <w:pPr>
        <w:spacing w:after="60"/>
        <w:jc w:val="center"/>
      </w:pPr>
      <w:r>
        <w:rPr>
          <w:rFonts w:ascii="Arial" w:cs="Arial" w:eastAsia="Arial" w:hAnsi="Arial"/>
          <w:b w:val="false"/>
          <w:bCs w:val="false"/>
          <w:i/>
          <w:iCs/>
          <w:color w:val="000000"/>
          <w:sz w:val="18"/>
          <w:szCs w:val="18"/>
        </w:rPr>
        <w:t xml:space="preserve">Etiquetas usadas: [CONFIRMADO] · [PROPUESTA / A DEFINIR] · [PENDIENTE DE ALDRIN] · [PENDIENTE DE VERIFICACIÓN] · [PENDIENTE DE VALIDACIÓN].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pacing w:after="0"/>
        <w:jc w:val="center"/>
      </w:pPr>
      <w:r>
        <w:rPr>
          <w:rFonts w:ascii="Arial" w:hAnsi="Arial"/>
          <w:b w:val="0"/>
          <w:i/>
          <w:color w:val="000000"/>
          <w:sz w:val="16"/>
        </w:rPr>
        <w:t>v0.1.2: sección 10 (Casos de uso y flujos alternativos) desarrollada — transversal, login/registro</w:t>
      </w:r>
    </w:p>
    <w:p>
      <w:pPr>
        <w:spacing w:after="0"/>
        <w:jc w:val="center"/>
      </w:pPr>
      <w:r>
        <w:rPr>
          <w:rFonts w:ascii="Arial" w:hAnsi="Arial"/>
          <w:b w:val="0"/>
          <w:i/>
          <w:color w:val="000000"/>
          <w:sz w:val="16"/>
        </w:rPr>
        <w:t>y los 10 módulos, con 12 diagramas de flujo insertados. Se sincronizan las decisiones de</w:t>
      </w:r>
    </w:p>
    <w:p>
      <w:pPr>
        <w:spacing w:after="0"/>
        <w:jc w:val="center"/>
      </w:pPr>
      <w:r>
        <w:rPr>
          <w:rFonts w:ascii="Arial" w:hAnsi="Arial"/>
          <w:b w:val="0"/>
          <w:i/>
          <w:color w:val="000000"/>
          <w:sz w:val="16"/>
        </w:rPr>
        <w:t>autenticación cerradas después de v0.2.1 (cuentas individuales, gestión por Aldrin, token de recuperación).</w:t>
      </w:r>
    </w:p>
    <w:p>
      <w:pPr>
        <w:spacing w:after="0"/>
      </w:pPr>
      <w:r>
        <w:rPr>
          <w:rFonts w:ascii="Arial" w:hAnsi="Arial"/>
          <w:b w:val="0"/>
          <w:i/>
          <w:color w:val="000000"/>
          <w:sz w:val="16"/>
        </w:rPr>
        <w:t>v0.1.3: secciones 13 (Estructura de base de datos) y 20 (Diagramas técnicos) completadas con el MER v1 (11 entidades + leyenda), sincronizado con Reglas de Negocio v0.3.</w:t>
      </w:r>
    </w:p>
    <w:p>
      <w:pPr>
        <w:sectPr>
          <w:headerReference w:type="default" r:id="rId22"/>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 xml:space="preserve">Vista pública (deportista / acudiente)</w:t>
      </w:r>
    </w:p>
    <w:p>
      <w:pPr>
        <w:spacing w:after="160" w:before="0"/>
        <w:jc w:val="left"/>
      </w:pPr>
      <w:r>
        <w:rPr>
          <w:rFonts w:ascii="Arial" w:cs="Arial" w:eastAsia="Arial" w:hAnsi="Arial"/>
          <w:b w:val="false"/>
          <w:bCs w:val="false"/>
          <w:i w:val="false"/>
          <w:iCs w:val="false"/>
          <w:color w:val="000000"/>
          <w:sz w:val="24"/>
          <w:szCs w:val="24"/>
        </w:rPr>
        <w:t xml:space="preserve">Consulta de la información propia del deportista (evolución, estadísticas, historial, estado de mensualidades y matrícula). Edición limitada a dos campos: peso y discapacidad.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 xml:space="preserve">Reglas registradas hasta la ronda de revisión de reglas de negocio del 20 de septiembre de 2026. Ninguna regla marcada como PROPUESTA o PENDIENTE se implementa como definitiva sin confirmación. Esta tabla resume los puntos en seguimiento; para el detalle completo de cada regla, con su contexto y justificación, ver el documento Reglas de Negocio v0.1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Mora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defecto, solo advertencia/alerta, sin bloqueo automático del deportista.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 A DEFINIR (despriorizada)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Candidatas sin verificar: 26 de abril, 26 de julio y 13 de diciembre de 2026.</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VERIFICACIÓN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Posible categoría de 5 a 11 años; falta confirmar en la tabla oficial de categorías.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PENDIENTE DE ALDRIN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(18/09/2026), matrices de módulos 1, 2, 4, 5, 8 y 9; Reglas de Negocio v0.1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before="0" w:after="160"/>
      </w:pPr>
      <w:r>
        <w:rPr>
          <w:rFonts w:ascii="Arial" w:hAnsi="Arial"/>
          <w:b w:val="0"/>
          <w:i w:val="0"/>
          <w:color w:val="000000"/>
          <w:sz w:val="24"/>
        </w:rPr>
        <w:t>Casos de uso y flujos alternativos, organizados por componente transversal, por el flujo de login/creación de cuentas, y por cada uno de los diez módulos. El detalle de interacción (JavaScript asíncrono, componentes reutilizables, filtros y validaciones) fue consolidado directamente por John el 22 de septiembre de 2026, sobre la base de los módulos y reglas ya confirmados en Reglas de Negocio v0.1 y Documento Maestro v0.2.1. Cada subsección incluye su diagrama de flujo correspondiente (carpeta diagramas/png/ del repositorio; fuente editable en diagramas/mmd/).</w:t>
      </w:r>
    </w:p>
    <w:p>
      <w:pPr>
        <w:spacing w:before="140" w:after="80"/>
      </w:pPr>
      <w:r>
        <w:rPr>
          <w:rFonts w:ascii="Arial" w:hAnsi="Arial"/>
          <w:b/>
          <w:i w:val="0"/>
          <w:color w:val="000000"/>
          <w:sz w:val="24"/>
        </w:rPr>
        <w:t>Transversal</w:t>
      </w:r>
    </w:p>
    <w:p>
      <w:pPr>
        <w:spacing w:before="0" w:after="160"/>
      </w:pPr>
      <w:r>
        <w:rPr>
          <w:rFonts w:ascii="Arial" w:hAnsi="Arial"/>
          <w:b w:val="0"/>
          <w:i w:val="0"/>
          <w:color w:val="000000"/>
          <w:sz w:val="24"/>
        </w:rPr>
        <w:t>[CONFIRMADO — decisión de John, 22/09/2026] El buscador de deportistas con autocompletado es un componente reutilizado en los módulos 1 (Gestión de deportistas), 3 (Competencias y torneos) y 4 (Estadísticas y rendimiento); filtra en tiempo real mientras el usuario escribe (requiere JavaScript asíncrono). El header y el sidebar de la vista administrativa son componentes reutilizables en todas las pantallas del sistema: no se rediseñan por módulo.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7703968"/>
            <wp:docPr id="1" name="Picture 1"/>
            <wp:cNvGraphicFramePr>
              <a:graphicFrameLocks noChangeAspect="1"/>
            </wp:cNvGraphicFramePr>
            <a:graphic>
              <a:graphicData uri="http://schemas.openxmlformats.org/drawingml/2006/picture">
                <pic:pic>
                  <pic:nvPicPr>
                    <pic:cNvPr id="0" name="01_transversal.png"/>
                    <pic:cNvPicPr/>
                  </pic:nvPicPr>
                  <pic:blipFill>
                    <a:blip r:embed="rId10"/>
                    <a:stretch>
                      <a:fillRect/>
                    </a:stretch>
                  </pic:blipFill>
                  <pic:spPr>
                    <a:xfrm>
                      <a:off x="0" y="0"/>
                      <a:ext cx="4114800" cy="7703968"/>
                    </a:xfrm>
                    <a:prstGeom prst="rect"/>
                  </pic:spPr>
                </pic:pic>
              </a:graphicData>
            </a:graphic>
          </wp:inline>
        </w:drawing>
      </w:r>
    </w:p>
    <w:p>
      <w:pPr>
        <w:spacing w:after="280"/>
        <w:jc w:val="center"/>
      </w:pPr>
      <w:r>
        <w:rPr>
          <w:rFonts w:ascii="Arial" w:hAnsi="Arial"/>
          <w:b w:val="0"/>
          <w:i/>
          <w:color w:val="000000"/>
          <w:sz w:val="18"/>
        </w:rPr>
        <w:t>Figura 10.1 — Flujo transversal (diagramas/png/01_transversal.png)</w:t>
      </w:r>
    </w:p>
    <w:p>
      <w:pPr>
        <w:spacing w:before="140" w:after="80"/>
      </w:pPr>
      <w:r>
        <w:rPr>
          <w:rFonts w:ascii="Arial" w:hAnsi="Arial"/>
          <w:b/>
          <w:i w:val="0"/>
          <w:color w:val="000000"/>
          <w:sz w:val="24"/>
        </w:rPr>
        <w:t>Login y creación de cuentas (flujo nuevo)</w:t>
      </w:r>
    </w:p>
    <w:p>
      <w:pPr>
        <w:spacing w:before="0" w:after="160"/>
      </w:pPr>
      <w:r>
        <w:rPr>
          <w:rFonts w:ascii="Arial" w:hAnsi="Arial"/>
          <w:b w:val="0"/>
          <w:i w:val="0"/>
          <w:color w:val="000000"/>
          <w:sz w:val="24"/>
        </w:rPr>
        <w:t>[CONFIRMADO — decisión de John, 22/09/2026] Flujo nuevo: no existía en ninguna versión anterior de este documento. La vista de login por defecto es la administrativa (ingreso por documento o correo), con un botón para cambiar a la vista pública. En la vista pública, el ingreso es por documento de identidad, sin contraseña.</w:t>
      </w:r>
    </w:p>
    <w:p>
      <w:pPr>
        <w:spacing w:before="0" w:after="160"/>
      </w:pPr>
      <w:r>
        <w:rPr>
          <w:rFonts w:ascii="Arial" w:hAnsi="Arial"/>
          <w:b w:val="0"/>
          <w:i w:val="0"/>
          <w:color w:val="000000"/>
          <w:sz w:val="24"/>
        </w:rPr>
        <w:t>Un enlace "Registrarse al club" lleva a una URL/QR permanente, separada del login, donde se abre el mismo formulario de inscripción que usa el administrativo (módulo 1). El registro queda en estado pendiente hasta que un administrativo valida manualmente que la persona es parte del club.</w:t>
      </w:r>
    </w:p>
    <w:p>
      <w:pPr>
        <w:spacing w:before="0" w:after="160"/>
      </w:pPr>
      <w:r>
        <w:rPr>
          <w:rFonts w:ascii="Arial" w:hAnsi="Arial"/>
          <w:b w:val="0"/>
          <w:i w:val="0"/>
          <w:color w:val="000000"/>
          <w:sz w:val="24"/>
        </w:rPr>
        <w:t>Tras la validación, el sistema solicita documentos de soporte. Hay dos canales posibles: (a) un canal externo (p. ej. WhatsApp), con carga posterior del documento por parte del administrativo; o (b) carga directa desde el sistema, en un espacio temporal con guardado en tiempo real (requiere JavaScript asíncrono) y bloqueo definitivo del espacio solo al confirmar "Guardar cambios".</w:t>
      </w:r>
    </w:p>
    <w:p>
      <w:pPr>
        <w:spacing w:before="0" w:after="160"/>
      </w:pPr>
      <w:r>
        <w:rPr>
          <w:rFonts w:ascii="Arial" w:hAnsi="Arial"/>
          <w:b w:val="0"/>
          <w:i w:val="0"/>
          <w:color w:val="000000"/>
          <w:sz w:val="24"/>
        </w:rPr>
        <w:t>El acceso final de la cuenta queda restringido a los mismos dos campos editables de cualquier cuenta pública: peso y discapacidad. El administrativo cuenta con una lista de registros pendientes de validación para revisar y aprobar.</w:t>
      </w:r>
    </w:p>
    <w:p>
      <w:pPr>
        <w:spacing w:before="0" w:after="160"/>
      </w:pPr>
      <w:r>
        <w:rPr>
          <w:rFonts w:ascii="Arial" w:hAnsi="Arial"/>
          <w:b w:val="0"/>
          <w:i w:val="0"/>
          <w:color w:val="000000"/>
          <w:sz w:val="24"/>
        </w:rPr>
        <w:t>[CONFIRMADO — decisiones de autenticación cerradas después de v0.2.1, no incorporadas hasta ahora en ningún documento] Las cuentas administrativas son individuales por persona, no una credencial genérica compartida entre el equipo. Aldrin, como administrador principal, es el único con capacidad de gestionar las cuentas del equipo administrativo (crear, editar, desactivar); esto no altera la vista administrativa unificada sin permisos granulares ya confirmada (ver sección 8): todas las cuentas siguen viendo y editando lo mismo, la gestión de cuentas es la única función exclusiva de Aldrin. La recuperación de contraseña se hace por un enlace enviado al correo, con un token de un solo uso y tiempo límite de vigencia.</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2419045"/>
            <wp:docPr id="2" name="Picture 2"/>
            <wp:cNvGraphicFramePr>
              <a:graphicFrameLocks noChangeAspect="1"/>
            </wp:cNvGraphicFramePr>
            <a:graphic>
              <a:graphicData uri="http://schemas.openxmlformats.org/drawingml/2006/picture">
                <pic:pic>
                  <pic:nvPicPr>
                    <pic:cNvPr id="0" name="02_login_registro.png"/>
                    <pic:cNvPicPr/>
                  </pic:nvPicPr>
                  <pic:blipFill>
                    <a:blip r:embed="rId11"/>
                    <a:stretch>
                      <a:fillRect/>
                    </a:stretch>
                  </pic:blipFill>
                  <pic:spPr>
                    <a:xfrm>
                      <a:off x="0" y="0"/>
                      <a:ext cx="3657600" cy="12419045"/>
                    </a:xfrm>
                    <a:prstGeom prst="rect"/>
                  </pic:spPr>
                </pic:pic>
              </a:graphicData>
            </a:graphic>
          </wp:inline>
        </w:drawing>
      </w:r>
    </w:p>
    <w:p>
      <w:pPr>
        <w:spacing w:after="280"/>
        <w:jc w:val="center"/>
      </w:pPr>
      <w:r>
        <w:rPr>
          <w:rFonts w:ascii="Arial" w:hAnsi="Arial"/>
          <w:b w:val="0"/>
          <w:i/>
          <w:color w:val="000000"/>
          <w:sz w:val="18"/>
        </w:rPr>
        <w:t>Figura 10.2 — Login y creación de cuentas (diagramas/png/02_login_registro.png)</w:t>
      </w:r>
    </w:p>
    <w:p>
      <w:pPr>
        <w:spacing w:before="140" w:after="80"/>
      </w:pPr>
      <w:r>
        <w:rPr>
          <w:rFonts w:ascii="Arial" w:hAnsi="Arial"/>
          <w:b/>
          <w:i w:val="0"/>
          <w:color w:val="000000"/>
          <w:sz w:val="24"/>
        </w:rPr>
        <w:t>Módulo 1 — Gestión de deportistas</w:t>
      </w:r>
    </w:p>
    <w:p>
      <w:pPr>
        <w:spacing w:before="0" w:after="160"/>
      </w:pPr>
      <w:r>
        <w:rPr>
          <w:rFonts w:ascii="Arial" w:hAnsi="Arial"/>
          <w:b w:val="0"/>
          <w:i w:val="0"/>
          <w:color w:val="000000"/>
          <w:sz w:val="24"/>
        </w:rPr>
        <w:t>[CONFIRMADO — decisión de John, 22/09/2026] Dos vías de alta: registro individual por formulario, y carga masiva por Excel/CSV con validación fila por fila antes de confirmar (requiere JavaScript asíncrono; mismo mecanismo confirmado para el calendario, módulo 9). El selector de archivo es único, pero filtra el tipo de archivo permitido según el contexto desde el que se abre: en carga masiva solo permite CSV/Excel; en documentos de un deportista ya seleccionado, solo permite Word/PDF, y ahí sí se permite seleccionar varios archivos a la vez. Desde la ficha del deportista hay enlaces directos hacia su historial y sus estadísticas.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330362"/>
            <wp:docPr id="3" name="Picture 3"/>
            <wp:cNvGraphicFramePr>
              <a:graphicFrameLocks noChangeAspect="1"/>
            </wp:cNvGraphicFramePr>
            <a:graphic>
              <a:graphicData uri="http://schemas.openxmlformats.org/drawingml/2006/picture">
                <pic:pic>
                  <pic:nvPicPr>
                    <pic:cNvPr id="0" name="03_modulo1_gestion_deportistas.png"/>
                    <pic:cNvPicPr/>
                  </pic:nvPicPr>
                  <pic:blipFill>
                    <a:blip r:embed="rId12"/>
                    <a:stretch>
                      <a:fillRect/>
                    </a:stretch>
                  </pic:blipFill>
                  <pic:spPr>
                    <a:xfrm>
                      <a:off x="0" y="0"/>
                      <a:ext cx="4572000" cy="7330362"/>
                    </a:xfrm>
                    <a:prstGeom prst="rect"/>
                  </pic:spPr>
                </pic:pic>
              </a:graphicData>
            </a:graphic>
          </wp:inline>
        </w:drawing>
      </w:r>
    </w:p>
    <w:p>
      <w:pPr>
        <w:spacing w:after="280"/>
        <w:jc w:val="center"/>
      </w:pPr>
      <w:r>
        <w:rPr>
          <w:rFonts w:ascii="Arial" w:hAnsi="Arial"/>
          <w:b w:val="0"/>
          <w:i/>
          <w:color w:val="000000"/>
          <w:sz w:val="18"/>
        </w:rPr>
        <w:t>Figura 10.3 — Módulo 1 — Gestión de deportistas (diagramas/png/03_modulo1_gestion_deportistas.png)</w:t>
      </w:r>
    </w:p>
    <w:p>
      <w:pPr>
        <w:spacing w:before="140" w:after="80"/>
      </w:pPr>
      <w:r>
        <w:rPr>
          <w:rFonts w:ascii="Arial" w:hAnsi="Arial"/>
          <w:b/>
          <w:i w:val="0"/>
          <w:color w:val="000000"/>
          <w:sz w:val="24"/>
        </w:rPr>
        <w:t>Módulo 2 — Historial deportivo</w:t>
      </w:r>
    </w:p>
    <w:p>
      <w:pPr>
        <w:spacing w:before="0" w:after="160"/>
      </w:pPr>
      <w:r>
        <w:rPr>
          <w:rFonts w:ascii="Arial" w:hAnsi="Arial"/>
          <w:b w:val="0"/>
          <w:i w:val="0"/>
          <w:color w:val="000000"/>
          <w:sz w:val="24"/>
        </w:rPr>
        <w:t>[CONFIRMADO — decisión de John, 22/09/2026] Cuatro accesos desde la ficha del deportista: competencias, ascensos, asistencias, y estadísticas y rendimiento.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4977882"/>
            <wp:docPr id="4" name="Picture 4"/>
            <wp:cNvGraphicFramePr>
              <a:graphicFrameLocks noChangeAspect="1"/>
            </wp:cNvGraphicFramePr>
            <a:graphic>
              <a:graphicData uri="http://schemas.openxmlformats.org/drawingml/2006/picture">
                <pic:pic>
                  <pic:nvPicPr>
                    <pic:cNvPr id="0" name="04_modulo2_historial_deportivo.png"/>
                    <pic:cNvPicPr/>
                  </pic:nvPicPr>
                  <pic:blipFill>
                    <a:blip r:embed="rId13"/>
                    <a:stretch>
                      <a:fillRect/>
                    </a:stretch>
                  </pic:blipFill>
                  <pic:spPr>
                    <a:xfrm>
                      <a:off x="0" y="0"/>
                      <a:ext cx="5029200" cy="4977882"/>
                    </a:xfrm>
                    <a:prstGeom prst="rect"/>
                  </pic:spPr>
                </pic:pic>
              </a:graphicData>
            </a:graphic>
          </wp:inline>
        </w:drawing>
      </w:r>
    </w:p>
    <w:p>
      <w:pPr>
        <w:spacing w:after="280"/>
        <w:jc w:val="center"/>
      </w:pPr>
      <w:r>
        <w:rPr>
          <w:rFonts w:ascii="Arial" w:hAnsi="Arial"/>
          <w:b w:val="0"/>
          <w:i/>
          <w:color w:val="000000"/>
          <w:sz w:val="18"/>
        </w:rPr>
        <w:t>Figura 10.4 — Módulo 2 — Historial deportivo (diagramas/png/04_modulo2_historial_deportivo.png)</w:t>
      </w:r>
    </w:p>
    <w:p>
      <w:pPr>
        <w:spacing w:before="140" w:after="80"/>
      </w:pPr>
      <w:r>
        <w:rPr>
          <w:rFonts w:ascii="Arial" w:hAnsi="Arial"/>
          <w:b/>
          <w:i w:val="0"/>
          <w:color w:val="000000"/>
          <w:sz w:val="24"/>
        </w:rPr>
        <w:t>Módulo 3 — Competencias y torneos</w:t>
      </w:r>
    </w:p>
    <w:p>
      <w:pPr>
        <w:spacing w:before="0" w:after="160"/>
      </w:pPr>
      <w:r>
        <w:rPr>
          <w:rFonts w:ascii="Arial" w:hAnsi="Arial"/>
          <w:b w:val="0"/>
          <w:i w:val="0"/>
          <w:color w:val="000000"/>
          <w:sz w:val="24"/>
        </w:rPr>
        <w:t>[CONFIRMADO — decisión de John, 22/09/2026] El flujo normal parte de seleccionar una competencia ya existente en el calendario (módulo 9); como excepción, se permite la creación directa de una competencia para casos extraordinarios no programados. La asociación de deportistas a una competencia — incluyendo deportistas inactivos — se hace mediante un buscador con autocompletado (asíncrono, componente transversal). El listado de competencias se puede filtrar por deportista, fecha o lugar, también con autocompletado en tiempo real.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055279"/>
            <wp:docPr id="5" name="Picture 5"/>
            <wp:cNvGraphicFramePr>
              <a:graphicFrameLocks noChangeAspect="1"/>
            </wp:cNvGraphicFramePr>
            <a:graphic>
              <a:graphicData uri="http://schemas.openxmlformats.org/drawingml/2006/picture">
                <pic:pic>
                  <pic:nvPicPr>
                    <pic:cNvPr id="0" name="05_modulo3_competencias_torneos.png"/>
                    <pic:cNvPicPr/>
                  </pic:nvPicPr>
                  <pic:blipFill>
                    <a:blip r:embed="rId14"/>
                    <a:stretch>
                      <a:fillRect/>
                    </a:stretch>
                  </pic:blipFill>
                  <pic:spPr>
                    <a:xfrm>
                      <a:off x="0" y="0"/>
                      <a:ext cx="3657600" cy="10055279"/>
                    </a:xfrm>
                    <a:prstGeom prst="rect"/>
                  </pic:spPr>
                </pic:pic>
              </a:graphicData>
            </a:graphic>
          </wp:inline>
        </w:drawing>
      </w:r>
    </w:p>
    <w:p>
      <w:pPr>
        <w:spacing w:after="280"/>
        <w:jc w:val="center"/>
      </w:pPr>
      <w:r>
        <w:rPr>
          <w:rFonts w:ascii="Arial" w:hAnsi="Arial"/>
          <w:b w:val="0"/>
          <w:i/>
          <w:color w:val="000000"/>
          <w:sz w:val="18"/>
        </w:rPr>
        <w:t>Figura 10.5 — Módulo 3 — Competencias y torneos (diagramas/png/05_modulo3_competencias_torneos.png)</w:t>
      </w:r>
    </w:p>
    <w:p>
      <w:pPr>
        <w:spacing w:before="140" w:after="80"/>
      </w:pPr>
      <w:r>
        <w:rPr>
          <w:rFonts w:ascii="Arial" w:hAnsi="Arial"/>
          <w:b/>
          <w:i w:val="0"/>
          <w:color w:val="000000"/>
          <w:sz w:val="24"/>
        </w:rPr>
        <w:t>Módulo 4 — Estadísticas y rendimiento</w:t>
      </w:r>
    </w:p>
    <w:p>
      <w:pPr>
        <w:spacing w:before="0" w:after="160"/>
      </w:pPr>
      <w:r>
        <w:rPr>
          <w:rFonts w:ascii="Arial" w:hAnsi="Arial"/>
          <w:b w:val="0"/>
          <w:i w:val="0"/>
          <w:color w:val="000000"/>
          <w:sz w:val="24"/>
        </w:rPr>
        <w:t>[CONFIRMADO — decisión de John, 22/09/2026] Además de la vista individual, existe la comparación en paralelo de dos deportistas (ver también sección 9): el segundo deportista se carga de forma asíncrona en la columna derecha, sin recargar la página ni perder la vista del primero. El enlace "Comparar con otro deportista" se ubica en el header, junto al logo y el título del panel. El historial completo del deportista sigue siendo accesible también en modo comparación.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9407929"/>
            <wp:docPr id="6" name="Picture 6"/>
            <wp:cNvGraphicFramePr>
              <a:graphicFrameLocks noChangeAspect="1"/>
            </wp:cNvGraphicFramePr>
            <a:graphic>
              <a:graphicData uri="http://schemas.openxmlformats.org/drawingml/2006/picture">
                <pic:pic>
                  <pic:nvPicPr>
                    <pic:cNvPr id="0" name="06_modulo4_estadisticas_rendimiento.png"/>
                    <pic:cNvPicPr/>
                  </pic:nvPicPr>
                  <pic:blipFill>
                    <a:blip r:embed="rId15"/>
                    <a:stretch>
                      <a:fillRect/>
                    </a:stretch>
                  </pic:blipFill>
                  <pic:spPr>
                    <a:xfrm>
                      <a:off x="0" y="0"/>
                      <a:ext cx="4114800" cy="9407929"/>
                    </a:xfrm>
                    <a:prstGeom prst="rect"/>
                  </pic:spPr>
                </pic:pic>
              </a:graphicData>
            </a:graphic>
          </wp:inline>
        </w:drawing>
      </w:r>
    </w:p>
    <w:p>
      <w:pPr>
        <w:spacing w:after="280"/>
        <w:jc w:val="center"/>
      </w:pPr>
      <w:r>
        <w:rPr>
          <w:rFonts w:ascii="Arial" w:hAnsi="Arial"/>
          <w:b w:val="0"/>
          <w:i/>
          <w:color w:val="000000"/>
          <w:sz w:val="18"/>
        </w:rPr>
        <w:t>Figura 10.6 — Módulo 4 — Estadísticas y rendimiento (diagramas/png/06_modulo4_estadisticas_rendimiento.png)</w:t>
      </w:r>
    </w:p>
    <w:p>
      <w:pPr>
        <w:spacing w:before="140" w:after="80"/>
      </w:pPr>
      <w:r>
        <w:rPr>
          <w:rFonts w:ascii="Arial" w:hAnsi="Arial"/>
          <w:b/>
          <w:i w:val="0"/>
          <w:color w:val="000000"/>
          <w:sz w:val="24"/>
        </w:rPr>
        <w:t>Módulo 5 — Evaluaciones y ascensos</w:t>
      </w:r>
    </w:p>
    <w:p>
      <w:pPr>
        <w:spacing w:before="0" w:after="160"/>
      </w:pPr>
      <w:r>
        <w:rPr>
          <w:rFonts w:ascii="Arial" w:hAnsi="Arial"/>
          <w:b w:val="0"/>
          <w:i w:val="0"/>
          <w:color w:val="000000"/>
          <w:sz w:val="24"/>
        </w:rPr>
        <w:t>[CONFIRMADO — decisión de John, 22/09/2026] Una sesión de examen se crea seleccionando primero a todos los estudiantes participantes. Luego se registran los resultados modalidad por modalidad (teórico, físico, combate, rompimiento, formas, entre otras) en una matriz con estado pendiente/completado, independiente por deportista y por modalidad, con guardado en tiempo real (asíncrono).</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9491445"/>
            <wp:docPr id="7" name="Picture 7"/>
            <wp:cNvGraphicFramePr>
              <a:graphicFrameLocks noChangeAspect="1"/>
            </wp:cNvGraphicFramePr>
            <a:graphic>
              <a:graphicData uri="http://schemas.openxmlformats.org/drawingml/2006/picture">
                <pic:pic>
                  <pic:nvPicPr>
                    <pic:cNvPr id="0" name="07_modulo5_evaluaciones_ascensos.png"/>
                    <pic:cNvPicPr/>
                  </pic:nvPicPr>
                  <pic:blipFill>
                    <a:blip r:embed="rId16"/>
                    <a:stretch>
                      <a:fillRect/>
                    </a:stretch>
                  </pic:blipFill>
                  <pic:spPr>
                    <a:xfrm>
                      <a:off x="0" y="0"/>
                      <a:ext cx="3657600" cy="9491445"/>
                    </a:xfrm>
                    <a:prstGeom prst="rect"/>
                  </pic:spPr>
                </pic:pic>
              </a:graphicData>
            </a:graphic>
          </wp:inline>
        </w:drawing>
      </w:r>
    </w:p>
    <w:p>
      <w:pPr>
        <w:spacing w:after="280"/>
        <w:jc w:val="center"/>
      </w:pPr>
      <w:r>
        <w:rPr>
          <w:rFonts w:ascii="Arial" w:hAnsi="Arial"/>
          <w:b w:val="0"/>
          <w:i/>
          <w:color w:val="000000"/>
          <w:sz w:val="18"/>
        </w:rPr>
        <w:t>Figura 10.7 — Módulo 5 — Evaluaciones y ascensos (diagramas/png/07_modulo5_evaluaciones_ascensos.png)</w:t>
      </w:r>
    </w:p>
    <w:p>
      <w:pPr>
        <w:spacing w:before="140" w:after="80"/>
      </w:pPr>
      <w:r>
        <w:rPr>
          <w:rFonts w:ascii="Arial" w:hAnsi="Arial"/>
          <w:b/>
          <w:i w:val="0"/>
          <w:color w:val="000000"/>
          <w:sz w:val="24"/>
        </w:rPr>
        <w:t>Módulo 6 — Gestión documental</w:t>
      </w:r>
    </w:p>
    <w:p>
      <w:pPr>
        <w:spacing w:before="0" w:after="160"/>
      </w:pPr>
      <w:r>
        <w:rPr>
          <w:rFonts w:ascii="Arial" w:hAnsi="Arial"/>
          <w:b w:val="0"/>
          <w:i w:val="0"/>
          <w:color w:val="000000"/>
          <w:sz w:val="24"/>
        </w:rPr>
        <w:t>[CONFIRMADO — decisión de John, 22/09/2026] Este módulo no requiere un indicador de progreso personalizado: las cargas de documentos son puntuales y no ameritan retroalimentación adicional de avance.</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5029200" cy="3438331"/>
            <wp:docPr id="8" name="Picture 8"/>
            <wp:cNvGraphicFramePr>
              <a:graphicFrameLocks noChangeAspect="1"/>
            </wp:cNvGraphicFramePr>
            <a:graphic>
              <a:graphicData uri="http://schemas.openxmlformats.org/drawingml/2006/picture">
                <pic:pic>
                  <pic:nvPicPr>
                    <pic:cNvPr id="0" name="08_modulo6_gestion_documental.png"/>
                    <pic:cNvPicPr/>
                  </pic:nvPicPr>
                  <pic:blipFill>
                    <a:blip r:embed="rId17"/>
                    <a:stretch>
                      <a:fillRect/>
                    </a:stretch>
                  </pic:blipFill>
                  <pic:spPr>
                    <a:xfrm>
                      <a:off x="0" y="0"/>
                      <a:ext cx="5029200" cy="3438331"/>
                    </a:xfrm>
                    <a:prstGeom prst="rect"/>
                  </pic:spPr>
                </pic:pic>
              </a:graphicData>
            </a:graphic>
          </wp:inline>
        </w:drawing>
      </w:r>
    </w:p>
    <w:p>
      <w:pPr>
        <w:spacing w:after="280"/>
        <w:jc w:val="center"/>
      </w:pPr>
      <w:r>
        <w:rPr>
          <w:rFonts w:ascii="Arial" w:hAnsi="Arial"/>
          <w:b w:val="0"/>
          <w:i/>
          <w:color w:val="000000"/>
          <w:sz w:val="18"/>
        </w:rPr>
        <w:t>Figura 10.8 — Módulo 6 — Gestión documental (diagramas/png/08_modulo6_gestion_documental.png)</w:t>
      </w:r>
    </w:p>
    <w:p>
      <w:pPr>
        <w:spacing w:before="140" w:after="80"/>
      </w:pPr>
      <w:r>
        <w:rPr>
          <w:rFonts w:ascii="Arial" w:hAnsi="Arial"/>
          <w:b/>
          <w:i w:val="0"/>
          <w:color w:val="000000"/>
          <w:sz w:val="24"/>
        </w:rPr>
        <w:t>Módulo 7 — Control de asistencia</w:t>
      </w:r>
    </w:p>
    <w:p>
      <w:pPr>
        <w:spacing w:before="0" w:after="160"/>
      </w:pPr>
      <w:r>
        <w:rPr>
          <w:rFonts w:ascii="Arial" w:hAnsi="Arial"/>
          <w:b w:val="0"/>
          <w:i w:val="0"/>
          <w:color w:val="000000"/>
          <w:sz w:val="24"/>
        </w:rPr>
        <w:t>[CONFIRMADO — decisión de John, 22/09/2026] El guardado es asíncrono e inmediato por celda (deportista x fecha), con un botón adicional "Guardar todo" como respaldo manual.</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6793215"/>
            <wp:docPr id="9" name="Picture 9"/>
            <wp:cNvGraphicFramePr>
              <a:graphicFrameLocks noChangeAspect="1"/>
            </wp:cNvGraphicFramePr>
            <a:graphic>
              <a:graphicData uri="http://schemas.openxmlformats.org/drawingml/2006/picture">
                <pic:pic>
                  <pic:nvPicPr>
                    <pic:cNvPr id="0" name="09_modulo7_control_asistencia.png"/>
                    <pic:cNvPicPr/>
                  </pic:nvPicPr>
                  <pic:blipFill>
                    <a:blip r:embed="rId18"/>
                    <a:stretch>
                      <a:fillRect/>
                    </a:stretch>
                  </pic:blipFill>
                  <pic:spPr>
                    <a:xfrm>
                      <a:off x="0" y="0"/>
                      <a:ext cx="4572000" cy="6793215"/>
                    </a:xfrm>
                    <a:prstGeom prst="rect"/>
                  </pic:spPr>
                </pic:pic>
              </a:graphicData>
            </a:graphic>
          </wp:inline>
        </w:drawing>
      </w:r>
    </w:p>
    <w:p>
      <w:pPr>
        <w:spacing w:after="280"/>
        <w:jc w:val="center"/>
      </w:pPr>
      <w:r>
        <w:rPr>
          <w:rFonts w:ascii="Arial" w:hAnsi="Arial"/>
          <w:b w:val="0"/>
          <w:i/>
          <w:color w:val="000000"/>
          <w:sz w:val="18"/>
        </w:rPr>
        <w:t>Figura 10.9 — Módulo 7 — Control de asistencia (diagramas/png/09_modulo7_control_asistencia.png)</w:t>
      </w:r>
    </w:p>
    <w:p>
      <w:pPr>
        <w:spacing w:before="140" w:after="80"/>
      </w:pPr>
      <w:r>
        <w:rPr>
          <w:rFonts w:ascii="Arial" w:hAnsi="Arial"/>
          <w:b/>
          <w:i w:val="0"/>
          <w:color w:val="000000"/>
          <w:sz w:val="24"/>
        </w:rPr>
        <w:t>Módulo 8 — Registro de pagos y matrícula</w:t>
      </w:r>
    </w:p>
    <w:p>
      <w:pPr>
        <w:spacing w:before="0" w:after="160"/>
      </w:pPr>
      <w:r>
        <w:rPr>
          <w:rFonts w:ascii="Arial" w:hAnsi="Arial"/>
          <w:b w:val="0"/>
          <w:i w:val="0"/>
          <w:color w:val="000000"/>
          <w:sz w:val="24"/>
        </w:rPr>
        <w:t>[CONFIRMADO — decisión de John, 22/09/2026] Mismo patrón de guardado asíncrono por celda, aquí por deportista x semana del mes, con un filtro para ubicar rápidamente un deportista sin recorrer todas las filas.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3657600" cy="10573335"/>
            <wp:docPr id="10" name="Picture 10"/>
            <wp:cNvGraphicFramePr>
              <a:graphicFrameLocks noChangeAspect="1"/>
            </wp:cNvGraphicFramePr>
            <a:graphic>
              <a:graphicData uri="http://schemas.openxmlformats.org/drawingml/2006/picture">
                <pic:pic>
                  <pic:nvPicPr>
                    <pic:cNvPr id="0" name="10_modulo8_pagos_matricula.png"/>
                    <pic:cNvPicPr/>
                  </pic:nvPicPr>
                  <pic:blipFill>
                    <a:blip r:embed="rId19"/>
                    <a:stretch>
                      <a:fillRect/>
                    </a:stretch>
                  </pic:blipFill>
                  <pic:spPr>
                    <a:xfrm>
                      <a:off x="0" y="0"/>
                      <a:ext cx="3657600" cy="10573335"/>
                    </a:xfrm>
                    <a:prstGeom prst="rect"/>
                  </pic:spPr>
                </pic:pic>
              </a:graphicData>
            </a:graphic>
          </wp:inline>
        </w:drawing>
      </w:r>
    </w:p>
    <w:p>
      <w:pPr>
        <w:spacing w:after="280"/>
        <w:jc w:val="center"/>
      </w:pPr>
      <w:r>
        <w:rPr>
          <w:rFonts w:ascii="Arial" w:hAnsi="Arial"/>
          <w:b w:val="0"/>
          <w:i/>
          <w:color w:val="000000"/>
          <w:sz w:val="18"/>
        </w:rPr>
        <w:t>Figura 10.10 — Módulo 8 — Registro de pagos y matrícula (diagramas/png/10_modulo8_pagos_matricula.png)</w:t>
      </w:r>
    </w:p>
    <w:p>
      <w:pPr>
        <w:spacing w:before="140" w:after="80"/>
      </w:pPr>
      <w:r>
        <w:rPr>
          <w:rFonts w:ascii="Arial" w:hAnsi="Arial"/>
          <w:b/>
          <w:i w:val="0"/>
          <w:color w:val="000000"/>
          <w:sz w:val="24"/>
        </w:rPr>
        <w:t>Módulo 9 — Calendario de eventos</w:t>
      </w:r>
    </w:p>
    <w:p>
      <w:pPr>
        <w:spacing w:before="0" w:after="160"/>
      </w:pPr>
      <w:r>
        <w:rPr>
          <w:rFonts w:ascii="Arial" w:hAnsi="Arial"/>
          <w:b w:val="0"/>
          <w:i w:val="0"/>
          <w:color w:val="000000"/>
          <w:sz w:val="24"/>
        </w:rPr>
        <w:t>[CONFIRMADO — decisión de John, 22/09/2026] Carga anual por Excel/CSV (mismo mecanismo confirmado para deportistas, módulo 1), más la posibilidad de agregar eventos manuales sin recargar la página (asíncrono). La vista pública del calendario se limita a competencias, evaluaciones y eventos extra: no incluye reuniones administrativas.</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572000" cy="7003791"/>
            <wp:docPr id="11" name="Picture 11"/>
            <wp:cNvGraphicFramePr>
              <a:graphicFrameLocks noChangeAspect="1"/>
            </wp:cNvGraphicFramePr>
            <a:graphic>
              <a:graphicData uri="http://schemas.openxmlformats.org/drawingml/2006/picture">
                <pic:pic>
                  <pic:nvPicPr>
                    <pic:cNvPr id="0" name="11_modulo9_calendario_eventos.png"/>
                    <pic:cNvPicPr/>
                  </pic:nvPicPr>
                  <pic:blipFill>
                    <a:blip r:embed="rId20"/>
                    <a:stretch>
                      <a:fillRect/>
                    </a:stretch>
                  </pic:blipFill>
                  <pic:spPr>
                    <a:xfrm>
                      <a:off x="0" y="0"/>
                      <a:ext cx="4572000" cy="7003791"/>
                    </a:xfrm>
                    <a:prstGeom prst="rect"/>
                  </pic:spPr>
                </pic:pic>
              </a:graphicData>
            </a:graphic>
          </wp:inline>
        </w:drawing>
      </w:r>
    </w:p>
    <w:p>
      <w:pPr>
        <w:spacing w:after="280"/>
        <w:jc w:val="center"/>
      </w:pPr>
      <w:r>
        <w:rPr>
          <w:rFonts w:ascii="Arial" w:hAnsi="Arial"/>
          <w:b w:val="0"/>
          <w:i/>
          <w:color w:val="000000"/>
          <w:sz w:val="18"/>
        </w:rPr>
        <w:t>Figura 10.11 — Módulo 9 — Calendario de eventos (diagramas/png/11_modulo9_calendario_eventos.png)</w:t>
      </w:r>
    </w:p>
    <w:p>
      <w:pPr>
        <w:spacing w:before="140" w:after="80"/>
      </w:pPr>
      <w:r>
        <w:rPr>
          <w:rFonts w:ascii="Arial" w:hAnsi="Arial"/>
          <w:b/>
          <w:i w:val="0"/>
          <w:color w:val="000000"/>
          <w:sz w:val="24"/>
        </w:rPr>
        <w:t>Módulo 10 — Reportes y exportación</w:t>
      </w:r>
    </w:p>
    <w:p>
      <w:pPr>
        <w:spacing w:before="0" w:after="160"/>
      </w:pPr>
      <w:r>
        <w:rPr>
          <w:rFonts w:ascii="Arial" w:hAnsi="Arial"/>
          <w:b w:val="0"/>
          <w:i w:val="0"/>
          <w:color w:val="000000"/>
          <w:sz w:val="24"/>
        </w:rPr>
        <w:t>[CONFIRMADO — decisión de John, 22/09/2026] Las exportaciones que recorren todo el histórico acumulado del club muestran un indicador de progreso, dado su volumen.</w:t>
      </w:r>
    </w:p>
    <w:p>
      <w:pPr>
        <w:spacing w:after="160"/>
      </w:pPr>
      <w:r>
        <w:rPr>
          <w:rFonts w:ascii="Arial" w:hAnsi="Arial"/>
          <w:b w:val="0"/>
          <w:i/>
          <w:color w:val="000000"/>
          <w:sz w:val="20"/>
        </w:rPr>
        <w:t>Fuente: consolidado de casos de uso y flujos alternativos entregado por John (22/09/2026), sobre la base de Reglas de Negocio v0.1 y Documento Maestro v0.2.1.</w:t>
      </w:r>
    </w:p>
    <w:p>
      <w:pPr>
        <w:spacing w:before="80" w:after="80"/>
        <w:jc w:val="center"/>
      </w:pPr>
      <w:r>
        <w:drawing>
          <wp:inline xmlns:a="http://schemas.openxmlformats.org/drawingml/2006/main" xmlns:pic="http://schemas.openxmlformats.org/drawingml/2006/picture">
            <wp:extent cx="4114800" cy="8089163"/>
            <wp:docPr id="12" name="Picture 12"/>
            <wp:cNvGraphicFramePr>
              <a:graphicFrameLocks noChangeAspect="1"/>
            </wp:cNvGraphicFramePr>
            <a:graphic>
              <a:graphicData uri="http://schemas.openxmlformats.org/drawingml/2006/picture">
                <pic:pic>
                  <pic:nvPicPr>
                    <pic:cNvPr id="0" name="12_modulo10_reportes_exportacion.png"/>
                    <pic:cNvPicPr/>
                  </pic:nvPicPr>
                  <pic:blipFill>
                    <a:blip r:embed="rId21"/>
                    <a:stretch>
                      <a:fillRect/>
                    </a:stretch>
                  </pic:blipFill>
                  <pic:spPr>
                    <a:xfrm>
                      <a:off x="0" y="0"/>
                      <a:ext cx="4114800" cy="8089163"/>
                    </a:xfrm>
                    <a:prstGeom prst="rect"/>
                  </pic:spPr>
                </pic:pic>
              </a:graphicData>
            </a:graphic>
          </wp:inline>
        </w:drawing>
      </w:r>
    </w:p>
    <w:p>
      <w:pPr>
        <w:spacing w:after="280"/>
        <w:jc w:val="center"/>
      </w:pPr>
      <w:r>
        <w:rPr>
          <w:rFonts w:ascii="Arial" w:hAnsi="Arial"/>
          <w:b w:val="0"/>
          <w:i/>
          <w:color w:val="000000"/>
          <w:sz w:val="18"/>
        </w:rPr>
        <w:t>Figura 10.12 — Módulo 10 — Reportes y exportación (diagramas/png/12_modulo10_reportes_exportacion.png)</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 xml:space="preserve">Vista administrativa edita todo; vista pública solo peso y discapacidad.</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 (5-11 años) a confirmar en la tabla oficial de categorías.</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Pendiente de Aldrin</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 xml:space="preserve">Vista pública (deportista / acudiente).</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before="0" w:after="160"/>
      </w:pPr>
      <w:r>
        <w:rPr>
          <w:rFonts w:ascii="Arial" w:hAnsi="Arial"/>
          <w:b w:val="0"/>
          <w:i w:val="0"/>
          <w:color w:val="000000"/>
          <w:sz w:val="24"/>
        </w:rPr>
        <w:t>A partir de esta versión, el Modelo Entidad-Relación (MER) vigente es la versión 1 (diagramas/mmd/13_mer_v1.mmd, diagramas/png/13_mer_v1.png), con 11 entidades más una leyenda de notación, sincronizado con Reglas de Negocio v0.3. El preliminar del 22/09/2026 (diagramas/mmd/13_mer_preliminar.mmd, diagramas/png/13_mer_preliminar.png) se conserva como histórico, no como referencia vigente.</w:t>
      </w:r>
    </w:p>
    <w:p>
      <w:pPr>
        <w:spacing w:before="140" w:after="80"/>
      </w:pPr>
      <w:r>
        <w:rPr>
          <w:rFonts w:ascii="Arial" w:hAnsi="Arial"/>
          <w:b/>
          <w:i w:val="0"/>
          <w:color w:val="000000"/>
          <w:sz w:val="24"/>
        </w:rPr>
        <w:t>Cambios frente al preliminar</w:t>
      </w:r>
    </w:p>
    <w:p>
      <w:pPr>
        <w:spacing w:before="0" w:after="160"/>
      </w:pPr>
      <w:r>
        <w:rPr>
          <w:rFonts w:ascii="Arial" w:hAnsi="Arial"/>
          <w:b w:val="0"/>
          <w:i w:val="0"/>
          <w:color w:val="000000"/>
          <w:sz w:val="24"/>
        </w:rPr>
        <w:t>El preliminar (22/09/2026, 11 entidades más la leyenda) se corrigió el 23/09/2026 (el atributo modalidad se trasladó de Competencia a Participación en Competencia, RN-3.1). La versión 1 (vigente, 23/09/2026) agrega cuatro cambios adicionales:</w:t>
      </w:r>
    </w:p>
    <w:p>
      <w:pPr>
        <w:spacing w:before="0" w:after="160"/>
      </w:pPr>
      <w:r>
        <w:rPr>
          <w:rFonts w:ascii="Arial" w:hAnsi="Arial"/>
          <w:b w:val="0"/>
          <w:i w:val="0"/>
          <w:color w:val="000000"/>
          <w:sz w:val="24"/>
        </w:rPr>
        <w:t>1. Campo nuevo estado_animico en Deportista (RN-2.4): estructura confirmada en base de datos, reserva a futuro, no visible todavía en la interfaz.</w:t>
      </w:r>
    </w:p>
    <w:p>
      <w:pPr>
        <w:spacing w:before="0" w:after="160"/>
      </w:pPr>
      <w:r>
        <w:rPr>
          <w:rFonts w:ascii="Arial" w:hAnsi="Arial"/>
          <w:b w:val="0"/>
          <w:i w:val="0"/>
          <w:color w:val="000000"/>
          <w:sz w:val="24"/>
        </w:rPr>
        <w:t>2. División del atributo categoría en Competencia: categoria_edad [CONFIRMADO] y categoria_peso [PENDIENTE DE VALIDACIÓN] (RN-3.8).</w:t>
      </w:r>
    </w:p>
    <w:p>
      <w:pPr>
        <w:spacing w:before="0" w:after="160"/>
      </w:pPr>
      <w:r>
        <w:rPr>
          <w:rFonts w:ascii="Arial" w:hAnsi="Arial"/>
          <w:b w:val="0"/>
          <w:i w:val="0"/>
          <w:color w:val="000000"/>
          <w:sz w:val="24"/>
        </w:rPr>
        <w:t>3. Fecha de Sesión_Examen confirmada: 26 de abril, 26 de julio y 13 de diciembre de 2026, verificada contra el Plan de Acción IMRDS 2026, fuente primaria (RN-5.4).</w:t>
      </w:r>
    </w:p>
    <w:p>
      <w:pPr>
        <w:spacing w:before="0" w:after="160"/>
      </w:pPr>
      <w:r>
        <w:rPr>
          <w:rFonts w:ascii="Arial" w:hAnsi="Arial"/>
          <w:b w:val="0"/>
          <w:i w:val="0"/>
          <w:color w:val="000000"/>
          <w:sz w:val="24"/>
        </w:rPr>
        <w:t>4. Campo nuevo fecha_completado en Detalle_Evaluación (RN-5.5): permite que cada modalidad de una sesión de examen se complete en una fecha distinta al resto del grupo, sin desordenar el registro de los demás participantes.</w:t>
      </w:r>
    </w:p>
    <w:p>
      <w:pPr>
        <w:spacing w:before="140" w:after="80"/>
      </w:pPr>
      <w:r>
        <w:rPr>
          <w:rFonts w:ascii="Arial" w:hAnsi="Arial"/>
          <w:b/>
          <w:i w:val="0"/>
          <w:color w:val="000000"/>
          <w:sz w:val="24"/>
        </w:rPr>
        <w:t>Entidades (11) y leyenda</w:t>
      </w:r>
    </w:p>
    <w:tbl>
      <w:tblPr>
        <w:tblW w:type="dxa" w:w="9359"/>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655"/>
        <w:gridCol w:w="5616"/>
        <w:gridCol w:w="2088"/>
      </w:tblGrid>
      <w:tr>
        <w:tc>
          <w:tcPr>
            <w:tcW w:type="dxa" w:w="1655"/>
          </w:tcPr>
          <w:p>
            <w:r>
              <w:rPr>
                <w:rFonts w:ascii="Arial" w:hAnsi="Arial"/>
                <w:b/>
                <w:i w:val="0"/>
                <w:color w:val="000000"/>
                <w:sz w:val="19"/>
              </w:rPr>
              <w:t>Entidad</w:t>
            </w:r>
          </w:p>
        </w:tc>
        <w:tc>
          <w:tcPr>
            <w:tcW w:type="dxa" w:w="5616"/>
          </w:tcPr>
          <w:p>
            <w:r>
              <w:rPr>
                <w:rFonts w:ascii="Arial" w:hAnsi="Arial"/>
                <w:b/>
                <w:i w:val="0"/>
                <w:color w:val="000000"/>
                <w:sz w:val="19"/>
              </w:rPr>
              <w:t>Atributos clave</w:t>
            </w:r>
          </w:p>
        </w:tc>
        <w:tc>
          <w:tcPr>
            <w:tcW w:type="dxa" w:w="2088"/>
          </w:tcPr>
          <w:p>
            <w:r>
              <w:rPr>
                <w:rFonts w:ascii="Arial" w:hAnsi="Arial"/>
                <w:b/>
                <w:i w:val="0"/>
                <w:color w:val="000000"/>
                <w:sz w:val="19"/>
              </w:rPr>
              <w:t>Estado</w:t>
            </w:r>
          </w:p>
        </w:tc>
      </w:tr>
      <w:tr>
        <w:tc>
          <w:tcPr>
            <w:tcW w:type="dxa" w:w="1655"/>
          </w:tcPr>
          <w:p>
            <w:r>
              <w:rPr>
                <w:rFonts w:ascii="Arial" w:hAnsi="Arial"/>
                <w:b w:val="0"/>
                <w:i w:val="0"/>
                <w:color w:val="000000"/>
                <w:sz w:val="19"/>
              </w:rPr>
              <w:t>Deportista</w:t>
            </w:r>
          </w:p>
        </w:tc>
        <w:tc>
          <w:tcPr>
            <w:tcW w:type="dxa" w:w="5616"/>
          </w:tcPr>
          <w:p>
            <w:r>
              <w:rPr>
                <w:rFonts w:ascii="Arial" w:hAnsi="Arial"/>
                <w:b w:val="0"/>
                <w:i w:val="0"/>
                <w:color w:val="000000"/>
                <w:sz w:val="19"/>
              </w:rPr>
              <w:t>documento PK · nombre · fecha_nacimiento · estatura · peso · categoria [PROPUESTA: calculada, depende de la tabla oficial de categorías, RN-1.3/RN-3.8] · edad [PROPUESTA: calculada desde fecha_nacimiento, RN-1.3] · discapacidad [editable también en vista pública, RN-1.5] · estado_animico [CONFIRMADO en BD, no visible en interfaz, RN-2.4 — reserva a futuro] · fecha_ingreso · estado (activo/inactivo) · estado_registro (pendiente_validacion/validado — solo autorregistrados) · acudiente_documento FK (nulo si es mayor de edad) · validado_por_correo FK (auditoría de autorregistro)</w:t>
            </w:r>
          </w:p>
        </w:tc>
        <w:tc>
          <w:tcPr>
            <w:tcW w:type="dxa" w:w="2088"/>
          </w:tcPr>
          <w:p>
            <w:r>
              <w:rPr>
                <w:rFonts w:ascii="Arial" w:hAnsi="Arial"/>
                <w:b w:val="0"/>
                <w:i w:val="0"/>
                <w:color w:val="000000"/>
                <w:sz w:val="19"/>
              </w:rPr>
              <w:t>CONFIRMADO (núcleo); 2 atributos calculados aún PROPUESTA</w:t>
            </w:r>
          </w:p>
        </w:tc>
      </w:tr>
      <w:tr>
        <w:tc>
          <w:tcPr>
            <w:tcW w:type="dxa" w:w="1655"/>
          </w:tcPr>
          <w:p>
            <w:r>
              <w:rPr>
                <w:rFonts w:ascii="Arial" w:hAnsi="Arial"/>
                <w:b w:val="0"/>
                <w:i w:val="0"/>
                <w:color w:val="000000"/>
                <w:sz w:val="19"/>
              </w:rPr>
              <w:t>Acudiente_Tutor</w:t>
            </w:r>
          </w:p>
        </w:tc>
        <w:tc>
          <w:tcPr>
            <w:tcW w:type="dxa" w:w="5616"/>
          </w:tcPr>
          <w:p>
            <w:r>
              <w:rPr>
                <w:rFonts w:ascii="Arial" w:hAnsi="Arial"/>
                <w:b w:val="0"/>
                <w:i w:val="0"/>
                <w:color w:val="000000"/>
                <w:sz w:val="19"/>
              </w:rPr>
              <w:t>documento PK · nombre · relacion</w:t>
            </w:r>
          </w:p>
        </w:tc>
        <w:tc>
          <w:tcPr>
            <w:tcW w:type="dxa" w:w="2088"/>
          </w:tcPr>
          <w:p>
            <w:r>
              <w:rPr>
                <w:rFonts w:ascii="Arial" w:hAnsi="Arial"/>
                <w:b w:val="0"/>
                <w:i w:val="0"/>
                <w:color w:val="000000"/>
                <w:sz w:val="19"/>
              </w:rPr>
              <w:t>CONFIRMADO</w:t>
            </w:r>
          </w:p>
        </w:tc>
      </w:tr>
      <w:tr>
        <w:tc>
          <w:tcPr>
            <w:tcW w:type="dxa" w:w="1655"/>
          </w:tcPr>
          <w:p>
            <w:r>
              <w:rPr>
                <w:rFonts w:ascii="Arial" w:hAnsi="Arial"/>
                <w:b w:val="0"/>
                <w:i w:val="0"/>
                <w:color w:val="000000"/>
                <w:sz w:val="19"/>
              </w:rPr>
              <w:t>Usuario_Administrativo</w:t>
            </w:r>
          </w:p>
        </w:tc>
        <w:tc>
          <w:tcPr>
            <w:tcW w:type="dxa" w:w="5616"/>
          </w:tcPr>
          <w:p>
            <w:r>
              <w:rPr>
                <w:rFonts w:ascii="Arial" w:hAnsi="Arial"/>
                <w:b w:val="0"/>
                <w:i w:val="0"/>
                <w:color w:val="000000"/>
                <w:sz w:val="19"/>
              </w:rPr>
              <w:t>correo PK · contrasena · nombre · es_administrador_principal (true solo para Aldrin) · creado_por_correo FK (reflexiva, nulo para la cuenta fundadora)</w:t>
            </w:r>
          </w:p>
        </w:tc>
        <w:tc>
          <w:tcPr>
            <w:tcW w:type="dxa" w:w="2088"/>
          </w:tcPr>
          <w:p>
            <w:r>
              <w:rPr>
                <w:rFonts w:ascii="Arial" w:hAnsi="Arial"/>
                <w:b w:val="0"/>
                <w:i w:val="0"/>
                <w:color w:val="000000"/>
                <w:sz w:val="19"/>
              </w:rPr>
              <w:t>CONFIRMADO (RN-T.10/RN-T.11)</w:t>
            </w:r>
          </w:p>
        </w:tc>
      </w:tr>
      <w:tr>
        <w:tc>
          <w:tcPr>
            <w:tcW w:type="dxa" w:w="1655"/>
          </w:tcPr>
          <w:p>
            <w:r>
              <w:rPr>
                <w:rFonts w:ascii="Arial" w:hAnsi="Arial"/>
                <w:b w:val="0"/>
                <w:i w:val="0"/>
                <w:color w:val="000000"/>
                <w:sz w:val="19"/>
              </w:rPr>
              <w:t>Documento</w:t>
            </w:r>
          </w:p>
        </w:tc>
        <w:tc>
          <w:tcPr>
            <w:tcW w:type="dxa" w:w="5616"/>
          </w:tcPr>
          <w:p>
            <w:r>
              <w:rPr>
                <w:rFonts w:ascii="Arial" w:hAnsi="Arial"/>
                <w:b w:val="0"/>
                <w:i w:val="0"/>
                <w:color w:val="000000"/>
                <w:sz w:val="19"/>
              </w:rPr>
              <w:t>id PK · deportista_documento FK · tipo_documento · archivo · fecha_carga · estado (cargado/pendiente)</w:t>
            </w:r>
          </w:p>
        </w:tc>
        <w:tc>
          <w:tcPr>
            <w:tcW w:type="dxa" w:w="2088"/>
          </w:tcPr>
          <w:p>
            <w:r>
              <w:rPr>
                <w:rFonts w:ascii="Arial" w:hAnsi="Arial"/>
                <w:b w:val="0"/>
                <w:i w:val="0"/>
                <w:color w:val="000000"/>
                <w:sz w:val="19"/>
              </w:rPr>
              <w:t>CONFIRMADO</w:t>
            </w:r>
          </w:p>
        </w:tc>
      </w:tr>
      <w:tr>
        <w:tc>
          <w:tcPr>
            <w:tcW w:type="dxa" w:w="1655"/>
          </w:tcPr>
          <w:p>
            <w:r>
              <w:rPr>
                <w:rFonts w:ascii="Arial" w:hAnsi="Arial"/>
                <w:b w:val="0"/>
                <w:i w:val="0"/>
                <w:color w:val="000000"/>
                <w:sz w:val="19"/>
              </w:rPr>
              <w:t>Asistencia</w:t>
            </w:r>
          </w:p>
        </w:tc>
        <w:tc>
          <w:tcPr>
            <w:tcW w:type="dxa" w:w="5616"/>
          </w:tcPr>
          <w:p>
            <w:r>
              <w:rPr>
                <w:rFonts w:ascii="Arial" w:hAnsi="Arial"/>
                <w:b w:val="0"/>
                <w:i w:val="0"/>
                <w:color w:val="000000"/>
                <w:sz w:val="19"/>
              </w:rPr>
              <w:t>deportista_documento PK/FK · fecha PK · asistio</w:t>
            </w:r>
          </w:p>
        </w:tc>
        <w:tc>
          <w:tcPr>
            <w:tcW w:type="dxa" w:w="2088"/>
          </w:tcPr>
          <w:p>
            <w:r>
              <w:rPr>
                <w:rFonts w:ascii="Arial" w:hAnsi="Arial"/>
                <w:b w:val="0"/>
                <w:i w:val="0"/>
                <w:color w:val="000000"/>
                <w:sz w:val="19"/>
              </w:rPr>
              <w:t>CONFIRMADO</w:t>
            </w:r>
          </w:p>
        </w:tc>
      </w:tr>
      <w:tr>
        <w:tc>
          <w:tcPr>
            <w:tcW w:type="dxa" w:w="1655"/>
          </w:tcPr>
          <w:p>
            <w:r>
              <w:rPr>
                <w:rFonts w:ascii="Arial" w:hAnsi="Arial"/>
                <w:b w:val="0"/>
                <w:i w:val="0"/>
                <w:color w:val="000000"/>
                <w:sz w:val="19"/>
              </w:rPr>
              <w:t>Pago</w:t>
            </w:r>
          </w:p>
        </w:tc>
        <w:tc>
          <w:tcPr>
            <w:tcW w:type="dxa" w:w="5616"/>
          </w:tcPr>
          <w:p>
            <w:r>
              <w:rPr>
                <w:rFonts w:ascii="Arial" w:hAnsi="Arial"/>
                <w:b w:val="0"/>
                <w:i w:val="0"/>
                <w:color w:val="000000"/>
                <w:sz w:val="19"/>
              </w:rPr>
              <w:t>id PK · deportista_documento FK · periodo · tipo (mensualidad/matricula) · estado (pagado/pendiente) · consecuencia_mora [PENDIENTE DE ALDRIN, RN-8.7]</w:t>
            </w:r>
          </w:p>
        </w:tc>
        <w:tc>
          <w:tcPr>
            <w:tcW w:type="dxa" w:w="2088"/>
          </w:tcPr>
          <w:p>
            <w:r>
              <w:rPr>
                <w:rFonts w:ascii="Arial" w:hAnsi="Arial"/>
                <w:b w:val="0"/>
                <w:i w:val="0"/>
                <w:color w:val="000000"/>
                <w:sz w:val="19"/>
              </w:rPr>
              <w:t>CONFIRMADO; 1 atributo pendiente de Aldrin</w:t>
            </w:r>
          </w:p>
        </w:tc>
      </w:tr>
      <w:tr>
        <w:tc>
          <w:tcPr>
            <w:tcW w:type="dxa" w:w="1655"/>
          </w:tcPr>
          <w:p>
            <w:r>
              <w:rPr>
                <w:rFonts w:ascii="Arial" w:hAnsi="Arial"/>
                <w:b w:val="0"/>
                <w:i w:val="0"/>
                <w:color w:val="000000"/>
                <w:sz w:val="19"/>
              </w:rPr>
              <w:t>Evento_Calendario</w:t>
            </w:r>
          </w:p>
        </w:tc>
        <w:tc>
          <w:tcPr>
            <w:tcW w:type="dxa" w:w="5616"/>
          </w:tcPr>
          <w:p>
            <w:r>
              <w:rPr>
                <w:rFonts w:ascii="Arial" w:hAnsi="Arial"/>
                <w:b w:val="0"/>
                <w:i w:val="0"/>
                <w:color w:val="000000"/>
                <w:sz w:val="19"/>
              </w:rPr>
              <w:t>id PK · tipo (competencia/evaluacion/reunion_administrativa/evento_extra) · fecha · lugar · visibilidad (administrativa/publica)</w:t>
            </w:r>
          </w:p>
        </w:tc>
        <w:tc>
          <w:tcPr>
            <w:tcW w:type="dxa" w:w="2088"/>
          </w:tcPr>
          <w:p>
            <w:r>
              <w:rPr>
                <w:rFonts w:ascii="Arial" w:hAnsi="Arial"/>
                <w:b w:val="0"/>
                <w:i w:val="0"/>
                <w:color w:val="000000"/>
                <w:sz w:val="19"/>
              </w:rPr>
              <w:t>CONFIRMADO</w:t>
            </w:r>
          </w:p>
        </w:tc>
      </w:tr>
      <w:tr>
        <w:tc>
          <w:tcPr>
            <w:tcW w:type="dxa" w:w="1655"/>
          </w:tcPr>
          <w:p>
            <w:r>
              <w:rPr>
                <w:rFonts w:ascii="Arial" w:hAnsi="Arial"/>
                <w:b w:val="0"/>
                <w:i w:val="0"/>
                <w:color w:val="000000"/>
                <w:sz w:val="19"/>
              </w:rPr>
              <w:t>Competencia</w:t>
            </w:r>
          </w:p>
        </w:tc>
        <w:tc>
          <w:tcPr>
            <w:tcW w:type="dxa" w:w="5616"/>
          </w:tcPr>
          <w:p>
            <w:r>
              <w:rPr>
                <w:rFonts w:ascii="Arial" w:hAnsi="Arial"/>
                <w:b w:val="0"/>
                <w:i w:val="0"/>
                <w:color w:val="000000"/>
                <w:sz w:val="19"/>
              </w:rPr>
              <w:t>evento_id PK/FK (1 a 1 con Evento_Calendario cuando tipo = competencia) · categoria_edad [CONFIRMADO: Infantil 8-11, Junior 12-14, Juvenil 15-17, Mayores 18-35, Sénior 36-45, Máster 46+, RN-3.8] · categoria_peso [PENDIENTE DE VALIDACIÓN: pesos por edad para categorías menores, consultado con Viviana, RN-3.8]</w:t>
            </w:r>
          </w:p>
        </w:tc>
        <w:tc>
          <w:tcPr>
            <w:tcW w:type="dxa" w:w="2088"/>
          </w:tcPr>
          <w:p>
            <w:r>
              <w:rPr>
                <w:rFonts w:ascii="Arial" w:hAnsi="Arial"/>
                <w:b w:val="0"/>
                <w:i w:val="0"/>
                <w:color w:val="000000"/>
                <w:sz w:val="19"/>
              </w:rPr>
              <w:t>CONFIRMADO (edad) / PENDIENTE DE VALIDACIÓN (peso)</w:t>
            </w:r>
          </w:p>
        </w:tc>
      </w:tr>
      <w:tr>
        <w:tc>
          <w:tcPr>
            <w:tcW w:type="dxa" w:w="1655"/>
          </w:tcPr>
          <w:p>
            <w:r>
              <w:rPr>
                <w:rFonts w:ascii="Arial" w:hAnsi="Arial"/>
                <w:b w:val="0"/>
                <w:i w:val="0"/>
                <w:color w:val="000000"/>
                <w:sz w:val="19"/>
              </w:rPr>
              <w:t>Participación en Competencia</w:t>
            </w:r>
          </w:p>
        </w:tc>
        <w:tc>
          <w:tcPr>
            <w:tcW w:type="dxa" w:w="5616"/>
          </w:tcPr>
          <w:p>
            <w:r>
              <w:rPr>
                <w:rFonts w:ascii="Arial" w:hAnsi="Arial"/>
                <w:b w:val="0"/>
                <w:i w:val="0"/>
                <w:color w:val="000000"/>
                <w:sz w:val="19"/>
              </w:rPr>
              <w:t>deportista_documento PK/FK · competencia_evento_id PK/FK · modalidad [CONFIRMADO: un torneo agrupa varias modalidades, cada participación especifica una — 6 modalidades posibles, RN-3.1/RN-3.2] · resultado · notas_oponente (texto libre, uso interno del staff)</w:t>
            </w:r>
          </w:p>
        </w:tc>
        <w:tc>
          <w:tcPr>
            <w:tcW w:type="dxa" w:w="2088"/>
          </w:tcPr>
          <w:p>
            <w:r>
              <w:rPr>
                <w:rFonts w:ascii="Arial" w:hAnsi="Arial"/>
                <w:b w:val="0"/>
                <w:i w:val="0"/>
                <w:color w:val="000000"/>
                <w:sz w:val="19"/>
              </w:rPr>
              <w:t>CONFIRMADO — entidad asociativa</w:t>
            </w:r>
          </w:p>
        </w:tc>
      </w:tr>
      <w:tr>
        <w:tc>
          <w:tcPr>
            <w:tcW w:type="dxa" w:w="1655"/>
          </w:tcPr>
          <w:p>
            <w:r>
              <w:rPr>
                <w:rFonts w:ascii="Arial" w:hAnsi="Arial"/>
                <w:b w:val="0"/>
                <w:i w:val="0"/>
                <w:color w:val="000000"/>
                <w:sz w:val="19"/>
              </w:rPr>
              <w:t>Sesión de Examen</w:t>
            </w:r>
          </w:p>
        </w:tc>
        <w:tc>
          <w:tcPr>
            <w:tcW w:type="dxa" w:w="5616"/>
          </w:tcPr>
          <w:p>
            <w:r>
              <w:rPr>
                <w:rFonts w:ascii="Arial" w:hAnsi="Arial"/>
                <w:b w:val="0"/>
                <w:i w:val="0"/>
                <w:color w:val="000000"/>
                <w:sz w:val="19"/>
              </w:rPr>
              <w:t>id PK · fecha [CONFIRMADO: 26 abr, 26 jul, 13 dic 2026 — verificado contra el Plan de Acción IMRDS 2026, RN-5.4] · lugar</w:t>
            </w:r>
          </w:p>
        </w:tc>
        <w:tc>
          <w:tcPr>
            <w:tcW w:type="dxa" w:w="2088"/>
          </w:tcPr>
          <w:p>
            <w:r>
              <w:rPr>
                <w:rFonts w:ascii="Arial" w:hAnsi="Arial"/>
                <w:b w:val="0"/>
                <w:i w:val="0"/>
                <w:color w:val="000000"/>
                <w:sz w:val="19"/>
              </w:rPr>
              <w:t>CONFIRMADO</w:t>
            </w:r>
          </w:p>
        </w:tc>
      </w:tr>
      <w:tr>
        <w:tc>
          <w:tcPr>
            <w:tcW w:type="dxa" w:w="1655"/>
          </w:tcPr>
          <w:p>
            <w:r>
              <w:rPr>
                <w:rFonts w:ascii="Arial" w:hAnsi="Arial"/>
                <w:b w:val="0"/>
                <w:i w:val="0"/>
                <w:color w:val="000000"/>
                <w:sz w:val="19"/>
              </w:rPr>
              <w:t>Detalle de Evaluación</w:t>
            </w:r>
          </w:p>
        </w:tc>
        <w:tc>
          <w:tcPr>
            <w:tcW w:type="dxa" w:w="5616"/>
          </w:tcPr>
          <w:p>
            <w:r>
              <w:rPr>
                <w:rFonts w:ascii="Arial" w:hAnsi="Arial"/>
                <w:b w:val="0"/>
                <w:i w:val="0"/>
                <w:color w:val="000000"/>
                <w:sz w:val="19"/>
              </w:rPr>
              <w:t>sesion_examen_id PK/FK · deportista_documento PK/FK · modalidad PK (teórico/físico/combate/rompimiento/formas/llaves) · estado (pendiente/completado) · fecha_completado [cada modalidad puede completarse en fecha distinta al resto del grupo, RN-5.5] · resultado [PENDIENTE DE ALDRIN: plantilla oficial con criterios y puntajes, RN-5.3] · aprobado [tiempos mínimos entre ascensos: consultado con Viviana y Aldrin, RN-2.5]</w:t>
            </w:r>
          </w:p>
        </w:tc>
        <w:tc>
          <w:tcPr>
            <w:tcW w:type="dxa" w:w="2088"/>
          </w:tcPr>
          <w:p>
            <w:r>
              <w:rPr>
                <w:rFonts w:ascii="Arial" w:hAnsi="Arial"/>
                <w:b w:val="0"/>
                <w:i w:val="0"/>
                <w:color w:val="000000"/>
                <w:sz w:val="19"/>
              </w:rPr>
              <w:t>CONFIRMADO — entidad asociativa; 2 atributos pendientes</w:t>
            </w:r>
          </w:p>
        </w:tc>
      </w:tr>
      <w:tr>
        <w:tc>
          <w:tcPr>
            <w:tcW w:type="dxa" w:w="1655"/>
          </w:tcPr>
          <w:p>
            <w:r>
              <w:rPr>
                <w:rFonts w:ascii="Arial" w:hAnsi="Arial"/>
                <w:b/>
                <w:i w:val="0"/>
                <w:color w:val="000000"/>
                <w:sz w:val="19"/>
              </w:rPr>
              <w:t>Leyenda de notación</w:t>
            </w:r>
          </w:p>
        </w:tc>
        <w:tc>
          <w:tcPr>
            <w:tcW w:type="dxa" w:w="5616"/>
          </w:tcPr>
          <w:p>
            <w:r>
              <w:rPr>
                <w:rFonts w:ascii="Arial" w:hAnsi="Arial"/>
                <w:b w:val="0"/>
                <w:i w:val="0"/>
                <w:color w:val="000000"/>
                <w:sz w:val="19"/>
              </w:rPr>
              <w:t>Borde rojo grueso sólido = entidad núcleo confirmada (Reglas de Negocio v0.3). Borde gris fino sólido = entidad asociativa (relación N a N). Comentario PROPUESTA o PENDIENTE DE ALDRIN/VALIDACIÓN junto al atributo = dato o regla aún no confirmada; no construir como definitivo.</w:t>
            </w:r>
          </w:p>
        </w:tc>
        <w:tc>
          <w:tcPr>
            <w:tcW w:type="dxa" w:w="2088"/>
          </w:tcPr>
          <w:p>
            <w:r>
              <w:rPr>
                <w:rFonts w:ascii="Arial" w:hAnsi="Arial"/>
                <w:b w:val="0"/>
                <w:i w:val="0"/>
                <w:color w:val="000000"/>
                <w:sz w:val="19"/>
              </w:rPr>
              <w:t>—</w:t>
            </w:r>
          </w:p>
        </w:tc>
      </w:tr>
    </w:tbl>
    <w:p>
      <w:pPr>
        <w:spacing w:after="160"/>
      </w:pPr>
      <w:r>
        <w:rPr>
          <w:rFonts w:ascii="Arial" w:hAnsi="Arial"/>
          <w:b w:val="0"/>
          <w:i/>
          <w:color w:val="000000"/>
          <w:sz w:val="20"/>
        </w:rPr>
        <w:t>Fuente: diagramas/mmd/13_mer_v1.mmd, verificado contra Reglas de Negocio v0.3.</w:t>
      </w:r>
    </w:p>
    <w:p>
      <w:pPr>
        <w:spacing w:before="140" w:after="80"/>
      </w:pPr>
      <w:r>
        <w:rPr>
          <w:rFonts w:ascii="Arial" w:hAnsi="Arial"/>
          <w:b/>
          <w:i w:val="0"/>
          <w:color w:val="000000"/>
          <w:sz w:val="24"/>
        </w:rPr>
        <w:t>Relaciones</w:t>
      </w:r>
    </w:p>
    <w:p>
      <w:pPr>
        <w:spacing w:before="0" w:after="160"/>
      </w:pPr>
      <w:r>
        <w:rPr>
          <w:rFonts w:ascii="Arial" w:hAnsi="Arial"/>
          <w:b w:val="0"/>
          <w:i w:val="0"/>
          <w:color w:val="000000"/>
          <w:sz w:val="24"/>
        </w:rPr>
        <w:t>Acudiente_Tutor es responsable de Deportista (1 a N). Usuario_Administrativo valida el registro pendiente de Deportista, y da de alta/gestiona a otros Usuario_Administrativo (reflexiva, RN-T.11). Deportista tiene Documento, registra Asistencia y realiza Pago (1 a N en cada caso). Evento_Calendario se especializa en Competencia (1 a 0..1, cuando el evento es de tipo competencia). Deportista y Competencia participan en Participación en Competencia (entidad asociativa N a N). Sesión de Examen agrupa Detalle de Evaluación, y Deportista es evaluado en Detalle de Evaluación (entidad asociativa N a N).</w:t>
      </w:r>
    </w:p>
    <w:p>
      <w:pPr>
        <w:spacing w:before="80" w:after="80"/>
        <w:jc w:val="center"/>
      </w:pPr>
      <w:r>
        <w:drawing>
          <wp:inline xmlns:a="http://schemas.openxmlformats.org/drawingml/2006/main" xmlns:pic="http://schemas.openxmlformats.org/drawingml/2006/picture">
            <wp:extent cx="5943600" cy="1506977"/>
            <wp:docPr id="13" name="Picture 13"/>
            <wp:cNvGraphicFramePr>
              <a:graphicFrameLocks noChangeAspect="1"/>
            </wp:cNvGraphicFramePr>
            <a:graphic>
              <a:graphicData uri="http://schemas.openxmlformats.org/drawingml/2006/picture">
                <pic:pic>
                  <pic:nvPicPr>
                    <pic:cNvPr id="0" name="13_mer_v1.png"/>
                    <pic:cNvPicPr/>
                  </pic:nvPicPr>
                  <pic:blipFill>
                    <a:blip r:embed="rId23"/>
                    <a:stretch>
                      <a:fillRect/>
                    </a:stretch>
                  </pic:blipFill>
                  <pic:spPr>
                    <a:xfrm>
                      <a:off x="0" y="0"/>
                      <a:ext cx="5943600" cy="1506977"/>
                    </a:xfrm>
                    <a:prstGeom prst="rect"/>
                  </pic:spPr>
                </pic:pic>
              </a:graphicData>
            </a:graphic>
          </wp:inline>
        </w:drawing>
      </w:r>
    </w:p>
    <w:p>
      <w:pPr>
        <w:spacing w:after="280"/>
        <w:jc w:val="center"/>
      </w:pPr>
      <w:r>
        <w:rPr>
          <w:rFonts w:ascii="Arial" w:hAnsi="Arial"/>
          <w:b w:val="0"/>
          <w:i/>
          <w:color w:val="000000"/>
          <w:sz w:val="18"/>
        </w:rPr>
        <w:t>Figura 13.1 — Modelo Entidad-Relación v1 (diagramas/png/13_mer_v1.png)</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before="0" w:after="160"/>
      </w:pPr>
      <w:r>
        <w:rPr>
          <w:rFonts w:ascii="Arial" w:hAnsi="Arial"/>
          <w:b w:val="0"/>
          <w:i w:val="0"/>
          <w:color w:val="000000"/>
          <w:sz w:val="24"/>
        </w:rPr>
        <w:t>Los diagramas de flujo y de casos de uso están incorporados en la sección 10, por módulo (12 diagramas; ver diagramas/png/ y diagramas/mmd/ en el repositorio).</w:t>
      </w:r>
    </w:p>
    <w:p>
      <w:pPr>
        <w:spacing w:before="0" w:after="160"/>
      </w:pPr>
      <w:r>
        <w:rPr>
          <w:rFonts w:ascii="Arial" w:hAnsi="Arial"/>
          <w:b w:val="0"/>
          <w:i w:val="0"/>
          <w:color w:val="000000"/>
          <w:sz w:val="24"/>
        </w:rPr>
        <w:t>MER (13_mer_preliminar.mmd/.png, 13_mer_v1.mmd/.png): preliminar entregado el 22/09/2026 (11 entidades más la leyenda); corregido el 23/09/2026 (modalidad trasladado de Competencia a Participación en Competencia, RN-3.1). Versión 1 (vigente, 23/09/2026): agrega estado_animico a Deportista (RN-2.4), separa categoria_edad (CONFIRMADO) de categoria_peso (pendiente) en Competencia (RN-3.8), confirma la fecha de Sesión_Examen contra fuente primaria (RN-5.4), agrega fecha_completado a Detalle_Evaluación (RN-5.5). El preliminar se conserva como histórico.</w:t>
      </w:r>
    </w:p>
    <w:p>
      <w:pPr>
        <w:spacing w:after="160"/>
      </w:pPr>
      <w:r>
        <w:rPr>
          <w:rFonts w:ascii="Arial" w:hAnsi="Arial"/>
          <w:b w:val="0"/>
          <w:i/>
          <w:color w:val="000000"/>
          <w:sz w:val="20"/>
        </w:rPr>
        <w:t>Fuente: Reglas de Negocio v0.3; ver también sección 13.</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HwangHon-Sports-System — Documentación Técnica v0.1.3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 Id="rId23"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