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ARQUITECTURA BACKEND</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0.2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30 de septiembre de 2026</w:t>
      </w:r>
    </w:p>
    <w:p>
      <w:pPr>
        <w:spacing w:after="80"/>
        <w:jc w:val="center"/>
      </w:pPr>
      <w:r>
        <w:rPr>
          <w:rFonts w:ascii="Arial" w:hAnsi="Arial"/>
          <w:b w:val="0"/>
          <w:i/>
          <w:color w:val="000000"/>
          <w:sz w:val="18"/>
        </w:rPr>
        <w:t>Documento formal de la fase 20.6 (Etapa 4 — Diseño de arquitectura backend); cierra la etapa reflejando las fases 20.1 a 20.5, ya resueltas. Referencia: proyecto AttendQR de John (arquitectura por capas, ver Contexto Base del proyecto, sección 19).</w:t>
      </w:r>
    </w:p>
    <w:p>
      <w:pPr>
        <w:spacing w:after="0"/>
        <w:jc w:val="center"/>
      </w:pPr>
      <w:r>
        <w:rPr>
          <w:rFonts w:ascii="Arial" w:hAnsi="Arial"/>
          <w:b w:val="0"/>
          <w:i/>
          <w:color w:val="000000"/>
          <w:sz w:val="18"/>
        </w:rPr>
        <w:t>Etiquetas usadas: [CONFIRMADO] · [DOCUMENTAL] · [PROPUESTA] (las mismas de los demás documentos formales del proyecto — ver Contexto Base, sección 28).</w:t>
      </w:r>
    </w:p>
    <w:p>
      <w:pPr>
        <w:spacing w:before="400"/>
        <w:jc w:val="center"/>
      </w:pPr>
      <w:r>
        <w:rPr>
          <w:rFonts w:ascii="Arial" w:hAnsi="Arial"/>
          <w:b w:val="0"/>
          <w:i/>
          <w:color w:val="000000"/>
          <w:sz w:val="16"/>
        </w:rPr>
        <w:t>v0.1: creación inicial del documento. v0.2 (30/09/2026): corrección puntual tras revisión independiente — la fila de Competencia en la sección 3 ganó EventoCalendarioModel/evento_calendario (verificado contra CompetenciaService.php) y una nota de que esa tabla se comparte con el módulo Calendario; el TODO citado en la sección 7 se corrigió al bloque PHPDoc real, sin tildes. Con esta corrección, v0.2 cierra la fase 20.6 y, con ella, la Etapa 4 completa.</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2. Estructura de carpetas y capas</w:t>
      </w:r>
    </w:p>
    <w:p>
      <w:pPr>
        <w:spacing w:after="80"/>
      </w:pPr>
      <w:r>
        <w:rPr>
          <w:rFonts w:ascii="Arial" w:hAnsi="Arial"/>
          <w:b w:val="0"/>
          <w:i w:val="0"/>
          <w:color w:val="000000"/>
          <w:sz w:val="22"/>
        </w:rPr>
        <w:t>3. Los 12 módulos backend</w:t>
      </w:r>
    </w:p>
    <w:p>
      <w:pPr>
        <w:spacing w:after="80"/>
      </w:pPr>
      <w:r>
        <w:rPr>
          <w:rFonts w:ascii="Arial" w:hAnsi="Arial"/>
          <w:b w:val="0"/>
          <w:i w:val="0"/>
          <w:color w:val="000000"/>
          <w:sz w:val="22"/>
        </w:rPr>
        <w:t>4. Flujo de una petición</w:t>
      </w:r>
    </w:p>
    <w:p>
      <w:pPr>
        <w:spacing w:after="80"/>
      </w:pPr>
      <w:r>
        <w:rPr>
          <w:rFonts w:ascii="Arial" w:hAnsi="Arial"/>
          <w:b w:val="0"/>
          <w:i w:val="0"/>
          <w:color w:val="000000"/>
          <w:sz w:val="22"/>
        </w:rPr>
        <w:t>5. Modelo de acceso</w:t>
      </w:r>
    </w:p>
    <w:p>
      <w:pPr>
        <w:spacing w:after="80"/>
      </w:pPr>
      <w:r>
        <w:rPr>
          <w:rFonts w:ascii="Arial" w:hAnsi="Arial"/>
          <w:b w:val="0"/>
          <w:i w:val="0"/>
          <w:color w:val="000000"/>
          <w:sz w:val="22"/>
        </w:rPr>
        <w:t>6. Convenciones transversales</w:t>
      </w:r>
    </w:p>
    <w:p>
      <w:pPr>
        <w:spacing w:after="80"/>
      </w:pPr>
      <w:r>
        <w:rPr>
          <w:rFonts w:ascii="Arial" w:hAnsi="Arial"/>
          <w:b w:val="0"/>
          <w:i w:val="0"/>
          <w:color w:val="000000"/>
          <w:sz w:val="22"/>
        </w:rPr>
        <w:t>7. Alcance explícito de lo generado</w:t>
      </w:r>
    </w:p>
    <w:p>
      <w:pPr>
        <w:spacing w:after="80"/>
      </w:pPr>
      <w:r>
        <w:rPr>
          <w:rFonts w:ascii="Arial" w:hAnsi="Arial"/>
          <w:b w:val="0"/>
          <w:i w:val="0"/>
          <w:color w:val="000000"/>
          <w:sz w:val="22"/>
        </w:rPr>
        <w:t>8. Verificación</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3 (Definición de lógica de negocio) cerrada -- Especificación de Lógica de Negocio v0.5, Reglas de Negocio v0.6, Documentación Técnica v0.1.5 y Documento Maestro v0.2.4, todos verificados (ver Contexto Base del proyecto, sección 19) -- el proyecto entra a la Etapa 4 (Diseño de arquitectura backend), iniciada el 30/09/2026.</w:t>
      </w:r>
    </w:p>
    <w:p>
      <w:pPr>
        <w:spacing w:after="80"/>
      </w:pPr>
      <w:r>
        <w:rPr>
          <w:rFonts w:ascii="Arial" w:hAnsi="Arial"/>
          <w:b w:val="0"/>
          <w:i w:val="0"/>
          <w:color w:val="000000"/>
          <w:sz w:val="24"/>
        </w:rPr>
        <w:t>Es una etapa de planos, no de código funcional -- eso corresponde a la Etapa 5 (Desarrollo backend): estructura de carpetas, rutas, contratos entre capas, nada que ejecutar todavía. Como referencia concreta de arquitectura, John compartió el proyecto AttendQR (su proyecto anterior, ya citado en RN-1.7 como precedente de carga masiva): una arquitectura por capas Controllers → Services (lógica de negocio) → Repositories (acceso a datos, con una BaseRepository compartida) → Models (estructuras de datos sin lógica), con un único punto de entrada (api.php) que enruta por tabla y aplica control de acceso antes de llegar al Controller mediante Middleware, según una tabla de políticas de acceso por recurso.</w:t>
      </w:r>
    </w:p>
    <w:p>
      <w:pPr>
        <w:spacing w:after="80"/>
      </w:pPr>
      <w:r>
        <w:rPr>
          <w:rFonts w:ascii="Arial" w:hAnsi="Arial"/>
          <w:b w:val="0"/>
          <w:i w:val="0"/>
          <w:color w:val="000000"/>
          <w:sz w:val="24"/>
        </w:rPr>
        <w:t>Para HwangHon esto se simplifica porque RN-T.2 ya descarta permisos granulares dentro de la vista administrativa: en vez de las cinco políticas de AttendQR (varios roles con variantes), bastan dos ámbitos (administrativa / pública) -- ver sección 5. También se identificó una pieza de código puntual reutilizable, no solo de patrón: Src/Utils/XlsxWriter.php de AttendQR, útil para la exportación a Excel que pide RN-10.2 (módulo 10, Reportes y exportación) -- ver sección 6.</w:t>
      </w:r>
    </w:p>
    <w:p>
      <w:pPr>
        <w:spacing w:after="80"/>
      </w:pPr>
      <w:r>
        <w:rPr>
          <w:rFonts w:ascii="Arial" w:hAnsi="Arial"/>
          <w:b w:val="0"/>
          <w:i w:val="0"/>
          <w:color w:val="000000"/>
          <w:sz w:val="24"/>
        </w:rPr>
        <w:t>La Etapa 4 se organizó en seis fases (Contexto Base, sección 20):</w:t>
      </w:r>
    </w:p>
    <w:p>
      <w:pPr>
        <w:spacing w:after="80"/>
      </w:pPr>
      <w:r>
        <w:rPr>
          <w:rFonts w:ascii="Arial" w:hAnsi="Arial"/>
          <w:b/>
          <w:i w:val="0"/>
          <w:color w:val="000000"/>
          <w:sz w:val="24"/>
        </w:rPr>
        <w:t xml:space="preserve">Fase 20.1. </w:t>
      </w:r>
      <w:r>
        <w:rPr>
          <w:rFonts w:ascii="Arial" w:hAnsi="Arial"/>
          <w:b w:val="0"/>
          <w:i w:val="0"/>
          <w:color w:val="000000"/>
          <w:sz w:val="24"/>
        </w:rPr>
        <w:t>Estructura de carpetas y capas — mapear a HwangHon el árbol de AttendQR (Controllers → Services → Repositories → Models, con una BaseRepository compartida, más Middleware y Utils), definiendo la ruta real de cada carpeta dentro del proyecto.</w:t>
      </w:r>
    </w:p>
    <w:p>
      <w:pPr>
        <w:spacing w:after="80"/>
      </w:pPr>
      <w:r>
        <w:rPr>
          <w:rFonts w:ascii="Arial" w:hAnsi="Arial"/>
          <w:b/>
          <w:i w:val="0"/>
          <w:color w:val="000000"/>
          <w:sz w:val="24"/>
        </w:rPr>
        <w:t xml:space="preserve">Fase 20.2. </w:t>
      </w:r>
      <w:r>
        <w:rPr>
          <w:rFonts w:ascii="Arial" w:hAnsi="Arial"/>
          <w:b w:val="0"/>
          <w:i w:val="0"/>
          <w:color w:val="000000"/>
          <w:sz w:val="24"/>
        </w:rPr>
        <w:t>Enrutamiento y política de acceso — diseñar el punto de entrada único (api.php), su tabla de rutas (recurso → controller) y su tabla de políticas de acceso, simplificada a los dos ámbitos del sistema en vez de las variantes de rol de AttendQR.</w:t>
      </w:r>
    </w:p>
    <w:p>
      <w:pPr>
        <w:spacing w:after="80"/>
      </w:pPr>
      <w:r>
        <w:rPr>
          <w:rFonts w:ascii="Arial" w:hAnsi="Arial"/>
          <w:b/>
          <w:i w:val="0"/>
          <w:color w:val="000000"/>
          <w:sz w:val="24"/>
        </w:rPr>
        <w:t xml:space="preserve">Fase 20.3. </w:t>
      </w:r>
      <w:r>
        <w:rPr>
          <w:rFonts w:ascii="Arial" w:hAnsi="Arial"/>
          <w:b w:val="0"/>
          <w:i w:val="0"/>
          <w:color w:val="000000"/>
          <w:sz w:val="24"/>
        </w:rPr>
        <w:t>Autenticación y control de acceso — diseñar AuthMiddleware (sesión activa) y su equivalente de ámbito (administrativa/pública, en vez de RoleMiddleware por rol); mecanismo de login dual (correo para administrativos, documento para el ámbito público, RN-T.2/RN-T.13) y de recuperación de contraseña por token (RN-T.12, ya soportado en esquema_hwanghon_v2.sql).</w:t>
      </w:r>
    </w:p>
    <w:p>
      <w:pPr>
        <w:spacing w:after="80"/>
      </w:pPr>
      <w:r>
        <w:rPr>
          <w:rFonts w:ascii="Arial" w:hAnsi="Arial"/>
          <w:b/>
          <w:i w:val="0"/>
          <w:color w:val="000000"/>
          <w:sz w:val="24"/>
        </w:rPr>
        <w:t xml:space="preserve">Fase 20.4. </w:t>
      </w:r>
      <w:r>
        <w:rPr>
          <w:rFonts w:ascii="Arial" w:hAnsi="Arial"/>
          <w:b w:val="0"/>
          <w:i w:val="0"/>
          <w:color w:val="000000"/>
          <w:sz w:val="24"/>
        </w:rPr>
        <w:t>Contratos por módulo — para cada uno de los diez módulos más Transversal, definir sin implementar todavía qué Controller/Service/Repository/Model le corresponde, qué endpoints expone y qué recibe/devuelve cada uno; módulo por módulo, empezando por el módulo 1 (Gestión de deportistas), base de los demás.</w:t>
      </w:r>
    </w:p>
    <w:p>
      <w:pPr>
        <w:spacing w:after="80"/>
      </w:pPr>
      <w:r>
        <w:rPr>
          <w:rFonts w:ascii="Arial" w:hAnsi="Arial"/>
          <w:b/>
          <w:i w:val="0"/>
          <w:color w:val="000000"/>
          <w:sz w:val="24"/>
        </w:rPr>
        <w:t xml:space="preserve">Fase 20.5. </w:t>
      </w:r>
      <w:r>
        <w:rPr>
          <w:rFonts w:ascii="Arial" w:hAnsi="Arial"/>
          <w:b w:val="0"/>
          <w:i w:val="0"/>
          <w:color w:val="000000"/>
          <w:sz w:val="24"/>
        </w:rPr>
        <w:t>Convenciones transversales — formato de respuesta, manejo de errores, nomenclatura en español, conexión a base de datos, y qué piezas de AttendQR se reutilizan literalmente frente a las que no aplican.</w:t>
      </w:r>
    </w:p>
    <w:p>
      <w:pPr>
        <w:spacing w:after="80"/>
      </w:pPr>
      <w:r>
        <w:rPr>
          <w:rFonts w:ascii="Arial" w:hAnsi="Arial"/>
          <w:b/>
          <w:i w:val="0"/>
          <w:color w:val="000000"/>
          <w:sz w:val="24"/>
        </w:rPr>
        <w:t xml:space="preserve">Fase 20.6. </w:t>
      </w:r>
      <w:r>
        <w:rPr>
          <w:rFonts w:ascii="Arial" w:hAnsi="Arial"/>
          <w:b w:val="0"/>
          <w:i w:val="0"/>
          <w:color w:val="000000"/>
          <w:sz w:val="24"/>
        </w:rPr>
        <w:t>Este documento: formal de arquitectura backend, reflejando lo anterior, verificado como los demás documentos del proyecto.</w:t>
      </w:r>
    </w:p>
    <w:p>
      <w:pPr>
        <w:spacing w:after="160"/>
      </w:pPr>
      <w:r>
        <w:rPr>
          <w:rFonts w:ascii="Arial" w:hAnsi="Arial"/>
          <w:b w:val="0"/>
          <w:i w:val="0"/>
          <w:color w:val="000000"/>
          <w:sz w:val="24"/>
        </w:rPr>
        <w:t>Las fases 20.1 a 20.5 ya están resueltas y construidas directamente sobre el repositorio real (carpeta backend/, antes vacía); este documento (fase 20.6) las describe y las deja verificadas por escrito, cerrando la Etapa 4 por completo.</w:t>
      </w:r>
    </w:p>
    <w:p>
      <w:pPr>
        <w:spacing w:before="120" w:after="80"/>
      </w:pPr>
      <w:r>
        <w:rPr>
          <w:rFonts w:ascii="Arial" w:hAnsi="Arial"/>
          <w:b/>
          <w:i w:val="0"/>
          <w:color w:val="000000"/>
          <w:sz w:val="24"/>
        </w:rPr>
        <w:t>Nota sobre este documento</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La familia de documentos formales del proyecto (Documento Maestro, Reglas de Negocio, Documentación Técnica, Especificación de Lógica de Negocio) vive cada una en su propia subcarpeta dentro de documentacion/. Este documento es el primero de un quinto tipo (arquitectura backend) y sigue ese mismo patrón: se guarda como documentacion/arquitectura_backend/Arquitectura_Backend_HwangHon_v0_1.docx. Es una decisión de organización de carpetas, no de contenido técnico -- queda marcada como propuesta del equipo de desarrollo por si John prefiere integrarlo de otra forma (por ejemplo, como ampliación de Documentación Técnica).</w:t>
      </w:r>
    </w:p>
    <w:p>
      <w:pPr>
        <w:spacing w:before="320" w:after="160"/>
      </w:pPr>
      <w:r>
        <w:rPr>
          <w:rFonts w:ascii="Arial" w:hAnsi="Arial"/>
          <w:b/>
          <w:i w:val="0"/>
          <w:color w:val="000000"/>
          <w:sz w:val="28"/>
        </w:rPr>
        <w:t>2. Estructura de carpetas y capas</w:t>
      </w:r>
    </w:p>
    <w:p>
      <w:pPr>
        <w:spacing w:after="80"/>
      </w:pPr>
      <w:r>
        <w:rPr>
          <w:rFonts w:ascii="Arial" w:hAnsi="Arial"/>
          <w:b/>
          <w:i w:val="0"/>
          <w:color w:val="000000"/>
          <w:sz w:val="24"/>
        </w:rPr>
        <w:t xml:space="preserve">Fase 20.1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Estructura real, ya creada dentro de backend/ (antes carpeta vacía) y verificada directamente contra el repositorio (ver sección 8):</w:t>
      </w:r>
    </w:p>
    <w:p>
      <w:pPr>
        <w:spacing w:after="0"/>
      </w:pPr>
      <w:r>
        <w:rPr>
          <w:rFonts w:ascii="Consolas" w:hAnsi="Consolas"/>
          <w:b w:val="0"/>
          <w:i w:val="0"/>
          <w:color w:val="000000"/>
          <w:sz w:val="20"/>
        </w:rPr>
        <w:t>backend/</w:t>
      </w:r>
    </w:p>
    <w:p>
      <w:pPr>
        <w:spacing w:after="0"/>
      </w:pPr>
      <w:r>
        <w:rPr>
          <w:rFonts w:ascii="Consolas" w:hAnsi="Consolas"/>
          <w:b w:val="0"/>
          <w:i w:val="0"/>
          <w:color w:val="000000"/>
          <w:sz w:val="20"/>
        </w:rPr>
        <w:t>├── Public/</w:t>
      </w:r>
    </w:p>
    <w:p>
      <w:pPr>
        <w:spacing w:after="0"/>
      </w:pPr>
      <w:r>
        <w:rPr>
          <w:rFonts w:ascii="Consolas" w:hAnsi="Consolas"/>
          <w:b w:val="0"/>
          <w:i w:val="0"/>
          <w:color w:val="000000"/>
          <w:sz w:val="20"/>
        </w:rPr>
        <w:t>│   ├── api.php          (punto de entrada único — ver sección 4)</w:t>
      </w:r>
    </w:p>
    <w:p>
      <w:pPr>
        <w:spacing w:after="0"/>
      </w:pPr>
      <w:r>
        <w:rPr>
          <w:rFonts w:ascii="Consolas" w:hAnsi="Consolas"/>
          <w:b w:val="0"/>
          <w:i w:val="0"/>
          <w:color w:val="000000"/>
          <w:sz w:val="20"/>
        </w:rPr>
        <w:t>│   └── .htaccess        (redirige toda solicitud a api.php)</w:t>
      </w:r>
    </w:p>
    <w:p>
      <w:pPr>
        <w:spacing w:after="0"/>
      </w:pPr>
      <w:r>
        <w:rPr>
          <w:rFonts w:ascii="Consolas" w:hAnsi="Consolas"/>
          <w:b w:val="0"/>
          <w:i w:val="0"/>
          <w:color w:val="000000"/>
          <w:sz w:val="20"/>
        </w:rPr>
        <w:t>└── Src/</w:t>
      </w:r>
    </w:p>
    <w:p>
      <w:pPr>
        <w:spacing w:after="0"/>
      </w:pPr>
      <w:r>
        <w:rPr>
          <w:rFonts w:ascii="Consolas" w:hAnsi="Consolas"/>
          <w:b w:val="0"/>
          <w:i w:val="0"/>
          <w:color w:val="000000"/>
          <w:sz w:val="20"/>
        </w:rPr>
        <w:t xml:space="preserve">    ├── Config/</w:t>
      </w:r>
    </w:p>
    <w:p>
      <w:pPr>
        <w:spacing w:after="0"/>
      </w:pPr>
      <w:r>
        <w:rPr>
          <w:rFonts w:ascii="Consolas" w:hAnsi="Consolas"/>
          <w:b w:val="0"/>
          <w:i w:val="0"/>
          <w:color w:val="000000"/>
          <w:sz w:val="20"/>
        </w:rPr>
        <w:t xml:space="preserve">    │   └── database.php          (conexión PDO, patrón singleton)</w:t>
      </w:r>
    </w:p>
    <w:p>
      <w:pPr>
        <w:spacing w:after="0"/>
      </w:pPr>
      <w:r>
        <w:rPr>
          <w:rFonts w:ascii="Consolas" w:hAnsi="Consolas"/>
          <w:b w:val="0"/>
          <w:i w:val="0"/>
          <w:color w:val="000000"/>
          <w:sz w:val="20"/>
        </w:rPr>
        <w:t xml:space="preserve">    ├── Controllers/               (12 archivos — uno por módulo)</w:t>
      </w:r>
    </w:p>
    <w:p>
      <w:pPr>
        <w:spacing w:after="0"/>
      </w:pPr>
      <w:r>
        <w:rPr>
          <w:rFonts w:ascii="Consolas" w:hAnsi="Consolas"/>
          <w:b w:val="0"/>
          <w:i w:val="0"/>
          <w:color w:val="000000"/>
          <w:sz w:val="20"/>
        </w:rPr>
        <w:t xml:space="preserve">    ├── Services/                  (12 archivos — uno por módulo)</w:t>
      </w:r>
    </w:p>
    <w:p>
      <w:pPr>
        <w:spacing w:after="0"/>
      </w:pPr>
      <w:r>
        <w:rPr>
          <w:rFonts w:ascii="Consolas" w:hAnsi="Consolas"/>
          <w:b w:val="0"/>
          <w:i w:val="0"/>
          <w:color w:val="000000"/>
          <w:sz w:val="20"/>
        </w:rPr>
        <w:t xml:space="preserve">    ├── Repositories/              (13 archivos — 12 + BaseRepository)</w:t>
      </w:r>
    </w:p>
    <w:p>
      <w:pPr>
        <w:spacing w:after="0"/>
      </w:pPr>
      <w:r>
        <w:rPr>
          <w:rFonts w:ascii="Consolas" w:hAnsi="Consolas"/>
          <w:b w:val="0"/>
          <w:i w:val="0"/>
          <w:color w:val="000000"/>
          <w:sz w:val="20"/>
        </w:rPr>
        <w:t xml:space="preserve">    ├── Models/                    (12 archivos — uno por tabla propia)</w:t>
      </w:r>
    </w:p>
    <w:p>
      <w:pPr>
        <w:spacing w:after="0"/>
      </w:pPr>
      <w:r>
        <w:rPr>
          <w:rFonts w:ascii="Consolas" w:hAnsi="Consolas"/>
          <w:b w:val="0"/>
          <w:i w:val="0"/>
          <w:color w:val="000000"/>
          <w:sz w:val="20"/>
        </w:rPr>
        <w:t xml:space="preserve">    ├── Middleware/</w:t>
      </w:r>
    </w:p>
    <w:p>
      <w:pPr>
        <w:spacing w:after="0"/>
      </w:pPr>
      <w:r>
        <w:rPr>
          <w:rFonts w:ascii="Consolas" w:hAnsi="Consolas"/>
          <w:b w:val="0"/>
          <w:i w:val="0"/>
          <w:color w:val="000000"/>
          <w:sz w:val="20"/>
        </w:rPr>
        <w:t xml:space="preserve">    │   ├── AuthMiddleware.php     (¿hay sesión activa?)</w:t>
      </w:r>
    </w:p>
    <w:p>
      <w:pPr>
        <w:spacing w:after="0"/>
      </w:pPr>
      <w:r>
        <w:rPr>
          <w:rFonts w:ascii="Consolas" w:hAnsi="Consolas"/>
          <w:b w:val="0"/>
          <w:i w:val="0"/>
          <w:color w:val="000000"/>
          <w:sz w:val="20"/>
        </w:rPr>
        <w:t xml:space="preserve">    │   └── AmbitoMiddleware.php   (¿la sesión es administrativa?)</w:t>
      </w:r>
    </w:p>
    <w:p>
      <w:pPr>
        <w:spacing w:after="0"/>
      </w:pPr>
      <w:r>
        <w:rPr>
          <w:rFonts w:ascii="Consolas" w:hAnsi="Consolas"/>
          <w:b w:val="0"/>
          <w:i w:val="0"/>
          <w:color w:val="000000"/>
          <w:sz w:val="20"/>
        </w:rPr>
        <w:t xml:space="preserve">    └── Utils/</w:t>
      </w:r>
    </w:p>
    <w:p>
      <w:pPr>
        <w:spacing w:after="160"/>
      </w:pPr>
      <w:r>
        <w:rPr>
          <w:rFonts w:ascii="Consolas" w:hAnsi="Consolas"/>
          <w:b w:val="0"/>
          <w:i w:val="0"/>
          <w:color w:val="000000"/>
          <w:sz w:val="20"/>
        </w:rPr>
        <w:t xml:space="preserve">        └── GeneradorXlsx.php      (exportación a Excel — ver sección 6)</w:t>
      </w:r>
    </w:p>
    <w:p>
      <w:pPr>
        <w:spacing w:after="80"/>
      </w:pPr>
      <w:r>
        <w:rPr>
          <w:rFonts w:ascii="Arial" w:hAnsi="Arial"/>
          <w:b w:val="0"/>
          <w:i w:val="0"/>
          <w:color w:val="000000"/>
          <w:sz w:val="24"/>
        </w:rPr>
        <w:t>Capas y su responsabilidad (patrón adaptado de AttendQR):</w:t>
      </w:r>
    </w:p>
    <w:p>
      <w:pPr>
        <w:spacing w:after="80"/>
      </w:pPr>
      <w:r>
        <w:rPr>
          <w:rFonts w:ascii="Arial" w:hAnsi="Arial"/>
          <w:b/>
          <w:i w:val="0"/>
          <w:color w:val="000000"/>
          <w:sz w:val="24"/>
        </w:rPr>
        <w:t xml:space="preserve">Controller: </w:t>
      </w:r>
      <w:r>
        <w:rPr>
          <w:rFonts w:ascii="Arial" w:hAnsi="Arial"/>
          <w:b w:val="0"/>
          <w:i w:val="0"/>
          <w:color w:val="000000"/>
          <w:sz w:val="24"/>
        </w:rPr>
        <w:t>Solo entiende HTTP: recibe el método y los parámetros ya autenticados, valida el verbo esperado por acción, decodifica el cuerpo JSON si aplica, llama al Service correspondiente y responde en el formato JSON estándar (sección 6). No contiene lógica de negocio.</w:t>
      </w:r>
    </w:p>
    <w:p>
      <w:pPr>
        <w:spacing w:after="80"/>
      </w:pPr>
      <w:r>
        <w:rPr>
          <w:rFonts w:ascii="Arial" w:hAnsi="Arial"/>
          <w:b/>
          <w:i w:val="0"/>
          <w:color w:val="000000"/>
          <w:sz w:val="24"/>
        </w:rPr>
        <w:t xml:space="preserve">Service: </w:t>
      </w:r>
      <w:r>
        <w:rPr>
          <w:rFonts w:ascii="Arial" w:hAnsi="Arial"/>
          <w:b w:val="0"/>
          <w:i w:val="0"/>
          <w:color w:val="000000"/>
          <w:sz w:val="24"/>
        </w:rPr>
        <w:t>Donde vive la lógica de negocio. Hoy son contratos vacíos: cada método lanza RuntimeException con el mensaje "pendiente de implementar en Etapa 5" -- ver sección 7.</w:t>
      </w:r>
    </w:p>
    <w:p>
      <w:pPr>
        <w:spacing w:after="80"/>
      </w:pPr>
      <w:r>
        <w:rPr>
          <w:rFonts w:ascii="Arial" w:hAnsi="Arial"/>
          <w:b/>
          <w:i w:val="0"/>
          <w:color w:val="000000"/>
          <w:sz w:val="24"/>
        </w:rPr>
        <w:t xml:space="preserve">Repository: </w:t>
      </w:r>
      <w:r>
        <w:rPr>
          <w:rFonts w:ascii="Arial" w:hAnsi="Arial"/>
          <w:b w:val="0"/>
          <w:i w:val="0"/>
          <w:color w:val="000000"/>
          <w:sz w:val="24"/>
        </w:rPr>
        <w:t>Único que toca la base de datos, siempre con sentencias preparadas PDO (sin concatenar valores en SQL). Extiende BaseRepository, que centraliza los helpers genéricos de consulta (consultar, consultarUno, insertar, ejecutar, contar, existe) sobre una única conexión PDO obtenida de Database::obtenerConexion().</w:t>
      </w:r>
    </w:p>
    <w:p>
      <w:pPr>
        <w:spacing w:after="80"/>
      </w:pPr>
      <w:r>
        <w:rPr>
          <w:rFonts w:ascii="Arial" w:hAnsi="Arial"/>
          <w:b/>
          <w:i w:val="0"/>
          <w:color w:val="000000"/>
          <w:sz w:val="24"/>
        </w:rPr>
        <w:t xml:space="preserve">Model: </w:t>
      </w:r>
      <w:r>
        <w:rPr>
          <w:rFonts w:ascii="Arial" w:hAnsi="Arial"/>
          <w:b w:val="0"/>
          <w:i w:val="0"/>
          <w:color w:val="000000"/>
          <w:sz w:val="24"/>
        </w:rPr>
        <w:t>La forma de los datos que viajan entre Repository y Service/Controller -- no es un paso del flujo de una petición (ver sección 4), es una estructura de datos sin lógica propia.</w:t>
      </w:r>
    </w:p>
    <w:p>
      <w:pPr>
        <w:spacing w:after="80"/>
      </w:pPr>
      <w:r>
        <w:rPr>
          <w:rFonts w:ascii="Arial" w:hAnsi="Arial"/>
          <w:b/>
          <w:i w:val="0"/>
          <w:color w:val="000000"/>
          <w:sz w:val="24"/>
        </w:rPr>
        <w:t xml:space="preserve">Middleware: </w:t>
      </w:r>
      <w:r>
        <w:rPr>
          <w:rFonts w:ascii="Arial" w:hAnsi="Arial"/>
          <w:b w:val="0"/>
          <w:i w:val="0"/>
          <w:color w:val="000000"/>
          <w:sz w:val="24"/>
        </w:rPr>
        <w:t>Se ejecuta antes del Controller, según la política de acceso del recurso solicitado (ver sección 5).</w:t>
      </w:r>
    </w:p>
    <w:p>
      <w:pPr>
        <w:spacing w:after="80"/>
      </w:pPr>
      <w:r>
        <w:rPr>
          <w:rFonts w:ascii="Arial" w:hAnsi="Arial"/>
          <w:b/>
          <w:i w:val="0"/>
          <w:color w:val="000000"/>
          <w:sz w:val="24"/>
        </w:rPr>
        <w:t xml:space="preserve">Utils: </w:t>
      </w:r>
      <w:r>
        <w:rPr>
          <w:rFonts w:ascii="Arial" w:hAnsi="Arial"/>
          <w:b w:val="0"/>
          <w:i w:val="0"/>
          <w:color w:val="000000"/>
          <w:sz w:val="24"/>
        </w:rPr>
        <w:t>Utilidades genéricas reutilizables entre módulos, sin lógica de negocio propia -- hoy solo GeneradorXlsx (sección 6).</w:t>
      </w:r>
    </w:p>
    <w:p>
      <w:pPr>
        <w:spacing w:after="80"/>
      </w:pPr>
    </w:p>
    <w:p>
      <w:pPr>
        <w:spacing w:after="160"/>
      </w:pPr>
      <w:r>
        <w:rPr>
          <w:rFonts w:ascii="Arial" w:hAnsi="Arial"/>
          <w:b w:val="0"/>
          <w:i w:val="0"/>
          <w:color w:val="000000"/>
          <w:sz w:val="24"/>
        </w:rPr>
        <w:t>Tres módulos (Historial, Estadística y Reporte) no tienen tabla propia en base_datos/esquema_hwanghon_v2.sql -- son de agregación pura sobre datos de otros módulos -- por lo que no tienen Model ni Repository, solo Controller y Service (ver sección 3). El módulo Auth tampoco tiene tabla propia: reutiliza los Models/Repositories de UsuarioAdministrativo y Deportista para verificar credenciales.</w:t>
      </w:r>
    </w:p>
    <w:p>
      <w:pPr>
        <w:spacing w:before="320" w:after="160"/>
      </w:pPr>
      <w:r>
        <w:rPr>
          <w:rFonts w:ascii="Arial" w:hAnsi="Arial"/>
          <w:b/>
          <w:i w:val="0"/>
          <w:color w:val="000000"/>
          <w:sz w:val="28"/>
        </w:rPr>
        <w:t>3. Los 12 módulos backend</w:t>
      </w:r>
    </w:p>
    <w:p>
      <w:pPr>
        <w:spacing w:after="80"/>
      </w:pPr>
      <w:r>
        <w:rPr>
          <w:rFonts w:ascii="Arial" w:hAnsi="Arial"/>
          <w:b/>
          <w:i w:val="0"/>
          <w:color w:val="000000"/>
          <w:sz w:val="24"/>
        </w:rPr>
        <w:t xml:space="preserve">Fases 20.1 / 20.4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diez módulos de negocio (Contexto Base, sección 6) más Transversal, dividido en dos módulos backend (Auth y UsuarioAdministrativo), para un total de 12. Cada uno tiene su Controller (enrutamiento HTTP completo: manejar(), despacharConMetodo(), leerCuerpoJson(), responderExito()/responderError()) y su Service (contrato, sin lógica todavía). Los que tienen tabla propia en el esquema v2 tienen además Model y Repository -- Controller y Service siguen siempre el patrón "&lt;Módulo&gt;Controller" / "&lt;Módulo&gt;Service", por lo que no se repiten en la tabla:</w:t>
      </w:r>
    </w:p>
    <w:tbl>
      <w:tblPr>
        <w:tblW w:type="dxa" w:w="9358"/>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015"/>
        <w:gridCol w:w="1655"/>
        <w:gridCol w:w="3168"/>
        <w:gridCol w:w="2520"/>
      </w:tblGrid>
      <w:tr>
        <w:tc>
          <w:tcPr>
            <w:tcW w:type="dxa" w:w="2015"/>
          </w:tcPr>
          <w:p>
            <w:r>
              <w:rPr>
                <w:rFonts w:ascii="Arial" w:hAnsi="Arial"/>
                <w:b/>
                <w:i w:val="0"/>
                <w:color w:val="000000"/>
                <w:sz w:val="20"/>
              </w:rPr>
              <w:t>Módulo</w:t>
            </w:r>
          </w:p>
        </w:tc>
        <w:tc>
          <w:tcPr>
            <w:tcW w:type="dxa" w:w="1655"/>
          </w:tcPr>
          <w:p>
            <w:r>
              <w:rPr>
                <w:rFonts w:ascii="Arial" w:hAnsi="Arial"/>
                <w:b/>
                <w:i w:val="0"/>
                <w:color w:val="000000"/>
                <w:sz w:val="20"/>
              </w:rPr>
              <w:t>Recurso (api.php)</w:t>
            </w:r>
          </w:p>
        </w:tc>
        <w:tc>
          <w:tcPr>
            <w:tcW w:type="dxa" w:w="3168"/>
          </w:tcPr>
          <w:p>
            <w:r>
              <w:rPr>
                <w:rFonts w:ascii="Arial" w:hAnsi="Arial"/>
                <w:b/>
                <w:i w:val="0"/>
                <w:color w:val="000000"/>
                <w:sz w:val="20"/>
              </w:rPr>
              <w:t>Model(s)</w:t>
            </w:r>
          </w:p>
        </w:tc>
        <w:tc>
          <w:tcPr>
            <w:tcW w:type="dxa" w:w="2520"/>
          </w:tcPr>
          <w:p>
            <w:r>
              <w:rPr>
                <w:rFonts w:ascii="Arial" w:hAnsi="Arial"/>
                <w:b/>
                <w:i w:val="0"/>
                <w:color w:val="000000"/>
                <w:sz w:val="20"/>
              </w:rPr>
              <w:t>Tabla(s) — esquema v2</w:t>
            </w:r>
          </w:p>
        </w:tc>
      </w:tr>
      <w:tr>
        <w:tc>
          <w:tcPr>
            <w:tcW w:type="dxa" w:w="2015"/>
          </w:tcPr>
          <w:p>
            <w:r>
              <w:rPr>
                <w:rFonts w:ascii="Arial" w:hAnsi="Arial"/>
                <w:b w:val="0"/>
                <w:i w:val="0"/>
                <w:color w:val="000000"/>
                <w:sz w:val="20"/>
              </w:rPr>
              <w:t>1. Auth</w:t>
            </w:r>
          </w:p>
        </w:tc>
        <w:tc>
          <w:tcPr>
            <w:tcW w:type="dxa" w:w="1655"/>
          </w:tcPr>
          <w:p>
            <w:r>
              <w:rPr>
                <w:rFonts w:ascii="Consolas" w:hAnsi="Consolas"/>
                <w:b w:val="0"/>
                <w:i w:val="0"/>
                <w:color w:val="000000"/>
                <w:sz w:val="18"/>
              </w:rPr>
              <w:t>auth</w:t>
            </w:r>
          </w:p>
        </w:tc>
        <w:tc>
          <w:tcPr>
            <w:tcW w:type="dxa" w:w="3168"/>
          </w:tcPr>
          <w:p>
            <w:r>
              <w:rPr>
                <w:rFonts w:ascii="Arial" w:hAnsi="Arial"/>
                <w:b w:val="0"/>
                <w:i w:val="0"/>
                <w:color w:val="000000"/>
                <w:sz w:val="18"/>
              </w:rPr>
              <w:t>— (reutiliza UsuarioAdministrativoModel / DeportistaModel)</w:t>
            </w:r>
          </w:p>
        </w:tc>
        <w:tc>
          <w:tcPr>
            <w:tcW w:type="dxa" w:w="2520"/>
          </w:tcPr>
          <w:p>
            <w:r>
              <w:rPr>
                <w:rFonts w:ascii="Arial" w:hAnsi="Arial"/>
                <w:b w:val="0"/>
                <w:i w:val="0"/>
                <w:color w:val="000000"/>
                <w:sz w:val="18"/>
              </w:rPr>
              <w:t>— (sin tabla propia)</w:t>
            </w:r>
          </w:p>
        </w:tc>
      </w:tr>
      <w:tr>
        <w:tc>
          <w:tcPr>
            <w:tcW w:type="dxa" w:w="2015"/>
          </w:tcPr>
          <w:p>
            <w:r>
              <w:rPr>
                <w:rFonts w:ascii="Arial" w:hAnsi="Arial"/>
                <w:b w:val="0"/>
                <w:i w:val="0"/>
                <w:color w:val="000000"/>
                <w:sz w:val="20"/>
              </w:rPr>
              <w:t>2. UsuarioAdministrativo</w:t>
            </w:r>
          </w:p>
        </w:tc>
        <w:tc>
          <w:tcPr>
            <w:tcW w:type="dxa" w:w="1655"/>
          </w:tcPr>
          <w:p>
            <w:r>
              <w:rPr>
                <w:rFonts w:ascii="Consolas" w:hAnsi="Consolas"/>
                <w:b w:val="0"/>
                <w:i w:val="0"/>
                <w:color w:val="000000"/>
                <w:sz w:val="18"/>
              </w:rPr>
              <w:t>usuarios-administrativos</w:t>
            </w:r>
          </w:p>
        </w:tc>
        <w:tc>
          <w:tcPr>
            <w:tcW w:type="dxa" w:w="3168"/>
          </w:tcPr>
          <w:p>
            <w:r>
              <w:rPr>
                <w:rFonts w:ascii="Arial" w:hAnsi="Arial"/>
                <w:b w:val="0"/>
                <w:i w:val="0"/>
                <w:color w:val="000000"/>
                <w:sz w:val="18"/>
              </w:rPr>
              <w:t>UsuarioAdministrativoModel</w:t>
            </w:r>
          </w:p>
        </w:tc>
        <w:tc>
          <w:tcPr>
            <w:tcW w:type="dxa" w:w="2520"/>
          </w:tcPr>
          <w:p>
            <w:r>
              <w:rPr>
                <w:rFonts w:ascii="Arial" w:hAnsi="Arial"/>
                <w:b w:val="0"/>
                <w:i w:val="0"/>
                <w:color w:val="000000"/>
                <w:sz w:val="18"/>
              </w:rPr>
              <w:t>usuario_administrativo</w:t>
            </w:r>
          </w:p>
        </w:tc>
      </w:tr>
      <w:tr>
        <w:tc>
          <w:tcPr>
            <w:tcW w:type="dxa" w:w="2015"/>
          </w:tcPr>
          <w:p>
            <w:r>
              <w:rPr>
                <w:rFonts w:ascii="Arial" w:hAnsi="Arial"/>
                <w:b w:val="0"/>
                <w:i w:val="0"/>
                <w:color w:val="000000"/>
                <w:sz w:val="20"/>
              </w:rPr>
              <w:t>3. Deportista</w:t>
            </w:r>
          </w:p>
        </w:tc>
        <w:tc>
          <w:tcPr>
            <w:tcW w:type="dxa" w:w="1655"/>
          </w:tcPr>
          <w:p>
            <w:r>
              <w:rPr>
                <w:rFonts w:ascii="Consolas" w:hAnsi="Consolas"/>
                <w:b w:val="0"/>
                <w:i w:val="0"/>
                <w:color w:val="000000"/>
                <w:sz w:val="18"/>
              </w:rPr>
              <w:t>deportistas</w:t>
            </w:r>
          </w:p>
        </w:tc>
        <w:tc>
          <w:tcPr>
            <w:tcW w:type="dxa" w:w="3168"/>
          </w:tcPr>
          <w:p>
            <w:r>
              <w:rPr>
                <w:rFonts w:ascii="Arial" w:hAnsi="Arial"/>
                <w:b w:val="0"/>
                <w:i w:val="0"/>
                <w:color w:val="000000"/>
                <w:sz w:val="18"/>
              </w:rPr>
              <w:t>DeportistaModel, AcudienteTutorModel</w:t>
            </w:r>
          </w:p>
        </w:tc>
        <w:tc>
          <w:tcPr>
            <w:tcW w:type="dxa" w:w="2520"/>
          </w:tcPr>
          <w:p>
            <w:r>
              <w:rPr>
                <w:rFonts w:ascii="Arial" w:hAnsi="Arial"/>
                <w:b w:val="0"/>
                <w:i w:val="0"/>
                <w:color w:val="000000"/>
                <w:sz w:val="18"/>
              </w:rPr>
              <w:t>deportista, acudiente_tutor</w:t>
            </w:r>
          </w:p>
        </w:tc>
      </w:tr>
      <w:tr>
        <w:tc>
          <w:tcPr>
            <w:tcW w:type="dxa" w:w="2015"/>
          </w:tcPr>
          <w:p>
            <w:r>
              <w:rPr>
                <w:rFonts w:ascii="Arial" w:hAnsi="Arial"/>
                <w:b w:val="0"/>
                <w:i w:val="0"/>
                <w:color w:val="000000"/>
                <w:sz w:val="20"/>
              </w:rPr>
              <w:t>4. Historial</w:t>
            </w:r>
          </w:p>
        </w:tc>
        <w:tc>
          <w:tcPr>
            <w:tcW w:type="dxa" w:w="1655"/>
          </w:tcPr>
          <w:p>
            <w:r>
              <w:rPr>
                <w:rFonts w:ascii="Consolas" w:hAnsi="Consolas"/>
                <w:b w:val="0"/>
                <w:i w:val="0"/>
                <w:color w:val="000000"/>
                <w:sz w:val="18"/>
              </w:rPr>
              <w:t>historial</w:t>
            </w:r>
          </w:p>
        </w:tc>
        <w:tc>
          <w:tcPr>
            <w:tcW w:type="dxa" w:w="3168"/>
          </w:tcPr>
          <w:p>
            <w:r>
              <w:rPr>
                <w:rFonts w:ascii="Arial" w:hAnsi="Arial"/>
                <w:b w:val="0"/>
                <w:i w:val="0"/>
                <w:color w:val="000000"/>
                <w:sz w:val="18"/>
              </w:rPr>
              <w:t>— (agregación pura)</w:t>
            </w:r>
          </w:p>
        </w:tc>
        <w:tc>
          <w:tcPr>
            <w:tcW w:type="dxa" w:w="2520"/>
          </w:tcPr>
          <w:p>
            <w:r>
              <w:rPr>
                <w:rFonts w:ascii="Arial" w:hAnsi="Arial"/>
                <w:b w:val="0"/>
                <w:i w:val="0"/>
                <w:color w:val="000000"/>
                <w:sz w:val="18"/>
              </w:rPr>
              <w:t>— (sin tabla propia)</w:t>
            </w:r>
          </w:p>
        </w:tc>
      </w:tr>
      <w:tr>
        <w:tc>
          <w:tcPr>
            <w:tcW w:type="dxa" w:w="2015"/>
          </w:tcPr>
          <w:p>
            <w:r>
              <w:rPr>
                <w:rFonts w:ascii="Arial" w:hAnsi="Arial"/>
                <w:b w:val="0"/>
                <w:i w:val="0"/>
                <w:color w:val="000000"/>
                <w:sz w:val="20"/>
              </w:rPr>
              <w:t>5. Competencia</w:t>
            </w:r>
          </w:p>
        </w:tc>
        <w:tc>
          <w:tcPr>
            <w:tcW w:type="dxa" w:w="1655"/>
          </w:tcPr>
          <w:p>
            <w:r>
              <w:rPr>
                <w:rFonts w:ascii="Consolas" w:hAnsi="Consolas"/>
                <w:b w:val="0"/>
                <w:i w:val="0"/>
                <w:color w:val="000000"/>
                <w:sz w:val="18"/>
              </w:rPr>
              <w:t>competencias</w:t>
            </w:r>
          </w:p>
        </w:tc>
        <w:tc>
          <w:tcPr>
            <w:tcW w:type="dxa" w:w="3168"/>
          </w:tcPr>
          <w:p>
            <w:r>
              <w:rPr>
                <w:rFonts w:ascii="Arial" w:hAnsi="Arial"/>
                <w:b w:val="0"/>
                <w:i w:val="0"/>
                <w:color w:val="000000"/>
                <w:sz w:val="18"/>
              </w:rPr>
              <w:t>CompetenciaModel, ParticipacionCompetenciaModel, EventoCalendarioModel *</w:t>
            </w:r>
          </w:p>
        </w:tc>
        <w:tc>
          <w:tcPr>
            <w:tcW w:type="dxa" w:w="2520"/>
          </w:tcPr>
          <w:p>
            <w:r>
              <w:rPr>
                <w:rFonts w:ascii="Arial" w:hAnsi="Arial"/>
                <w:b w:val="0"/>
                <w:i w:val="0"/>
                <w:color w:val="000000"/>
                <w:sz w:val="18"/>
              </w:rPr>
              <w:t>competencia, participacion_competencia, evento_calendario *</w:t>
            </w:r>
          </w:p>
        </w:tc>
      </w:tr>
      <w:tr>
        <w:tc>
          <w:tcPr>
            <w:tcW w:type="dxa" w:w="2015"/>
          </w:tcPr>
          <w:p>
            <w:r>
              <w:rPr>
                <w:rFonts w:ascii="Arial" w:hAnsi="Arial"/>
                <w:b w:val="0"/>
                <w:i w:val="0"/>
                <w:color w:val="000000"/>
                <w:sz w:val="20"/>
              </w:rPr>
              <w:t>6. Estadística</w:t>
            </w:r>
          </w:p>
        </w:tc>
        <w:tc>
          <w:tcPr>
            <w:tcW w:type="dxa" w:w="1655"/>
          </w:tcPr>
          <w:p>
            <w:r>
              <w:rPr>
                <w:rFonts w:ascii="Consolas" w:hAnsi="Consolas"/>
                <w:b w:val="0"/>
                <w:i w:val="0"/>
                <w:color w:val="000000"/>
                <w:sz w:val="18"/>
              </w:rPr>
              <w:t>estadisticas</w:t>
            </w:r>
          </w:p>
        </w:tc>
        <w:tc>
          <w:tcPr>
            <w:tcW w:type="dxa" w:w="3168"/>
          </w:tcPr>
          <w:p>
            <w:r>
              <w:rPr>
                <w:rFonts w:ascii="Arial" w:hAnsi="Arial"/>
                <w:b w:val="0"/>
                <w:i w:val="0"/>
                <w:color w:val="000000"/>
                <w:sz w:val="18"/>
              </w:rPr>
              <w:t>— (agregación pura)</w:t>
            </w:r>
          </w:p>
        </w:tc>
        <w:tc>
          <w:tcPr>
            <w:tcW w:type="dxa" w:w="2520"/>
          </w:tcPr>
          <w:p>
            <w:r>
              <w:rPr>
                <w:rFonts w:ascii="Arial" w:hAnsi="Arial"/>
                <w:b w:val="0"/>
                <w:i w:val="0"/>
                <w:color w:val="000000"/>
                <w:sz w:val="18"/>
              </w:rPr>
              <w:t>— (sin tabla propia)</w:t>
            </w:r>
          </w:p>
        </w:tc>
      </w:tr>
      <w:tr>
        <w:tc>
          <w:tcPr>
            <w:tcW w:type="dxa" w:w="2015"/>
          </w:tcPr>
          <w:p>
            <w:r>
              <w:rPr>
                <w:rFonts w:ascii="Arial" w:hAnsi="Arial"/>
                <w:b w:val="0"/>
                <w:i w:val="0"/>
                <w:color w:val="000000"/>
                <w:sz w:val="20"/>
              </w:rPr>
              <w:t>7. Evaluación</w:t>
            </w:r>
          </w:p>
        </w:tc>
        <w:tc>
          <w:tcPr>
            <w:tcW w:type="dxa" w:w="1655"/>
          </w:tcPr>
          <w:p>
            <w:r>
              <w:rPr>
                <w:rFonts w:ascii="Consolas" w:hAnsi="Consolas"/>
                <w:b w:val="0"/>
                <w:i w:val="0"/>
                <w:color w:val="000000"/>
                <w:sz w:val="18"/>
              </w:rPr>
              <w:t>evaluaciones</w:t>
            </w:r>
          </w:p>
        </w:tc>
        <w:tc>
          <w:tcPr>
            <w:tcW w:type="dxa" w:w="3168"/>
          </w:tcPr>
          <w:p>
            <w:r>
              <w:rPr>
                <w:rFonts w:ascii="Arial" w:hAnsi="Arial"/>
                <w:b w:val="0"/>
                <w:i w:val="0"/>
                <w:color w:val="000000"/>
                <w:sz w:val="18"/>
              </w:rPr>
              <w:t>SesionExamenModel, DetalleEvaluacionModel, EntregaCinturonModel</w:t>
            </w:r>
          </w:p>
        </w:tc>
        <w:tc>
          <w:tcPr>
            <w:tcW w:type="dxa" w:w="2520"/>
          </w:tcPr>
          <w:p>
            <w:r>
              <w:rPr>
                <w:rFonts w:ascii="Arial" w:hAnsi="Arial"/>
                <w:b w:val="0"/>
                <w:i w:val="0"/>
                <w:color w:val="000000"/>
                <w:sz w:val="18"/>
              </w:rPr>
              <w:t>sesion_examen, detalle_evaluacion, entrega_cinturon</w:t>
            </w:r>
          </w:p>
        </w:tc>
      </w:tr>
      <w:tr>
        <w:tc>
          <w:tcPr>
            <w:tcW w:type="dxa" w:w="2015"/>
          </w:tcPr>
          <w:p>
            <w:r>
              <w:rPr>
                <w:rFonts w:ascii="Arial" w:hAnsi="Arial"/>
                <w:b w:val="0"/>
                <w:i w:val="0"/>
                <w:color w:val="000000"/>
                <w:sz w:val="20"/>
              </w:rPr>
              <w:t>8. Documento</w:t>
            </w:r>
          </w:p>
        </w:tc>
        <w:tc>
          <w:tcPr>
            <w:tcW w:type="dxa" w:w="1655"/>
          </w:tcPr>
          <w:p>
            <w:r>
              <w:rPr>
                <w:rFonts w:ascii="Consolas" w:hAnsi="Consolas"/>
                <w:b w:val="0"/>
                <w:i w:val="0"/>
                <w:color w:val="000000"/>
                <w:sz w:val="18"/>
              </w:rPr>
              <w:t>documentos</w:t>
            </w:r>
          </w:p>
        </w:tc>
        <w:tc>
          <w:tcPr>
            <w:tcW w:type="dxa" w:w="3168"/>
          </w:tcPr>
          <w:p>
            <w:r>
              <w:rPr>
                <w:rFonts w:ascii="Arial" w:hAnsi="Arial"/>
                <w:b w:val="0"/>
                <w:i w:val="0"/>
                <w:color w:val="000000"/>
                <w:sz w:val="18"/>
              </w:rPr>
              <w:t>DocumentoModel</w:t>
            </w:r>
          </w:p>
        </w:tc>
        <w:tc>
          <w:tcPr>
            <w:tcW w:type="dxa" w:w="2520"/>
          </w:tcPr>
          <w:p>
            <w:r>
              <w:rPr>
                <w:rFonts w:ascii="Arial" w:hAnsi="Arial"/>
                <w:b w:val="0"/>
                <w:i w:val="0"/>
                <w:color w:val="000000"/>
                <w:sz w:val="18"/>
              </w:rPr>
              <w:t>documento</w:t>
            </w:r>
          </w:p>
        </w:tc>
      </w:tr>
      <w:tr>
        <w:tc>
          <w:tcPr>
            <w:tcW w:type="dxa" w:w="2015"/>
          </w:tcPr>
          <w:p>
            <w:r>
              <w:rPr>
                <w:rFonts w:ascii="Arial" w:hAnsi="Arial"/>
                <w:b w:val="0"/>
                <w:i w:val="0"/>
                <w:color w:val="000000"/>
                <w:sz w:val="20"/>
              </w:rPr>
              <w:t>9. Asistencia</w:t>
            </w:r>
          </w:p>
        </w:tc>
        <w:tc>
          <w:tcPr>
            <w:tcW w:type="dxa" w:w="1655"/>
          </w:tcPr>
          <w:p>
            <w:r>
              <w:rPr>
                <w:rFonts w:ascii="Consolas" w:hAnsi="Consolas"/>
                <w:b w:val="0"/>
                <w:i w:val="0"/>
                <w:color w:val="000000"/>
                <w:sz w:val="18"/>
              </w:rPr>
              <w:t>asistencia</w:t>
            </w:r>
          </w:p>
        </w:tc>
        <w:tc>
          <w:tcPr>
            <w:tcW w:type="dxa" w:w="3168"/>
          </w:tcPr>
          <w:p>
            <w:r>
              <w:rPr>
                <w:rFonts w:ascii="Arial" w:hAnsi="Arial"/>
                <w:b w:val="0"/>
                <w:i w:val="0"/>
                <w:color w:val="000000"/>
                <w:sz w:val="18"/>
              </w:rPr>
              <w:t>AsistenciaModel</w:t>
            </w:r>
          </w:p>
        </w:tc>
        <w:tc>
          <w:tcPr>
            <w:tcW w:type="dxa" w:w="2520"/>
          </w:tcPr>
          <w:p>
            <w:r>
              <w:rPr>
                <w:rFonts w:ascii="Arial" w:hAnsi="Arial"/>
                <w:b w:val="0"/>
                <w:i w:val="0"/>
                <w:color w:val="000000"/>
                <w:sz w:val="18"/>
              </w:rPr>
              <w:t>asistencia</w:t>
            </w:r>
          </w:p>
        </w:tc>
      </w:tr>
      <w:tr>
        <w:tc>
          <w:tcPr>
            <w:tcW w:type="dxa" w:w="2015"/>
          </w:tcPr>
          <w:p>
            <w:r>
              <w:rPr>
                <w:rFonts w:ascii="Arial" w:hAnsi="Arial"/>
                <w:b w:val="0"/>
                <w:i w:val="0"/>
                <w:color w:val="000000"/>
                <w:sz w:val="20"/>
              </w:rPr>
              <w:t>10. Pago</w:t>
            </w:r>
          </w:p>
        </w:tc>
        <w:tc>
          <w:tcPr>
            <w:tcW w:type="dxa" w:w="1655"/>
          </w:tcPr>
          <w:p>
            <w:r>
              <w:rPr>
                <w:rFonts w:ascii="Consolas" w:hAnsi="Consolas"/>
                <w:b w:val="0"/>
                <w:i w:val="0"/>
                <w:color w:val="000000"/>
                <w:sz w:val="18"/>
              </w:rPr>
              <w:t>pagos</w:t>
            </w:r>
          </w:p>
        </w:tc>
        <w:tc>
          <w:tcPr>
            <w:tcW w:type="dxa" w:w="3168"/>
          </w:tcPr>
          <w:p>
            <w:r>
              <w:rPr>
                <w:rFonts w:ascii="Arial" w:hAnsi="Arial"/>
                <w:b w:val="0"/>
                <w:i w:val="0"/>
                <w:color w:val="000000"/>
                <w:sz w:val="18"/>
              </w:rPr>
              <w:t>PagoModel</w:t>
            </w:r>
          </w:p>
        </w:tc>
        <w:tc>
          <w:tcPr>
            <w:tcW w:type="dxa" w:w="2520"/>
          </w:tcPr>
          <w:p>
            <w:r>
              <w:rPr>
                <w:rFonts w:ascii="Arial" w:hAnsi="Arial"/>
                <w:b w:val="0"/>
                <w:i w:val="0"/>
                <w:color w:val="000000"/>
                <w:sz w:val="18"/>
              </w:rPr>
              <w:t>pago</w:t>
            </w:r>
          </w:p>
        </w:tc>
      </w:tr>
      <w:tr>
        <w:tc>
          <w:tcPr>
            <w:tcW w:type="dxa" w:w="2015"/>
          </w:tcPr>
          <w:p>
            <w:r>
              <w:rPr>
                <w:rFonts w:ascii="Arial" w:hAnsi="Arial"/>
                <w:b w:val="0"/>
                <w:i w:val="0"/>
                <w:color w:val="000000"/>
                <w:sz w:val="20"/>
              </w:rPr>
              <w:t>11. Calendario</w:t>
            </w:r>
          </w:p>
        </w:tc>
        <w:tc>
          <w:tcPr>
            <w:tcW w:type="dxa" w:w="1655"/>
          </w:tcPr>
          <w:p>
            <w:r>
              <w:rPr>
                <w:rFonts w:ascii="Consolas" w:hAnsi="Consolas"/>
                <w:b w:val="0"/>
                <w:i w:val="0"/>
                <w:color w:val="000000"/>
                <w:sz w:val="18"/>
              </w:rPr>
              <w:t>calendario</w:t>
            </w:r>
          </w:p>
        </w:tc>
        <w:tc>
          <w:tcPr>
            <w:tcW w:type="dxa" w:w="3168"/>
          </w:tcPr>
          <w:p>
            <w:r>
              <w:rPr>
                <w:rFonts w:ascii="Arial" w:hAnsi="Arial"/>
                <w:b w:val="0"/>
                <w:i w:val="0"/>
                <w:color w:val="000000"/>
                <w:sz w:val="18"/>
              </w:rPr>
              <w:t>EventoCalendarioModel *</w:t>
            </w:r>
          </w:p>
        </w:tc>
        <w:tc>
          <w:tcPr>
            <w:tcW w:type="dxa" w:w="2520"/>
          </w:tcPr>
          <w:p>
            <w:r>
              <w:rPr>
                <w:rFonts w:ascii="Arial" w:hAnsi="Arial"/>
                <w:b w:val="0"/>
                <w:i w:val="0"/>
                <w:color w:val="000000"/>
                <w:sz w:val="18"/>
              </w:rPr>
              <w:t>evento_calendario *</w:t>
            </w:r>
          </w:p>
        </w:tc>
      </w:tr>
      <w:tr>
        <w:tc>
          <w:tcPr>
            <w:tcW w:type="dxa" w:w="2015"/>
          </w:tcPr>
          <w:p>
            <w:r>
              <w:rPr>
                <w:rFonts w:ascii="Arial" w:hAnsi="Arial"/>
                <w:b w:val="0"/>
                <w:i w:val="0"/>
                <w:color w:val="000000"/>
                <w:sz w:val="20"/>
              </w:rPr>
              <w:t>12. Reporte</w:t>
            </w:r>
          </w:p>
        </w:tc>
        <w:tc>
          <w:tcPr>
            <w:tcW w:type="dxa" w:w="1655"/>
          </w:tcPr>
          <w:p>
            <w:r>
              <w:rPr>
                <w:rFonts w:ascii="Consolas" w:hAnsi="Consolas"/>
                <w:b w:val="0"/>
                <w:i w:val="0"/>
                <w:color w:val="000000"/>
                <w:sz w:val="18"/>
              </w:rPr>
              <w:t>reportes</w:t>
            </w:r>
          </w:p>
        </w:tc>
        <w:tc>
          <w:tcPr>
            <w:tcW w:type="dxa" w:w="3168"/>
          </w:tcPr>
          <w:p>
            <w:r>
              <w:rPr>
                <w:rFonts w:ascii="Arial" w:hAnsi="Arial"/>
                <w:b w:val="0"/>
                <w:i w:val="0"/>
                <w:color w:val="000000"/>
                <w:sz w:val="18"/>
              </w:rPr>
              <w:t>— (agregación pura, usa GeneradorXlsx)</w:t>
            </w:r>
          </w:p>
        </w:tc>
        <w:tc>
          <w:tcPr>
            <w:tcW w:type="dxa" w:w="2520"/>
          </w:tcPr>
          <w:p>
            <w:r>
              <w:rPr>
                <w:rFonts w:ascii="Arial" w:hAnsi="Arial"/>
                <w:b w:val="0"/>
                <w:i w:val="0"/>
                <w:color w:val="000000"/>
                <w:sz w:val="18"/>
              </w:rPr>
              <w:t>— (sin tabla propia)</w:t>
            </w:r>
          </w:p>
        </w:tc>
      </w:tr>
    </w:tbl>
    <w:p>
      <w:pPr>
        <w:spacing w:after="80"/>
      </w:pPr>
    </w:p>
    <w:p>
      <w:pPr>
        <w:spacing w:after="80"/>
      </w:pPr>
      <w:r>
        <w:rPr>
          <w:rFonts w:ascii="Arial" w:hAnsi="Arial"/>
          <w:b w:val="0"/>
          <w:i w:val="0"/>
          <w:color w:val="000000"/>
          <w:sz w:val="24"/>
        </w:rPr>
        <w:t>* evento_calendario es una tabla compartida: tanto Competencia como Calendario escriben y leen en ella (verificado en CompetenciaService.php, que inyecta EventoCalendarioRepository junto con CompetenciaRepository y ParticipacionCompetenciaRepository). No es un error de conteo ni una tabla duplicada -- EventoCalendarioModel y su Repository se cuentan una sola vez en el total de abajo, aunque dos módulos los usen. CalendarioService distingue su propio alcance filtrando por evento_calendario.visibilidad (RN-3.1/RN-9.x) en vez de tener una tabla separada -- documentado así directamente en el docblock de CalendarioService.php.</w:t>
      </w:r>
    </w:p>
    <w:p>
      <w:pPr>
        <w:spacing w:after="160"/>
      </w:pPr>
      <w:r>
        <w:rPr>
          <w:rFonts w:ascii="Arial" w:hAnsi="Arial"/>
          <w:b w:val="0"/>
          <w:i w:val="0"/>
          <w:color w:val="000000"/>
          <w:sz w:val="24"/>
        </w:rPr>
        <w:t>Repository sigue el mismo patrón "&lt;Model&gt;Repository" por cada Model de la tabla (p. ej. DeportistaModel → DeportistaRepository), más BaseRepository compartida (sección 2). Total: 12 Controllers + 12 Services + 12 Models + 13 Repositories (12 + BaseRepository) + 2 Middleware + 1 Config + 1 Utils + Public/api.php + Public/.htaccess = 55 archivos -- ver sección 8 -- EventoCalendarioModel/Repository cuentan una sola vez pese a aparecer en dos filas de la tabla.</w:t>
      </w:r>
    </w:p>
    <w:p>
      <w:pPr>
        <w:spacing w:before="320" w:after="160"/>
      </w:pPr>
      <w:r>
        <w:rPr>
          <w:rFonts w:ascii="Arial" w:hAnsi="Arial"/>
          <w:b/>
          <w:i w:val="0"/>
          <w:color w:val="000000"/>
          <w:sz w:val="28"/>
        </w:rPr>
        <w:t>4. Flujo de una petición</w:t>
      </w:r>
    </w:p>
    <w:p>
      <w:pPr>
        <w:spacing w:after="80"/>
      </w:pPr>
      <w:r>
        <w:rPr>
          <w:rFonts w:ascii="Arial" w:hAnsi="Arial"/>
          <w:b/>
          <w:i w:val="0"/>
          <w:color w:val="000000"/>
          <w:sz w:val="24"/>
        </w:rPr>
        <w:t xml:space="preserve">Fases 20.2 / 20.3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Verificado directamente contra Public/api.php (front controller único):</w:t>
      </w:r>
    </w:p>
    <w:p>
      <w:pPr>
        <w:spacing w:after="80"/>
      </w:pPr>
      <w:r>
        <w:rPr>
          <w:rFonts w:ascii="Arial" w:hAnsi="Arial"/>
          <w:b/>
          <w:i w:val="0"/>
          <w:color w:val="000000"/>
          <w:sz w:val="24"/>
        </w:rPr>
        <w:t xml:space="preserve">1. </w:t>
      </w:r>
      <w:r>
        <w:rPr>
          <w:rFonts w:ascii="Arial" w:hAnsi="Arial"/>
          <w:b w:val="0"/>
          <w:i w:val="0"/>
          <w:color w:val="000000"/>
          <w:sz w:val="24"/>
        </w:rPr>
        <w:t>Frontend hace una solicitud a api.php?recurso=&lt;recurso&gt;&amp;accion=&lt;accion&gt; (con el cuerpo, si aplica, en JSON).</w:t>
      </w:r>
    </w:p>
    <w:p>
      <w:pPr>
        <w:spacing w:after="80"/>
      </w:pPr>
      <w:r>
        <w:rPr>
          <w:rFonts w:ascii="Arial" w:hAnsi="Arial"/>
          <w:b/>
          <w:i w:val="0"/>
          <w:color w:val="000000"/>
          <w:sz w:val="24"/>
        </w:rPr>
        <w:t xml:space="preserve">2. </w:t>
      </w:r>
      <w:r>
        <w:rPr>
          <w:rFonts w:ascii="Arial" w:hAnsi="Arial"/>
          <w:b w:val="0"/>
          <w:i w:val="0"/>
          <w:color w:val="000000"/>
          <w:sz w:val="24"/>
        </w:rPr>
        <w:t>api.php busca &lt;recurso&gt; en su tabla de rutas; si no existe, responde 404. Si existe, determina la política de acceso del recurso (ver sección 5).</w:t>
      </w:r>
    </w:p>
    <w:p>
      <w:pPr>
        <w:spacing w:after="80"/>
      </w:pPr>
      <w:r>
        <w:rPr>
          <w:rFonts w:ascii="Arial" w:hAnsi="Arial"/>
          <w:b/>
          <w:i w:val="0"/>
          <w:color w:val="000000"/>
          <w:sz w:val="24"/>
        </w:rPr>
        <w:t xml:space="preserve">3. </w:t>
      </w:r>
      <w:r>
        <w:rPr>
          <w:rFonts w:ascii="Arial" w:hAnsi="Arial"/>
          <w:b w:val="0"/>
          <w:i w:val="0"/>
          <w:color w:val="000000"/>
          <w:sz w:val="24"/>
        </w:rPr>
        <w:t>Middleware, solo si la política lo exige: AuthMiddleware::verificar() (política "autenticada") o AmbitoMiddleware::verificarAdministrativa() (política "solo_administrativa") — responde 401 o 403 y detiene la ejecución si la sesión no cumple. La política "publica" no ejecuta ningún middleware.</w:t>
      </w:r>
    </w:p>
    <w:p>
      <w:pPr>
        <w:spacing w:after="80"/>
      </w:pPr>
      <w:r>
        <w:rPr>
          <w:rFonts w:ascii="Arial" w:hAnsi="Arial"/>
          <w:b/>
          <w:i w:val="0"/>
          <w:color w:val="000000"/>
          <w:sz w:val="24"/>
        </w:rPr>
        <w:t xml:space="preserve">4. </w:t>
      </w:r>
      <w:r>
        <w:rPr>
          <w:rFonts w:ascii="Arial" w:hAnsi="Arial"/>
          <w:b w:val="0"/>
          <w:i w:val="0"/>
          <w:color w:val="000000"/>
          <w:sz w:val="24"/>
        </w:rPr>
        <w:t>Controller — recibe el método HTTP, la acción y los parámetros ya autenticados; solo entiende HTTP (verbo esperado por acción, lectura del cuerpo JSON, formato de respuesta). Delega toda lógica al Service.</w:t>
      </w:r>
    </w:p>
    <w:p>
      <w:pPr>
        <w:spacing w:after="80"/>
      </w:pPr>
      <w:r>
        <w:rPr>
          <w:rFonts w:ascii="Arial" w:hAnsi="Arial"/>
          <w:b/>
          <w:i w:val="0"/>
          <w:color w:val="000000"/>
          <w:sz w:val="24"/>
        </w:rPr>
        <w:t xml:space="preserve">5. </w:t>
      </w:r>
      <w:r>
        <w:rPr>
          <w:rFonts w:ascii="Arial" w:hAnsi="Arial"/>
          <w:b w:val="0"/>
          <w:i w:val="0"/>
          <w:color w:val="000000"/>
          <w:sz w:val="24"/>
        </w:rPr>
        <w:t>Service — donde va la lógica de negocio (Etapa 5); hoy son contratos que lanzan RuntimeException si se llaman (sección 7).</w:t>
      </w:r>
    </w:p>
    <w:p>
      <w:pPr>
        <w:spacing w:after="80"/>
      </w:pPr>
      <w:r>
        <w:rPr>
          <w:rFonts w:ascii="Arial" w:hAnsi="Arial"/>
          <w:b/>
          <w:i w:val="0"/>
          <w:color w:val="000000"/>
          <w:sz w:val="24"/>
        </w:rPr>
        <w:t xml:space="preserve">6. </w:t>
      </w:r>
      <w:r>
        <w:rPr>
          <w:rFonts w:ascii="Arial" w:hAnsi="Arial"/>
          <w:b w:val="0"/>
          <w:i w:val="0"/>
          <w:color w:val="000000"/>
          <w:sz w:val="24"/>
        </w:rPr>
        <w:t>Repository — único que toca la base de datos, con sentencias preparadas PDO (sin concatenar valores en SQL).</w:t>
      </w:r>
    </w:p>
    <w:p>
      <w:pPr>
        <w:spacing w:after="80"/>
      </w:pPr>
      <w:r>
        <w:rPr>
          <w:rFonts w:ascii="Arial" w:hAnsi="Arial"/>
          <w:b/>
          <w:i w:val="0"/>
          <w:color w:val="000000"/>
          <w:sz w:val="24"/>
        </w:rPr>
        <w:t xml:space="preserve">7. </w:t>
      </w:r>
      <w:r>
        <w:rPr>
          <w:rFonts w:ascii="Arial" w:hAnsi="Arial"/>
          <w:b w:val="0"/>
          <w:i w:val="0"/>
          <w:color w:val="000000"/>
          <w:sz w:val="24"/>
        </w:rPr>
        <w:t>Base de datos (MySQL/MariaDB, esquema_hwanghon_v2.sql).</w:t>
      </w:r>
    </w:p>
    <w:p>
      <w:pPr>
        <w:spacing w:after="80"/>
      </w:pPr>
    </w:p>
    <w:p>
      <w:pPr>
        <w:spacing w:after="160"/>
      </w:pPr>
      <w:r>
        <w:rPr>
          <w:rFonts w:ascii="Arial" w:hAnsi="Arial"/>
          <w:b w:val="0"/>
          <w:i w:val="0"/>
          <w:color w:val="000000"/>
          <w:sz w:val="24"/>
        </w:rPr>
        <w:t>El Model no es un paso de este flujo: es la forma de los datos que viajan entre Repository y Service/Controller (sección 2). Bootstrap de api.php: el orden de los require_once importa (BaseRepository depende de Database, los Repositories dependen de BaseRepository, los Controllers dependen de los Services que dependen de los Repositories) — verificado leyendo el archivo real.</w:t>
      </w:r>
    </w:p>
    <w:p>
      <w:pPr>
        <w:spacing w:before="320" w:after="160"/>
      </w:pPr>
      <w:r>
        <w:rPr>
          <w:rFonts w:ascii="Arial" w:hAnsi="Arial"/>
          <w:b/>
          <w:i w:val="0"/>
          <w:color w:val="000000"/>
          <w:sz w:val="28"/>
        </w:rPr>
        <w:t>5. Modelo de acceso</w:t>
      </w:r>
    </w:p>
    <w:p>
      <w:pPr>
        <w:spacing w:after="80"/>
      </w:pPr>
      <w:r>
        <w:rPr>
          <w:rFonts w:ascii="Arial" w:hAnsi="Arial"/>
          <w:b/>
          <w:i w:val="0"/>
          <w:color w:val="000000"/>
          <w:sz w:val="24"/>
        </w:rPr>
        <w:t xml:space="preserve">Fases 20.2 / 20.3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Dos ámbitos (RN-T.1/RN-T.2/RN-T.3), simplificado frente a los cinco roles de AttendQR -- verificado en AuthMiddleware.php y AmbitoMiddleware.php:</w:t>
      </w:r>
    </w:p>
    <w:p>
      <w:pPr>
        <w:spacing w:after="80"/>
      </w:pPr>
      <w:r>
        <w:rPr>
          <w:rFonts w:ascii="Arial" w:hAnsi="Arial"/>
          <w:b/>
          <w:i w:val="0"/>
          <w:color w:val="000000"/>
          <w:sz w:val="24"/>
        </w:rPr>
        <w:t xml:space="preserve">publica: </w:t>
      </w:r>
      <w:r>
        <w:rPr>
          <w:rFonts w:ascii="Arial" w:hAnsi="Arial"/>
          <w:b w:val="0"/>
          <w:i w:val="0"/>
          <w:color w:val="000000"/>
          <w:sz w:val="24"/>
        </w:rPr>
        <w:t>Sin autenticación (p. ej. auth: login, recuperación de contraseña).</w:t>
      </w:r>
    </w:p>
    <w:p>
      <w:pPr>
        <w:spacing w:after="80"/>
      </w:pPr>
      <w:r>
        <w:rPr>
          <w:rFonts w:ascii="Arial" w:hAnsi="Arial"/>
          <w:b/>
          <w:i w:val="0"/>
          <w:color w:val="000000"/>
          <w:sz w:val="24"/>
        </w:rPr>
        <w:t xml:space="preserve">autenticada: </w:t>
      </w:r>
      <w:r>
        <w:rPr>
          <w:rFonts w:ascii="Arial" w:hAnsi="Arial"/>
          <w:b w:val="0"/>
          <w:i w:val="0"/>
          <w:color w:val="000000"/>
          <w:sz w:val="24"/>
        </w:rPr>
        <w:t>Cualquier sesión activa, administrativa o pública -- el Service filtra qué se expone según el ámbito.</w:t>
      </w:r>
    </w:p>
    <w:p>
      <w:pPr>
        <w:spacing w:after="80"/>
      </w:pPr>
      <w:r>
        <w:rPr>
          <w:rFonts w:ascii="Arial" w:hAnsi="Arial"/>
          <w:b/>
          <w:i w:val="0"/>
          <w:color w:val="000000"/>
          <w:sz w:val="24"/>
        </w:rPr>
        <w:t xml:space="preserve">solo_administrativa: </w:t>
      </w:r>
      <w:r>
        <w:rPr>
          <w:rFonts w:ascii="Arial" w:hAnsi="Arial"/>
          <w:b w:val="0"/>
          <w:i w:val="0"/>
          <w:color w:val="000000"/>
          <w:sz w:val="24"/>
        </w:rPr>
        <w:t>Únicamente sesión del ámbito administrativo.</w:t>
      </w:r>
    </w:p>
    <w:p>
      <w:pPr>
        <w:spacing w:after="160"/>
      </w:pPr>
      <w:r>
        <w:rPr>
          <w:rFonts w:ascii="Arial" w:hAnsi="Arial"/>
          <w:b w:val="0"/>
          <w:i w:val="0"/>
          <w:color w:val="000000"/>
          <w:sz w:val="24"/>
        </w:rPr>
        <w:t>No existe "solo_publica": el ámbito administrativo siempre tiene acceso completo (RN-T.2) -- no hay un recurso que la vista administrativa no pueda ver.</w:t>
      </w:r>
    </w:p>
    <w:p>
      <w:pPr>
        <w:spacing w:before="120" w:after="80"/>
      </w:pPr>
      <w:r>
        <w:rPr>
          <w:rFonts w:ascii="Arial" w:hAnsi="Arial"/>
          <w:b/>
          <w:i w:val="0"/>
          <w:color w:val="000000"/>
          <w:sz w:val="24"/>
        </w:rPr>
        <w:t>Tabla de políticas de acceso (api.php)</w:t>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Las políticas asignadas por recurso son un punto de partida razonable, no definitivo -- se revisan si la Etapa 5 revela una necesidad distinta (p. ej. una acción de un recurso "autenticada" que en realidad deba restringirse a "solo_administrativa"). Tabla verificada contra $politicasAcceso en api.php:</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320"/>
        <w:gridCol w:w="2880"/>
      </w:tblGrid>
      <w:tr>
        <w:tc>
          <w:tcPr>
            <w:tcW w:type="dxa" w:w="4320"/>
          </w:tcPr>
          <w:p>
            <w:r>
              <w:rPr>
                <w:rFonts w:ascii="Arial" w:hAnsi="Arial"/>
                <w:b/>
                <w:i w:val="0"/>
                <w:color w:val="000000"/>
                <w:sz w:val="20"/>
              </w:rPr>
              <w:t>Recurso</w:t>
            </w:r>
          </w:p>
        </w:tc>
        <w:tc>
          <w:tcPr>
            <w:tcW w:type="dxa" w:w="2880"/>
          </w:tcPr>
          <w:p>
            <w:r>
              <w:rPr>
                <w:rFonts w:ascii="Arial" w:hAnsi="Arial"/>
                <w:b/>
                <w:i w:val="0"/>
                <w:color w:val="000000"/>
                <w:sz w:val="20"/>
              </w:rPr>
              <w:t>Política</w:t>
            </w:r>
          </w:p>
        </w:tc>
      </w:tr>
      <w:tr>
        <w:tc>
          <w:tcPr>
            <w:tcW w:type="dxa" w:w="4320"/>
          </w:tcPr>
          <w:p>
            <w:r>
              <w:rPr>
                <w:rFonts w:ascii="Consolas" w:hAnsi="Consolas"/>
                <w:b w:val="0"/>
                <w:i w:val="0"/>
                <w:color w:val="000000"/>
                <w:sz w:val="18"/>
              </w:rPr>
              <w:t>auth</w:t>
            </w:r>
          </w:p>
        </w:tc>
        <w:tc>
          <w:tcPr>
            <w:tcW w:type="dxa" w:w="2880"/>
          </w:tcPr>
          <w:p>
            <w:r>
              <w:rPr>
                <w:rFonts w:ascii="Consolas" w:hAnsi="Consolas"/>
                <w:b w:val="0"/>
                <w:i w:val="0"/>
                <w:color w:val="000000"/>
                <w:sz w:val="18"/>
              </w:rPr>
              <w:t>publica</w:t>
            </w:r>
          </w:p>
        </w:tc>
      </w:tr>
      <w:tr>
        <w:tc>
          <w:tcPr>
            <w:tcW w:type="dxa" w:w="4320"/>
          </w:tcPr>
          <w:p>
            <w:r>
              <w:rPr>
                <w:rFonts w:ascii="Consolas" w:hAnsi="Consolas"/>
                <w:b w:val="0"/>
                <w:i w:val="0"/>
                <w:color w:val="000000"/>
                <w:sz w:val="18"/>
              </w:rPr>
              <w:t>usuarios-administrativos</w:t>
            </w:r>
          </w:p>
        </w:tc>
        <w:tc>
          <w:tcPr>
            <w:tcW w:type="dxa" w:w="2880"/>
          </w:tcPr>
          <w:p>
            <w:r>
              <w:rPr>
                <w:rFonts w:ascii="Consolas" w:hAnsi="Consolas"/>
                <w:b w:val="0"/>
                <w:i w:val="0"/>
                <w:color w:val="000000"/>
                <w:sz w:val="18"/>
              </w:rPr>
              <w:t>solo_administrativa</w:t>
            </w:r>
          </w:p>
        </w:tc>
      </w:tr>
      <w:tr>
        <w:tc>
          <w:tcPr>
            <w:tcW w:type="dxa" w:w="4320"/>
          </w:tcPr>
          <w:p>
            <w:r>
              <w:rPr>
                <w:rFonts w:ascii="Consolas" w:hAnsi="Consolas"/>
                <w:b w:val="0"/>
                <w:i w:val="0"/>
                <w:color w:val="000000"/>
                <w:sz w:val="18"/>
              </w:rPr>
              <w:t>deportistas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historial</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competencias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estadisticas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evaluaciones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documentos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asistencia</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pagos</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calendario</w:t>
            </w:r>
          </w:p>
        </w:tc>
        <w:tc>
          <w:tcPr>
            <w:tcW w:type="dxa" w:w="2880"/>
          </w:tcPr>
          <w:p>
            <w:r>
              <w:rPr>
                <w:rFonts w:ascii="Consolas" w:hAnsi="Consolas"/>
                <w:b w:val="0"/>
                <w:i w:val="0"/>
                <w:color w:val="000000"/>
                <w:sz w:val="18"/>
              </w:rPr>
              <w:t>autenticada</w:t>
            </w:r>
          </w:p>
        </w:tc>
      </w:tr>
      <w:tr>
        <w:tc>
          <w:tcPr>
            <w:tcW w:type="dxa" w:w="4320"/>
          </w:tcPr>
          <w:p>
            <w:r>
              <w:rPr>
                <w:rFonts w:ascii="Consolas" w:hAnsi="Consolas"/>
                <w:b w:val="0"/>
                <w:i w:val="0"/>
                <w:color w:val="000000"/>
                <w:sz w:val="18"/>
              </w:rPr>
              <w:t>reportes</w:t>
            </w:r>
          </w:p>
        </w:tc>
        <w:tc>
          <w:tcPr>
            <w:tcW w:type="dxa" w:w="2880"/>
          </w:tcPr>
          <w:p>
            <w:r>
              <w:rPr>
                <w:rFonts w:ascii="Consolas" w:hAnsi="Consolas"/>
                <w:b w:val="0"/>
                <w:i w:val="0"/>
                <w:color w:val="000000"/>
                <w:sz w:val="18"/>
              </w:rPr>
              <w:t>solo_administrativa</w:t>
            </w:r>
          </w:p>
        </w:tc>
      </w:tr>
    </w:tbl>
    <w:p>
      <w:pPr>
        <w:spacing w:after="80"/>
      </w:pPr>
    </w:p>
    <w:p>
      <w:pPr>
        <w:spacing w:after="80"/>
      </w:pPr>
      <w:r>
        <w:rPr>
          <w:rFonts w:ascii="Arial" w:hAnsi="Arial"/>
          <w:b w:val="0"/>
          <w:i w:val="0"/>
          <w:color w:val="000000"/>
          <w:sz w:val="24"/>
        </w:rPr>
        <w:t>"reportes" queda como solo_administrativa (no hay reporte expuesto a la vista pública hoy); "usuarios-administrativos" también, coherente con RN-T.11 (solo Aldrin gestiona esas cuentas).</w:t>
      </w:r>
    </w:p>
    <w:p>
      <w:pPr>
        <w:spacing w:before="200" w:after="80"/>
      </w:pPr>
      <w:r>
        <w:rPr>
          <w:rFonts w:ascii="Arial" w:hAnsi="Arial"/>
          <w:b/>
          <w:i w:val="0"/>
          <w:color w:val="000000"/>
          <w:sz w:val="24"/>
        </w:rPr>
        <w:t>Autenticación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AuthMiddleware::verificar() exige sesión activa (401 si no hay); AmbitoMiddleware::verificarAdministrativa() exige además que el ámbito de esa sesión sea "administrativa" (403 si es "publica"). La sesión se identifica por $_SESSION['ambito'] y $_SESSION['identificador'], que AuthController establece al iniciar sesión.</w:t>
      </w:r>
    </w:p>
    <w:p>
      <w:pPr>
        <w:spacing w:after="160"/>
      </w:pPr>
      <w:r>
        <w:rPr>
          <w:rFonts w:ascii="Arial" w:hAnsi="Arial"/>
          <w:b w:val="0"/>
          <w:i w:val="0"/>
          <w:color w:val="000000"/>
          <w:sz w:val="24"/>
        </w:rPr>
        <w:t>El mecanismo de login dual (correo para administrativos, documento para el ámbito público -- RN-T.2/RN-T.13) y la recuperación de contraseña por token (RN-T.12, ya soportada en esquema_hwanghon_v2.sql con usuario_administrativo.token_recuperacion y su expiración) quedan como contrato en AuthService, todavía stub -- su implementación real corresponde a la Etapa 5, no a este documento.</w:t>
      </w:r>
    </w:p>
    <w:p>
      <w:pPr>
        <w:spacing w:before="320" w:after="160"/>
      </w:pPr>
      <w:r>
        <w:rPr>
          <w:rFonts w:ascii="Arial" w:hAnsi="Arial"/>
          <w:b/>
          <w:i w:val="0"/>
          <w:color w:val="000000"/>
          <w:sz w:val="28"/>
        </w:rPr>
        <w:t>6. Convenciones transversales</w:t>
      </w:r>
    </w:p>
    <w:p>
      <w:pPr>
        <w:spacing w:after="80"/>
      </w:pPr>
      <w:r>
        <w:rPr>
          <w:rFonts w:ascii="Arial" w:hAnsi="Arial"/>
          <w:b/>
          <w:i w:val="0"/>
          <w:color w:val="000000"/>
          <w:sz w:val="24"/>
        </w:rPr>
        <w:t xml:space="preserve">Fase 20.5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Ya resuelta y aplicada de forma consistente en los 55 archivos.</w:t>
      </w:r>
    </w:p>
    <w:p>
      <w:pPr>
        <w:spacing w:before="200" w:after="80"/>
      </w:pPr>
      <w:r>
        <w:rPr>
          <w:rFonts w:ascii="Arial" w:hAnsi="Arial"/>
          <w:b/>
          <w:i w:val="0"/>
          <w:color w:val="000000"/>
          <w:sz w:val="24"/>
        </w:rPr>
        <w:t>Formato de respuesta JSON</w:t>
      </w:r>
    </w:p>
    <w:p>
      <w:pPr>
        <w:spacing w:after="80"/>
      </w:pPr>
      <w:r>
        <w:rPr>
          <w:rFonts w:ascii="Arial" w:hAnsi="Arial"/>
          <w:b w:val="0"/>
          <w:i w:val="0"/>
          <w:color w:val="000000"/>
          <w:sz w:val="24"/>
        </w:rPr>
        <w:t>Éxito: {"exito": true, "datos": ...}, código HTTP 200 (201 al crear). Error: {"exito": false, "mensaje": ...}, con el código HTTP correspondiente -- 400 (cuerpo inválido / falta un parámetro), 401 (no autenticado), 403 (ámbito incorrecto), 404 (recurso o acción no reconocidos / registro no encontrado), 405 (método HTTP no permitido para la acción), 500 (error del servidor). Verificado en api.php, en las funciones respuestaJson()/respuestaError(), y replicado igual en cada Controller y en ambos Middleware.</w:t>
      </w:r>
    </w:p>
    <w:p>
      <w:pPr>
        <w:spacing w:before="200" w:after="80"/>
      </w:pPr>
      <w:r>
        <w:rPr>
          <w:rFonts w:ascii="Arial" w:hAnsi="Arial"/>
          <w:b/>
          <w:i w:val="0"/>
          <w:color w:val="000000"/>
          <w:sz w:val="24"/>
        </w:rPr>
        <w:t>Nomenclatura</w:t>
      </w:r>
    </w:p>
    <w:p>
      <w:pPr>
        <w:spacing w:after="80"/>
      </w:pPr>
      <w:r>
        <w:rPr>
          <w:rFonts w:ascii="Arial" w:hAnsi="Arial"/>
          <w:b w:val="0"/>
          <w:i w:val="0"/>
          <w:color w:val="000000"/>
          <w:sz w:val="24"/>
        </w:rPr>
        <w:t>100% en español en todo el backend (regla 22 del proyecto), confirmado revisando nombres de clases, métodos, variables y parámetros en los 55 archivos -- incluida la adaptación de AttendQR (GeneradorXlsx.php, ver abajo).</w:t>
      </w:r>
    </w:p>
    <w:p>
      <w:pPr>
        <w:spacing w:before="200" w:after="80"/>
      </w:pPr>
      <w:r>
        <w:rPr>
          <w:rFonts w:ascii="Arial" w:hAnsi="Arial"/>
          <w:b/>
          <w:i w:val="0"/>
          <w:color w:val="000000"/>
          <w:sz w:val="24"/>
        </w:rPr>
        <w:t>Conexión a base de datos</w:t>
      </w:r>
    </w:p>
    <w:p>
      <w:pPr>
        <w:spacing w:after="80"/>
      </w:pPr>
      <w:r>
        <w:rPr>
          <w:rFonts w:ascii="Arial" w:hAnsi="Arial"/>
          <w:b w:val="0"/>
          <w:i w:val="0"/>
          <w:color w:val="000000"/>
          <w:sz w:val="24"/>
        </w:rPr>
        <w:t>PDO singleton: Database::obtenerConexion() (Src/Config/database.php). Configurable por variables de entorno (DB_HOST, DB_PORT, DB_NAME, DB_USER, DB_PASS), con valores por defecto razonables para XAMPP/MariaDB local. PDO::ATTR_EMULATE_PREPARES en false y PDO::ATTR_ERRMODE en excepción.</w:t>
      </w:r>
    </w:p>
    <w:p>
      <w:pPr>
        <w:spacing w:before="200" w:after="80"/>
      </w:pPr>
      <w:r>
        <w:rPr>
          <w:rFonts w:ascii="Arial" w:hAnsi="Arial"/>
          <w:b/>
          <w:i w:val="0"/>
          <w:color w:val="000000"/>
          <w:sz w:val="24"/>
        </w:rPr>
        <w:t>Reutilización de AttendQR: GeneradorXlsx</w:t>
      </w:r>
    </w:p>
    <w:p>
      <w:pPr>
        <w:spacing w:after="80"/>
      </w:pPr>
      <w:r>
        <w:rPr>
          <w:rFonts w:ascii="Arial" w:hAnsi="Arial"/>
          <w:b w:val="0"/>
          <w:i w:val="0"/>
          <w:color w:val="000000"/>
          <w:sz w:val="24"/>
        </w:rPr>
        <w:t>Se revisó Src/Utils/XlsxWriter.php de AttendQR (231 líneas): un generador de .xlsx en PHP puro, sin ext-zip, con su propio constructor de ZIP siguiendo PKZip 2.0. Es un motor genérico, sin ninguna referencia al dominio de asistencia en su lógica; lo único específico de AttendQR eran los nombres de las constantes de estilo (S_CELL_A, S_NAME_IDX, etc., pensadas para su reporte de asistencia) y la nomenclatura en inglés.</w:t>
      </w:r>
    </w:p>
    <w:p>
      <w:pPr>
        <w:spacing w:after="80"/>
      </w:pPr>
      <w:r>
        <w:rPr>
          <w:rFonts w:ascii="Arial" w:hAnsi="Arial"/>
          <w:b w:val="0"/>
          <w:i w:val="0"/>
          <w:color w:val="000000"/>
          <w:sz w:val="24"/>
        </w:rPr>
        <w:t>Se reutiliza el motor completo sin tocar su lógica, adaptado como GeneradorXlsx.php: nomenclatura en español y estilos renombrados de forma neutral (ESTILO_CELDA_POSITIVA, ESTILO_TOTAL_DESTACADO, etc.) para servir a cualquier reporte de HwangHon (RN-10.x), no solo a uno de asistencia -- mismos 16 estilos, mismos colores, mismo formato de salida. Confirmado leyendo el archivo real: sin nombres en inglés remanentes en ningún método.</w:t>
      </w:r>
    </w:p>
    <w:p>
      <w:pPr>
        <w:spacing w:after="80"/>
      </w:pPr>
      <w:r>
        <w:rPr>
          <w:rFonts w:ascii="Arial" w:hAnsi="Arial"/>
          <w:b/>
          <w:i w:val="0"/>
          <w:color w:val="000000"/>
          <w:sz w:val="24"/>
        </w:rPr>
        <w:t xml:space="preserve">[DOCUMENTAL] </w:t>
      </w:r>
    </w:p>
    <w:p>
      <w:pPr>
        <w:spacing w:after="160"/>
      </w:pPr>
      <w:r>
        <w:rPr>
          <w:rFonts w:ascii="Arial" w:hAnsi="Arial"/>
          <w:b w:val="0"/>
          <w:i w:val="0"/>
          <w:color w:val="000000"/>
          <w:sz w:val="24"/>
        </w:rPr>
        <w:t>La verificación de que el binario generado es idéntico byte a byte (mismo MD5) al de la clase original de AttendQR, y que además abre correctamente con openpyxl, ya se hizo en la sesión técnica principal (Contexto Base, sección 20) -- no se repite aquí; este documento solo confirma que el archivo GeneradorXlsx.php descrito arriba existe tal como se reporta.</w:t>
      </w:r>
    </w:p>
    <w:p>
      <w:pPr>
        <w:spacing w:before="320" w:after="160"/>
      </w:pPr>
      <w:r>
        <w:rPr>
          <w:rFonts w:ascii="Arial" w:hAnsi="Arial"/>
          <w:b/>
          <w:i w:val="0"/>
          <w:color w:val="000000"/>
          <w:sz w:val="28"/>
        </w:rPr>
        <w:t>7. Alcance explícito de lo generado</w:t>
      </w:r>
    </w:p>
    <w:p>
      <w:pPr>
        <w:spacing w:after="80"/>
      </w:pPr>
      <w:r>
        <w:rPr>
          <w:rFonts w:ascii="Arial" w:hAnsi="Arial"/>
          <w:b/>
          <w:i w:val="0"/>
          <w:color w:val="000000"/>
          <w:sz w:val="24"/>
        </w:rPr>
        <w:t xml:space="preserve">Fase 20.1 —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Para que quede claro qué es, y qué no es todavía, este código:</w:t>
      </w:r>
    </w:p>
    <w:p>
      <w:pPr>
        <w:spacing w:after="80"/>
      </w:pPr>
      <w:r>
        <w:rPr>
          <w:rFonts w:ascii="Arial" w:hAnsi="Arial"/>
          <w:b/>
          <w:i w:val="0"/>
          <w:color w:val="000000"/>
          <w:sz w:val="24"/>
        </w:rPr>
        <w:t xml:space="preserve">Models: </w:t>
      </w:r>
      <w:r>
        <w:rPr>
          <w:rFonts w:ascii="Arial" w:hAnsi="Arial"/>
          <w:b w:val="0"/>
          <w:i w:val="0"/>
          <w:color w:val="000000"/>
          <w:sz w:val="24"/>
        </w:rPr>
        <w:t>Completos -- estructuras de datos fieles a las 12 tablas propias del esquema v2.</w:t>
      </w:r>
    </w:p>
    <w:p>
      <w:pPr>
        <w:spacing w:after="80"/>
      </w:pPr>
      <w:r>
        <w:rPr>
          <w:rFonts w:ascii="Arial" w:hAnsi="Arial"/>
          <w:b/>
          <w:i w:val="0"/>
          <w:color w:val="000000"/>
          <w:sz w:val="24"/>
        </w:rPr>
        <w:t xml:space="preserve">Repositories: </w:t>
      </w:r>
      <w:r>
        <w:rPr>
          <w:rFonts w:ascii="Arial" w:hAnsi="Arial"/>
          <w:b w:val="0"/>
          <w:i w:val="0"/>
          <w:color w:val="000000"/>
          <w:sz w:val="24"/>
        </w:rPr>
        <w:t>CRUD genérico únicamente (obtenerPorId, listar, crear, actualizar, eliminar), todo con sentencias preparadas PDO -- sin ninguna regla de negocio.</w:t>
      </w:r>
    </w:p>
    <w:p>
      <w:pPr>
        <w:spacing w:after="80"/>
      </w:pPr>
      <w:r>
        <w:rPr>
          <w:rFonts w:ascii="Arial" w:hAnsi="Arial"/>
          <w:b/>
          <w:i w:val="0"/>
          <w:color w:val="000000"/>
          <w:sz w:val="24"/>
        </w:rPr>
        <w:t xml:space="preserve">Services: </w:t>
      </w:r>
      <w:r>
        <w:rPr>
          <w:rFonts w:ascii="Arial" w:hAnsi="Arial"/>
          <w:b w:val="0"/>
          <w:i w:val="0"/>
          <w:color w:val="000000"/>
          <w:sz w:val="24"/>
        </w:rPr>
        <w:t>Contratos vacíos: cada método lleva un bloque PHPDoc "/** * TODO: implementar en Etapa 5 segun la Especificacion de Logica de Negocio. */" (sin tildes, verificado leyendo el archivo real) y lanza RuntimeException si se llama -- ninguna regla de negocio implementada todavía.</w:t>
      </w:r>
    </w:p>
    <w:p>
      <w:pPr>
        <w:spacing w:after="80"/>
      </w:pPr>
      <w:r>
        <w:rPr>
          <w:rFonts w:ascii="Arial" w:hAnsi="Arial"/>
          <w:b/>
          <w:i w:val="0"/>
          <w:color w:val="000000"/>
          <w:sz w:val="24"/>
        </w:rPr>
        <w:t xml:space="preserve">Controllers: </w:t>
      </w:r>
      <w:r>
        <w:rPr>
          <w:rFonts w:ascii="Arial" w:hAnsi="Arial"/>
          <w:b w:val="0"/>
          <w:i w:val="0"/>
          <w:color w:val="000000"/>
          <w:sz w:val="24"/>
        </w:rPr>
        <w:t>Enrutamiento HTTP completo: despacho por acción, verificación de método HTTP esperado, lectura del cuerpo JSON, formato de respuesta estándar.</w:t>
      </w:r>
    </w:p>
    <w:p>
      <w:pPr>
        <w:spacing w:after="80"/>
      </w:pPr>
    </w:p>
    <w:p>
      <w:pPr>
        <w:spacing w:after="160"/>
      </w:pPr>
      <w:r>
        <w:rPr>
          <w:rFonts w:ascii="Arial" w:hAnsi="Arial"/>
          <w:b w:val="0"/>
          <w:i w:val="0"/>
          <w:color w:val="000000"/>
          <w:sz w:val="24"/>
        </w:rPr>
        <w:t>55 archivos en total (54 .php + Public/.htaccess) -- ver el conteo verificado en la sección 8.</w:t>
      </w:r>
    </w:p>
    <w:p>
      <w:pPr>
        <w:spacing w:before="320" w:after="160"/>
      </w:pPr>
      <w:r>
        <w:rPr>
          <w:rFonts w:ascii="Arial" w:hAnsi="Arial"/>
          <w:b/>
          <w:i w:val="0"/>
          <w:color w:val="000000"/>
          <w:sz w:val="28"/>
        </w:rPr>
        <w:t>8. Verificación</w:t>
      </w:r>
    </w:p>
    <w:p>
      <w:pPr>
        <w:spacing w:after="80"/>
      </w:pPr>
      <w:r>
        <w:rPr>
          <w:rFonts w:ascii="Arial" w:hAnsi="Arial"/>
          <w:b w:val="0"/>
          <w:i w:val="0"/>
          <w:color w:val="000000"/>
          <w:sz w:val="24"/>
        </w:rPr>
        <w:t>Verificación independiente realizada antes de aceptar este contenido (mismo procedimiento que los demás documentos formales del proyecto), directamente contra el repositorio real en el equipo del usuario (carpeta backend/), no solo a partir del encargo recibido:</w:t>
      </w:r>
    </w:p>
    <w:p>
      <w:pPr>
        <w:spacing w:after="80"/>
      </w:pPr>
      <w:r>
        <w:rPr>
          <w:rFonts w:ascii="Arial" w:hAnsi="Arial"/>
          <w:b/>
          <w:i w:val="0"/>
          <w:color w:val="000000"/>
          <w:sz w:val="24"/>
        </w:rPr>
        <w:t xml:space="preserve">[DOCUMENTAL] </w:t>
      </w:r>
    </w:p>
    <w:p>
      <w:pPr>
        <w:spacing w:after="80"/>
      </w:pPr>
      <w:r>
        <w:rPr>
          <w:rFonts w:ascii="Arial" w:hAnsi="Arial"/>
          <w:b w:val="0"/>
          <w:i w:val="0"/>
          <w:color w:val="000000"/>
          <w:sz w:val="24"/>
        </w:rPr>
        <w:t>Estructura de carpetas listada de forma recursiva: Public/ y Src/{Config,Controllers,Middleware,Models,Repositories,Services,Utils} existen exactamente como se describe en la sección 2.</w:t>
      </w:r>
    </w:p>
    <w:p>
      <w:pPr>
        <w:spacing w:after="80"/>
      </w:pPr>
      <w:r>
        <w:rPr>
          <w:rFonts w:ascii="Arial" w:hAnsi="Arial"/>
          <w:b w:val="0"/>
          <w:i w:val="0"/>
          <w:color w:val="000000"/>
          <w:sz w:val="24"/>
        </w:rPr>
        <w:t>Conteo de archivos por capa: 12 Controllers, 12 Services, 12 Models, 13 Repositories (12 + BaseRepository), 2 Middleware, 1 Config, 1 Utils, Public/api.php y Public/.htaccess -- total 55 archivos (54 .php + .htaccess), coincide exactamente con lo reportado.</w:t>
      </w:r>
    </w:p>
    <w:p>
      <w:pPr>
        <w:spacing w:after="80"/>
      </w:pPr>
      <w:r>
        <w:rPr>
          <w:rFonts w:ascii="Arial" w:hAnsi="Arial"/>
          <w:b w:val="0"/>
          <w:i w:val="0"/>
          <w:color w:val="000000"/>
          <w:sz w:val="24"/>
        </w:rPr>
        <w:t>Cruce de los 12 Models contra base_datos/esquema_hwanghon_v2.sql: las 12 tablas creadas por CREATE TABLE (acudiente_tutor, usuario_administrativo, deportista, documento, asistencia, pago, evento_calendario, competencia, participacion_competencia, sesion_examen, detalle_evaluacion, entrega_cinturon) coinciden una a una con los 12 Models -- confirma que Historial, Estadística, Reporte y Auth correctamente no tienen Model ni Repository propio.</w:t>
      </w:r>
    </w:p>
    <w:p>
      <w:pPr>
        <w:spacing w:after="80"/>
      </w:pPr>
      <w:r>
        <w:rPr>
          <w:rFonts w:ascii="Arial" w:hAnsi="Arial"/>
          <w:b w:val="0"/>
          <w:i w:val="0"/>
          <w:color w:val="000000"/>
          <w:sz w:val="24"/>
        </w:rPr>
        <w:t>Contenido de archivos representativos leído directamente (no asumido): BaseRepository.php (helpers con sentencias preparadas), Config/database.php (singleton PDO por variables de entorno), Public/api.php (front controller, tabla de rutas, tabla de políticas, despacho de middleware), Public/.htaccess (redirección a api.php), DeportistaController.php (enrutamiento HTTP, envoltura JSON), DeportistaService.php (métodos en RuntimeException con el texto exacto "pendiente de implementar en Etapa 5"), DeportistaRepository.php (CRUD con sentencias preparadas, sin SQL concatenado), AuthMiddleware.php y AmbitoMiddleware.php (401/403), y la cabecera de GeneradorXlsx.php (nomenclatura en español, sin residuos de XlsxWriter.php) -- todos coinciden exactamente con lo descrito en este documento.</w:t>
      </w:r>
    </w:p>
    <w:p>
      <w:pPr>
        <w:spacing w:after="80"/>
      </w:pPr>
      <w:r>
        <w:rPr>
          <w:rFonts w:ascii="Arial" w:hAnsi="Arial"/>
          <w:b w:val="0"/>
          <w:i w:val="0"/>
          <w:color w:val="000000"/>
          <w:sz w:val="24"/>
        </w:rPr>
        <w:t>Sanity check de sintaxis PHP en los 54 archivos .php (todos abren con &lt;?php y tienen llaves balanceadas) -- una verificación básica propia, no equivalente a php -l: el entorno de esta sesión de documentación no tiene PHP instalado para re-ejecutar esa verificación directamente. La verificación completa con php -l, sin errores en los 54 archivos, ya se hizo en la sesión técnica principal (Contexto Base, sección 20) -- se cita aquí, no se repite.</w:t>
      </w:r>
    </w:p>
    <w:p>
      <w:pPr>
        <w:spacing w:after="160"/>
      </w:pPr>
      <w:r>
        <w:rPr>
          <w:rFonts w:ascii="Arial" w:hAnsi="Arial"/>
          <w:b w:val="0"/>
          <w:i w:val="0"/>
          <w:color w:val="000000"/>
          <w:sz w:val="24"/>
        </w:rPr>
        <w:t>Único punto no verificable de forma independiente en esta sesión: el binario idéntico byte a byte de GeneradorXlsx.php frente al original de AttendQR (requiere tener ambos archivos y ejecutar PHP), ya confirmado por la sesión técnica principal -- ver sección 6.</w:t>
      </w:r>
    </w:p>
    <w:p>
      <w:pPr>
        <w:spacing w:before="320" w:after="160"/>
      </w:pPr>
      <w:r>
        <w:rPr>
          <w:rFonts w:ascii="Arial" w:hAnsi="Arial"/>
          <w:b/>
          <w:i w:val="0"/>
          <w:color w:val="000000"/>
          <w:sz w:val="28"/>
        </w:rPr>
        <w:t>Cierre</w:t>
      </w:r>
    </w:p>
    <w:p>
      <w:pPr>
        <w:spacing w:after="160"/>
      </w:pPr>
      <w:r>
        <w:rPr>
          <w:rFonts w:ascii="Arial" w:hAnsi="Arial"/>
          <w:b w:val="0"/>
          <w:i w:val="0"/>
          <w:color w:val="000000"/>
          <w:sz w:val="24"/>
        </w:rPr>
        <w:t>Con este documento (fase 20.6) verificado y sin defectos, la Etapa 4 (Diseño de arquitectura backend) queda cerrada por completo: las seis fases (20.1 a 20.6) están resueltas y construidas directamente sobre el repositorio real. No se ha implementado ninguna regla de negocio todavía -- eso es el trabajo de la Etapa 5 (Desarrollo backend), que se apoyará en Especificación de Lógica de Negocio v0.5 para reemplazar cada RuntimeException de los Services por su lógica real, módulo por módulo, empezando por el módulo de Deportistas (regla 17 del proyecto).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Arquitectura Backend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