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0.1.2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 xml:space="preserve">20 de septiembre de 2026</w:t>
      </w:r>
    </w:p>
    <w:p>
      <w:pPr>
        <w:spacing w:after="60"/>
        <w:jc w:val="center"/>
      </w:pPr>
      <w:r>
        <w:rPr>
          <w:rFonts w:ascii="Arial" w:cs="Arial" w:eastAsia="Arial" w:hAnsi="Arial"/>
          <w:b w:val="false"/>
          <w:bCs w:val="false"/>
          <w:i/>
          <w:iCs/>
          <w:color w:val="000000"/>
          <w:sz w:val="18"/>
          <w:szCs w:val="18"/>
        </w:rPr>
        <w:t xml:space="preserve">Basado en el Documento Maestro v0.2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ectPr>
          <w:headerReference w:type="default" r:id="rId22"/>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 En la vista pública, el ingreso es por documento de identidad, sin contraseña.</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dos campos editables de cualquier cuenta pública: peso y discapacidad. El administrativo cuenta con una lista de registros pendientes de validación para revisar y aprobar.</w:t>
      </w:r>
    </w:p>
    <w:p>
      <w:pPr>
        <w:spacing w:before="0" w:after="160"/>
      </w:pPr>
      <w:r>
        <w:rPr>
          <w:rFonts w:ascii="Arial" w:hAnsi="Arial"/>
          <w:b w:val="0"/>
          <w:i w:val="0"/>
          <w:color w:val="000000"/>
          <w:sz w:val="24"/>
        </w:rPr>
        <w:t>[CONFIRMADO — decisiones de autenticación cerradas después de v0.2.1, no incorporadas hasta ahora en ningún documento] Las cuentas administrativas son individuales por persona, no una credencial genérica compartida entre el equipo. Aldrin, como administrador principal, es el único con capacidad de gestionar las cuentas del equipo administrativo (crear, editar, desactivar); esto no altera la vista administrativa unificada sin permisos granulares ya confirmada (ver sección 8): todas las cuentas siguen viendo y editando lo mismo, la gestión de cuentas es la única función exclusiva de Aldrin. La recuperación de contraseña se hace por un enlace enviado al correo, con un token de un solo uso y tiempo límite de vigencia.</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y carga masiva por Excel/CSV con validación fila por fila antes de confirmar (requiere JavaScript asíncrono; mismo mecanismo confirmado para el calendario, módulo 9). El selector de archivo es único, pero filtra el tipo de archivo permitido según el contexto desde el que se abre: en carga masiva solo permite CSV/Excel; en documentos de un deportista ya seleccionado, solo permite Word/PDF, y ahí sí se permite seleccionar varios archivos a la vez. Desde la ficha del deportista hay enlaces directos hacia su historial y sus estadísticas.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[CONFIRMADO — decisión de John, 22/09/2026] Cuatro accesos desde la ficha del deportista: competencias, ascensos, asistencias, y estadísticas y rendimiento.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(ver también sección 9): el segundo deportista se carga de forma asíncrona en la columna derecha, sin recargar la página ni perder la vista del primero. El enlace "Comparar con otro deportista" se ubica en el header, junto al logo y el título del panel. El historial completo del deportista sigue siendo accesible también en modo comparación.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entre otras) en una matriz con estado pendiente/completado, independiente por deportista y por modalidad, con guardado en tiempo real (asíncrono).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más la posibilidad de agregar eventos manuales sin recargar la página (asíncrono). La vista pública del calendario se limita a competencias, evaluaciones y eventos extra: no incluye reuniones administrativas.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after="160"/>
      </w:pPr>
      <w:r>
        <w:rPr>
          <w:rFonts w:ascii="Arial" w:cs="Arial" w:eastAsia="Arial" w:hAnsi="Arial"/>
          <w:b w:val="false"/>
          <w:bCs w:val="false"/>
          <w:i/>
          <w:iCs/>
          <w:color w:val="000000"/>
          <w:sz w:val="24"/>
          <w:szCs w:val="24"/>
        </w:rPr>
        <w:t xml:space="preserve">Pendiente de desarrollo — se diseña a partir de los módulos y reglas de negocio de las secciones 9 y 11.</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after="160"/>
      </w:pPr>
      <w:r>
        <w:rPr>
          <w:rFonts w:ascii="Arial" w:cs="Arial" w:eastAsia="Arial" w:hAnsi="Arial"/>
          <w:b w:val="0"/>
          <w:bCs w:val="false"/>
          <w:i w:val="0"/>
          <w:iCs/>
          <w:color w:val="000000"/>
          <w:sz w:val="24"/>
          <w:szCs w:val="24"/>
        </w:rPr>
        <w:t>[PARCIAL] Los diagramas de flujo y de casos de uso ya están incorporados en la sección 10, por módulo (12 diagramas; ver diagramas/png/ y diagramas/mmd/ en el repositorio). Pendiente: diagrama de entidad-relación (MER), a construir una vez cerrado el modelo de datos — próximo encargo coordinado con el chat especializado en diagramas.</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