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0.2.6</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(0.2.6) sincroniza este documento con Reglas de Negocio v1.0, esquema_hwanghon_v4.sql y Documentación Técnica v0.1.7 (16/10/2026): se actualizan las secciones 14 y 15 (información gestionada y reglas de negocio conocidas), la sección 23 (información pendiente de validación, ahora con ocho puntos en vez de cuatro) y su Anexo, el reporte prioritario (se retira «aptitud para torneos», RN-10.3), y se corrige la nota de v0.2.4 sobre inactividad (ya no se basa en la mora, sino en la asistencia, RN-1.11). No reemplaza las versiones anteriores.</w:t>
      </w:r>
    </w:p>
    <w:p>
      <w:r>
        <w:rPr>
          <w:rFonts w:ascii="Calibri" w:cs="Calibri" w:eastAsia="Calibri" w:hAnsi="Calibri"/>
          <w:color w:val="5B5B5E"/>
          <w:sz w:val="20"/>
          <w:szCs w:val="20"/>
        </w:rPr>
        <w:t>Documento interno de trabajo · Borrador para validación</w:t>
        <w:tab/>
        <w:tab/>
        <w:tab/>
        <w:t>Soacha, Cundinamarca — octubre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Versión</w:t>
            </w:r>
          </w:p>
        </w:tc>
        <w:tc>
          <w:tcPr>
            <w:tcW w:type="dxa" w:w="2600"/>
            <w:tcMar>
              <w:top w:type="dxa" w:w="100"/>
              <w:left w:type="dxa" w:w="120"/>
              <w:bottom w:type="dxa" w:w="100"/>
              <w:right w:type="dxa" w:w="120"/>
            </w:tcMar>
            <w:vAlign w:val="center"/>
          </w:tcPr>
          <w:p>
            <w:r>
              <w:rPr>
                <w:rFonts w:ascii="Calibri" w:hAnsi="Calibri"/>
                <w:color w:val="1A1A1A"/>
                <w:sz w:val="20"/>
              </w:rPr>
              <w:t>0.2.6 — sincronización con Reglas de Negocio v1.0, esquema_hwanghon_v4.sql y Documentación Técnica v0.1.7 (no reemplaza v0.1, v0.2, v0.2.1, v0.2.2, v0.2.3, v0.2.4 ni v0.2.5)</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Fecha de elaboración</w:t>
            </w:r>
          </w:p>
        </w:tc>
        <w:tc>
          <w:tcPr>
            <w:tcW w:type="dxa" w:w="2600"/>
            <w:tcMar>
              <w:top w:type="dxa" w:w="100"/>
              <w:left w:type="dxa" w:w="120"/>
              <w:bottom w:type="dxa" w:w="100"/>
              <w:right w:type="dxa" w:w="120"/>
            </w:tcMar>
            <w:vAlign w:val="center"/>
          </w:tcPr>
          <w:p>
            <w:r>
              <w:rPr>
                <w:rFonts w:ascii="Calibri" w:hAnsi="Calibri"/>
                <w:color w:val="1A1A1A"/>
                <w:sz w:val="20"/>
              </w:rPr>
              <w:t>16 de octubre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v1.0 · Plan de Acción IMRDS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Deportista (cuenta única por deportista, sin distinción por edad; el acudiente es dato de contacto).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Consulta de su propia información: evolución, estadísticas, asistencia, aspectos destacados y por mejorar, estado de mensualidad y matrícula. Edición limitada a peso, discapacidad/condición de salud, teléfono, dirección y correo; puede confirmar la entrega de su propio cinturón cuando corresponda (RN-1.1, RN-5.7).</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En el ámbito público no hay listado: el sistema filtra directamente a los datos del deportista cuya cuenta se usó para entrar.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ya quedó resuelta: tras 3 meses consecutivos sin pago, el deportista pasa automáticamente a estado inactivo (RN-8.7;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PROPUESTA (tabla consolidada del equipo, cubre todas las categorías incluidos los 15 años, ver RN-3.8, Reglas de Negocio v1.0); pendiente la tabla oficial de la federación que la reemplazaría (ver sección 23).</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Deportista, fecha, presente o falla. Solo fines de semana (el club entrena sábados y domingos). Estructura basada en la plantilla IMRDS, con los campos sociales/demográficos excluidos (RN-1.6).</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(RN-7.1 a RN-7.4, Reglas de Negocio v1.0)</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(estructura, estados de sesión abierta/cerrada, escala de nota de 1 a 10 — RN-5.1 a RN-5.5) / PENDIENTE DE RESPUESTA (plantilla oficial de examen con criterios y puntajes definitivos por grado, RN-5.3, ver sección 23).</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Las categorías oficiales de competencia por edad ya quedaron confirmadas (ver sección 13, módulos 2 y 3). La relación entre categoría de peso y edad ahora tiene una tabla PROPUESTA del equipo que cubre todas las categorías (ver sección 14); queda pendiente la tabla oficial de la federación que la reemplazaría (RN-3.8, ver sección 23).</w:t>
      </w:r>
      <w:r/>
      <w:r>
        <w:rPr>
          <w:rFonts w:ascii="Calibri" w:hAnsi="Calibri"/>
          <w:b w:val="0"/>
          <w:color w:val="1A1A1A"/>
          <w:sz w:val="22"/>
        </w:rPr>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0.2.6, el documento de referencia completo y detallado para las reglas de negocio es Reglas de Negocio — HwangHon Sports System (v1.0) (documentacion/reglas_negocio/Reglas_de_Negocio_HwangHon_v1_0.docx),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v1.0,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v1.0.</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La existencia y estructura de Reglas de Negocio v1.0 como documento autoritativo de detalle, y las reglas de la ronda de revisión del 20/09/2026 resumidas arriba.</w:t>
      </w:r>
      <w:r/>
      <w:r>
        <w:rPr>
          <w:rFonts w:ascii="Calibri" w:cs="Calibri" w:eastAsia="Calibri" w:hAnsi="Calibri"/>
          <w:color w:val="1A1A1A"/>
          <w:sz w:val="22"/>
          <w:szCs w:val="22"/>
        </w:rPr>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las novedades sincronizadas en v0.2.2 (ver sección 24) y la sincronización completa con Reglas de Negocio v1.0 en v0.2.6, quedan ocho puntos pendientes. La mayoría dependen del club (Aldrin) o de la federación,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Tabla oficial de categorías por peso de la federación, que reemplazaría la tabla consolidada PROPUESTA de esta versión (RN-3.8).</w:t>
      </w:r>
    </w:p>
    <w:p>
      <w:pPr>
        <w:spacing w:after="160"/>
        <w:ind w:left="260"/>
      </w:pPr>
      <w:r>
        <w:rPr>
          <w:rFonts w:ascii="Calibri" w:cs="Calibri" w:eastAsia="Calibri" w:hAnsi="Calibri"/>
          <w:color w:val="1A1A1A"/>
          <w:sz w:val="22"/>
          <w:szCs w:val="22"/>
        </w:rPr>
        <w:t>•  8.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spacing w:after="160"/>
      </w:pPr>
      <w:r>
        <w:rPr>
          <w:rFonts w:ascii="Calibri" w:hAnsi="Calibri"/>
          <w:b/>
          <w:color w:val="9E1B32"/>
          <w:sz w:val="18"/>
          <w:shd w:val="clear" w:color="auto" w:fill="F8EBEE"/>
        </w:rPr>
        <w:t xml:space="preserve"> CORREGIDO EN v0.2.4 </w:t>
      </w:r>
      <w:r>
        <w:t xml:space="preserve">  </w:t>
      </w:r>
      <w:r>
        <w:rPr>
          <w:rFonts w:ascii="Calibri" w:hAnsi="Calibri"/>
          <w:b w:val="0"/>
          <w:color w:val="1A1A1A"/>
          <w:sz w:val="22"/>
        </w:rPr>
        <w:t>Se retira el punto de consecuencia tras mora prolongada: quedó resuelto el 26/09/2026 (RN-8.7, Reglas de Negocio v0.4, luego v0.6) — tras 3 meses consecutivos sin pago, el deportista pasa automáticamente a estado inactivo (deportista.estado), sin otra consecuencia adicional; permanecía en esta lista por descuido, no por una decisión nueva. Se agrega un punto nuevo: evaluación cualitativa periódica (RN-4.4, Reglas de Negocio v0.6), marcada PENDIENTE DE RESPUESTA en Reglas de Negocio y en Especificación de Lógica de Negocio v0.4 (E.3) — nunca se había incluido en esta lista. RN-8.6 (reglas de mora en general) no entra aquí: sigue PROPUESTA, pero es decisión propia de John, no pendiente de Aldrin (ver Especificación de Lógica de Negocio v0.4, E.6). Quedan cuatro puntos pendientes.</w:t>
      </w:r>
    </w:p>
    <w:p>
      <w:pPr>
        <w:spacing w:after="160"/>
      </w:pPr>
      <w:r>
        <w:rPr>
          <w:rFonts w:ascii="Calibri" w:hAnsi="Calibri"/>
          <w:color w:val="9E1B32"/>
          <w:sz w:val="18"/>
          <w:shd w:val="clear" w:color="auto" w:fill="F8EBEE"/>
        </w:rPr>
        <w:t xml:space="preserve"> CORREGIDO EN v0.2.6   Sincronización con Reglas de Negocio v1.0 (16/10/2026): se agregan cuatro puntos nuevos que surgen de esa versión (plantilla del certificado de ascenso RN-5.8, plantilla de asistencia del IMRDS para exportación RN-10.2, lista definitiva de reportes RN-10.2, y tabla oficial de categorías de peso de la federación RN-3.8); quedan ocho puntos pendientes en vez de cuatro. Además, se corrige la nota de v0.2.4: la regla ahí descrita (RN-8.7, inactivo tras 3 meses consecutivos sin pago) fue retirada en Reglas de Negocio v1.0 y reemplazada por RN-1.11 — la inactividad ya no se basa en el pago, sino en la asistencia (3 meses consecutivos sin asistir, sin importar si pagó o no); la alerta de deuda (RN-8.3) sigue existiendo de forma independiente de ese estado. La nota de v0.2.4 permanece sin cambios como registro histórico de lo que se creía correcto en esa fecha.</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after="160"/>
      </w:pPr>
      <w:r>
        <w:rPr>
          <w:rFonts w:ascii="Calibri" w:cs="Calibri" w:eastAsia="Calibri" w:hAnsi="Calibri"/>
          <w:bCs/>
          <w:color w:val="1E5B2A"/>
          <w:sz w:val="18"/>
          <w:szCs w:val="18"/>
          <w:shd w:fill="E5F2E7" w:color="auto" w:val="clear"/>
        </w:rPr>
        <w:t xml:space="preserve"> CORREGIDO EN v0.2.6   El campo «aptitud para torneos» mencionado arriba en «Reportes prioritarios» se retira en Reglas de Negocio v1.0 (RN-10.3): era una frase sin definición clara en versiones anteriores. El reporte prioritario (ficha consolidada) ahora es: datos personales (nombre, edad, categoría, peso, cinturón, condición de salud), el último examen con sus notas por modalidad, los últimos torneos con puesto y medalla, y las recomendaciones del último examen — hechos ya registrados, no una valoración que el sistema calcule.</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r>
        <w:tc>
          <w:tcPr>
            <w:tcW w:type="dxa" w:w="1000"/>
            <w:tcMar>
              <w:top w:type="dxa" w:w="100"/>
              <w:left w:type="dxa" w:w="120"/>
              <w:bottom w:type="dxa" w:w="100"/>
              <w:right w:type="dxa" w:w="120"/>
            </w:tcMar>
            <w:vAlign w:val="center"/>
          </w:tcPr>
          <w:p>
            <w:r>
              <w:rPr>
                <w:rFonts w:ascii="Calibri" w:hAnsi="Calibri"/>
                <w:color w:val="1A1A1A"/>
                <w:sz w:val="20"/>
              </w:rPr>
              <w:t>0.2.3</w:t>
            </w:r>
          </w:p>
        </w:tc>
        <w:tc>
          <w:tcPr>
            <w:tcW w:type="dxa" w:w="1000"/>
            <w:tcMar>
              <w:top w:type="dxa" w:w="100"/>
              <w:left w:type="dxa" w:w="120"/>
              <w:bottom w:type="dxa" w:w="100"/>
              <w:right w:type="dxa" w:w="120"/>
            </w:tcMar>
            <w:vAlign w:val="center"/>
          </w:tcPr>
          <w:p>
            <w:r>
              <w:rPr>
                <w:rFonts w:ascii="Calibri" w:hAnsi="Calibri"/>
                <w:color w:val="1A1A1A"/>
                <w:sz w:val="20"/>
              </w:rPr>
              <w:t>28/09/2026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Corrección puntual sobre v0.2.2: se unifican las etiquetas PENDIENTE DE ALDRIN y PENDIENTE DE VALIDACIÓN como PENDIENTE DE RESPUESTA en todo el documento. Se resuelve el punto de categorías de peso por edad como PROPUESTA (RN-3.8, Reglas de Negocio v0.6; ya no depende de Viviana, ver sección 8). Se añade el consentimiento del examen de ascenso al punto 2 de la sección 23. La sección 23 queda con cuatro puntos pendientes en vez de cinco.</w:t>
            </w:r>
          </w:p>
        </w:tc>
      </w:tr>
      <w:tr>
        <w:tc>
          <w:tcPr>
            <w:tcW w:type="dxa" w:w="1000"/>
          </w:tcPr>
          <w:p>
            <w:r>
              <w:rPr>
                <w:rFonts w:ascii="Calibri" w:hAnsi="Calibri"/>
                <w:sz w:val="20"/>
              </w:rPr>
              <w:t>0.2.4</w:t>
            </w:r>
          </w:p>
        </w:tc>
        <w:tc>
          <w:tcPr>
            <w:tcW w:type="dxa" w:w="1400"/>
          </w:tcPr>
          <w:p>
            <w:r>
              <w:rPr>
                <w:rFonts w:ascii="Calibri" w:hAnsi="Calibri"/>
                <w:sz w:val="20"/>
              </w:rPr>
              <w:t>29/09/2026</w:t>
            </w:r>
          </w:p>
        </w:tc>
        <w:tc>
          <w:tcPr>
            <w:tcW w:type="dxa" w:w="2200"/>
          </w:tcPr>
          <w:p>
            <w:r>
              <w:rPr>
                <w:rFonts w:ascii="Calibri" w:hAnsi="Calibri"/>
                <w:sz w:val="20"/>
              </w:rPr>
              <w:t>John Alejandro Contreras</w:t>
            </w:r>
          </w:p>
        </w:tc>
        <w:tc>
          <w:tcPr>
            <w:tcW w:type="dxa" w:w="4760"/>
          </w:tcPr>
          <w:p>
            <w:r>
              <w:rPr>
                <w:rFonts w:ascii="Calibri" w:hAnsi="Calibri"/>
                <w:sz w:val="20"/>
              </w:rPr>
              <w:t>Corrección puntual de la sección 23 (Información pendiente de validación): se retira el punto de consecuencia tras mora prolongada — se había confirmado el 26/09/2026 (RN-8.7) y quedó en la lista por descuido — y se agrega un punto nuevo, evaluación cualitativa periódica (RN-4.4, PENDIENTE DE RESPUESTA), que nunca se había incluido. Mismo ajuste aplicado en el Anexo (que repite esta misma lista) y en la mención de mora de la sección 11. Quedan cuatro puntos pendientes.</w:t>
            </w:r>
          </w:p>
        </w:tc>
      </w:tr>
      <w:tr>
        <w:tc>
          <w:tcPr>
            <w:tcW w:type="dxa" w:w="1000"/>
          </w:tcPr>
          <w:p>
            <w:r>
              <w:rPr>
                <w:rFonts w:ascii="Calibri" w:hAnsi="Calibri"/>
                <w:sz w:val="20"/>
              </w:rPr>
              <w:t>0.2.5</w:t>
            </w:r>
          </w:p>
        </w:tc>
        <w:tc>
          <w:tcPr>
            <w:tcW w:type="dxa" w:w="1400"/>
          </w:tcPr>
          <w:p>
            <w:r>
              <w:rPr>
                <w:rFonts w:ascii="Calibri" w:hAnsi="Calibri"/>
                <w:sz w:val="20"/>
              </w:rPr>
              <w:t>09/10/2026</w:t>
            </w:r>
          </w:p>
        </w:tc>
        <w:tc>
          <w:tcPr>
            <w:tcW w:type="dxa" w:w="2200"/>
          </w:tcPr>
          <w:p>
            <w:r>
              <w:rPr>
                <w:rFonts w:ascii="Calibri" w:hAnsi="Calibri"/>
                <w:sz w:val="20"/>
              </w:rPr>
              <w:t>John Alejandro Contreras</w:t>
            </w:r>
          </w:p>
        </w:tc>
        <w:tc>
          <w:tcPr>
            <w:tcW w:type="dxa" w:w="4760"/>
          </w:tcPr>
          <w:p>
            <w:r>
              <w:rPr>
                <w:rFonts w:ascii="Calibri" w:hAnsi="Calibri"/>
                <w:sz w:val="20"/>
              </w:rPr>
              <w:t>Corrección puntual sobre v0.2.4 — decisión final de John sobre el ámbito público: una sola cuenta por deportista, sin distinción por edad; el acudiente no tiene login propio, solo existe como dato de contacto gestionado por el club (ver Reglas de Negocio v0.9, RN-1.4/RN-T.3/RN-T.4/RN-T.14/RN-T.16). Se actualiza la sección 10: la regla de navegación inicial retira "o del tutor que ingresó", y la tabla de actores retira la distinción mayor/menor de edad en la fila "Vista pública". La sección 23 (información pendiente de validación) no cambia.</w:t>
            </w:r>
          </w:p>
        </w:tc>
      </w:tr>
      <w:tr>
        <w:tc>
          <w:tcPr>
            <w:tcW w:type="dxa" w:w="1000"/>
          </w:tcPr>
          <w:p>
            <w:r>
              <w:rPr>
                <w:rFonts w:ascii="Calibri" w:hAnsi="Calibri"/>
                <w:sz w:val="20"/>
              </w:rPr>
              <w:t>0.2.6</w:t>
            </w:r>
          </w:p>
        </w:tc>
        <w:tc>
          <w:tcPr>
            <w:tcW w:type="dxa" w:w="1400"/>
          </w:tcPr>
          <w:p>
            <w:r>
              <w:rPr>
                <w:rFonts w:ascii="Calibri" w:hAnsi="Calibri"/>
                <w:sz w:val="20"/>
              </w:rPr>
              <w:t>16/10/2026</w:t>
            </w:r>
          </w:p>
        </w:tc>
        <w:tc>
          <w:tcPr>
            <w:tcW w:type="dxa" w:w="2200"/>
          </w:tcPr>
          <w:p>
            <w:r>
              <w:rPr>
                <w:rFonts w:ascii="Calibri" w:hAnsi="Calibri"/>
                <w:sz w:val="20"/>
              </w:rPr>
              <w:t>John Alejandro Contreras</w:t>
            </w:r>
          </w:p>
        </w:tc>
        <w:tc>
          <w:tcPr>
            <w:tcW w:type="dxa" w:w="4760"/>
          </w:tcPr>
          <w:p>
            <w:r>
              <w:rPr>
                <w:rFonts w:ascii="Calibri" w:hAnsi="Calibri"/>
                <w:sz w:val="20"/>
              </w:rPr>
              <w:t>Sincronización completa con Reglas de Negocio v1.0, esquema_hwanghon_v4.sql y Documentación Técnica v0.1.7. Se actualizan la sección 10 (tabla de actores: campos editables de la vista pública, ya no solo peso y discapacidad), la sección 14 (información gestionada: categoría, asistencia, evaluación/grado) y la sección 15 (reglas de negocio conocidas, ahora referida a Reglas de Negocio v1.0). La sección 23 (información pendiente de validación) y su Anexo pasan de cuatro a ocho puntos, incorporando los que surgen de Reglas de Negocio v1.0 (plantilla de certificado, plantilla de asistencia IMRDS, lista de reportes, tabla oficial de peso). Se corrige la nota de v0.2.4 sobre inactividad (RN-8.7, retirada): ahora se basa en la asistencia (RN-1.11), no en la mora. Se retira «aptitud para torneos» del reporte prioritario (RN-10.3). Se actualiza la tabla "Control del documento" (versión y fecha, que habían quedado desactualizadas desde v0.2.2).</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Tabla oficial de categorías por peso de la federación, que reemplazaría la tabla consolidada PROPUESTA de esta versión (RN-3.8).</w:t>
      </w:r>
    </w:p>
    <w:p>
      <w:pPr>
        <w:spacing w:after="160"/>
        <w:ind w:left="260"/>
      </w:pPr>
      <w:r>
        <w:rPr>
          <w:rFonts w:ascii="Calibri" w:cs="Calibri" w:eastAsia="Calibri" w:hAnsi="Calibri"/>
          <w:color w:val="1A1A1A"/>
          <w:sz w:val="22"/>
          <w:szCs w:val="22"/>
        </w:rPr>
        <w:t>•  8.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