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ESPECIFICACIÓN DE LÓGICA DE NEGOCIO</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0.7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28 de septiembre de 2026</w:t>
      </w:r>
    </w:p>
    <w:p>
      <w:pPr>
        <w:spacing w:after="80"/>
        <w:jc w:val="center"/>
      </w:pPr>
      <w:r>
        <w:rPr>
          <w:rFonts w:ascii="Arial" w:hAnsi="Arial"/>
          <w:b w:val="0"/>
          <w:i/>
          <w:color w:val="000000"/>
          <w:sz w:val="18"/>
        </w:rPr>
        <w:t>Basado en Reglas de Negocio v0.8 (documentacion/reglas_negocio/) — v0.1 de este documento tomó como referencia v0.3, v0.2 pasó a v0.4, y desde v0.3 en adelante (v0.3 a v0.5) usa v0.6, v0.6 usó v0.7, y esta versión (v0.7) usa v0.8. No se duplica el contexto de cada regla ni su justificación, cada punto lo referencia por número de regla.</w:t>
      </w:r>
    </w:p>
    <w:p>
      <w:pPr>
        <w:spacing w:after="0"/>
        <w:jc w:val="center"/>
      </w:pPr>
      <w:r>
        <w:rPr>
          <w:rFonts w:ascii="Arial" w:hAnsi="Arial"/>
          <w:b w:val="0"/>
          <w:i/>
          <w:color w:val="000000"/>
          <w:sz w:val="18"/>
        </w:rPr>
        <w:t>Etiquetas usadas: [CONFIRMADO] · [PROPUESTA] · [PENDIENTE DE RESPUESTA] · [PENDIENTE DE VERIFICACIÓN] (las mismas cuatro de Reglas de Negocio v0.6, citadas junto con cada regla de origen) · [PENDIENTE DE ESPECIFICAR] (quinta etiqueta, exclusiva de este documento — ver sección 1).</w:t>
      </w:r>
    </w:p>
    <w:p>
      <w:pPr>
        <w:spacing w:before="400"/>
        <w:jc w:val="center"/>
      </w:pPr>
      <w:r>
        <w:rPr>
          <w:rFonts w:ascii="Arial" w:hAnsi="Arial"/>
          <w:b w:val="0"/>
          <w:i/>
          <w:color w:val="000000"/>
          <w:sz w:val="16"/>
        </w:rPr>
        <w:t>v0.1: creación inicial del documento — inventario completo de Reglas de Negocio v0.3 (994 líneas, diez módulos más Transversal). Secciones A-D con la regla de origen citada y un placeholder explícito de especificación técnica pendiente; sección E trasladada sin cambios de contenido.</w:t>
      </w:r>
    </w:p>
    <w:p>
      <w:pPr>
        <w:spacing w:after="0"/>
        <w:jc w:val="center"/>
      </w:pPr>
      <w:r>
        <w:rPr>
          <w:rFonts w:ascii="Arial" w:hAnsi="Arial"/>
          <w:b w:val="0"/>
          <w:i/>
          <w:color w:val="000000"/>
          <w:sz w:val="16"/>
        </w:rPr>
        <w:t>v0.2: se reemplazan los [PENDIENTE DE ESPECIFICAR] de las secciones A-D por la especificación técnica decidida por John, usando Reglas de Negocio v0.4 (agrega RN-5.6 y RN-5.7; actualiza RN-6.3 y RN-8.7) como referencia en vez de v0.3. La sección E también pasa a citar v0.4: se retira RN-8.7 de E.6 (ya resuelta, ver A.2), quedando esa entrada solo con RN-8.6. Queda un único punto abierto, dentro de la especificación compartida de la sección D, marcado explícitamente como [PENDIENTE DE ESPECIFICAR].</w:t>
      </w:r>
    </w:p>
    <w:p>
      <w:pPr>
        <w:spacing w:after="0"/>
        <w:jc w:val="center"/>
      </w:pPr>
      <w:r>
        <w:rPr>
          <w:rFonts w:ascii="Arial" w:hAnsi="Arial"/>
          <w:b w:val="0"/>
          <w:i/>
          <w:color w:val="000000"/>
          <w:sz w:val="16"/>
        </w:rPr>
        <w:t>v0.3: se cierran los dos últimos puntos pendientes de las secciones A-D. A.2 gana la precisión de que la mecánica de pausa de la permanencia es la misma con o sin el estado inactivo de RN-8.7, ya respaldada por un nuevo párrafo "Precisión" en RN-2.2. La sección D gana el comportamiento de actualización (vs. inserción) en la carga masiva y el caso de correo compartido entre un deportista adulto y su rol de tutor (RN-1.9, RN-1.10). Con esto quedan cerradas las cuatro secciones (A-D) -- ya no queda ningún [PENDIENTE DE ESPECIFICAR] en ellas. Todas las citas del documento se actualizan a Reglas de Negocio v0.5 (agrega RN-1.9 y RN-1.10; RN-2.2 gana su párrafo "Precisión"). Sección E sin cambios de contenido. Corrección puntual sobre esta misma versión (28/09/2026): las etiquetas PENDIENTE DE ALDRIN y PENDIENTE DE VALIDACIÓN se unifican como PENDIENTE DE RESPUESTA (ver Reglas de Negocio v0.6, sección 1), y todas las citas del documento se actualizan de Reglas de Negocio v0.5 a v0.6 -- sin cambios de contenido en las secciones A-E.</w:t>
      </w:r>
    </w:p>
    <w:p>
      <w:pPr>
        <w:spacing w:after="0"/>
        <w:jc w:val="center"/>
      </w:pPr>
      <w:r>
        <w:rPr>
          <w:rFonts w:ascii="Arial" w:hAnsi="Arial"/>
          <w:b w:val="0"/>
          <w:i/>
          <w:color w:val="000000"/>
          <w:sz w:val="16"/>
        </w:rPr>
        <w:t>v0.4 (28/09/2026): se cierra el punto E.2 -- la categoría por peso para menores de 16 años ya no depende de que Aldrin o Viviana validen un rango oficial; usa la tabla PROPUESTA de RN-3.8 (Reglas de Negocio v0.6), en pasos de 5 kg, reemplazable si en el futuro se entrega una tabla oficial. La especificación técnica correspondiente se traslada a A.1, junto con el resto del cálculo dinámico de categoría (edad y peso). En la sección E, E.2 pasa a [RESUELTO, ver A.1] y se retira de la lista de bloqueados; el resto de la sección (E.1, E.3-E.6) sigue sin cambios de contenido.</w:t>
      </w:r>
    </w:p>
    <w:p>
      <w:pPr>
        <w:spacing w:after="0"/>
        <w:jc w:val="center"/>
      </w:pPr>
      <w:r>
        <w:rPr>
          <w:rFonts w:ascii="Arial" w:hAnsi="Arial"/>
          <w:b w:val="0"/>
          <w:i/>
          <w:color w:val="000000"/>
          <w:sz w:val="16"/>
        </w:rPr>
        <w:t>v0.5 (29/09/2026): se cierra la mitad del punto que seguía abierto en B.1 (nota sobre Documentación Técnica v0.1.4, sección 13, detalle_evaluacion.aprobado). Aclarado con John: la condición de completitud de la sesión de examen pasa a [CONFIRMADO] -- se exige completado solo en las modalidades que apliquen al grado evaluado, no en todas las registradas. La regla de combinación de resultados por modalidad para el aprobado general sigue [PENDIENTE DE RESPUESTA], sin cambios -- depende de la plantilla oficial (RN-5.3). Resto del documento sin cambios de contenido.</w:t>
      </w:r>
    </w:p>
    <w:p>
      <w:pPr>
        <w:spacing w:after="0"/>
        <w:jc w:val="center"/>
      </w:pPr>
      <w:r>
        <w:rPr>
          <w:rFonts w:ascii="Arial" w:hAnsi="Arial"/>
          <w:b w:val="0"/>
          <w:i/>
          <w:color w:val="000000"/>
          <w:sz w:val="16"/>
        </w:rPr>
        <w:t>v0.6 (09/10/2026): se agrega B.5, especificación técnica de RN-T.16 (Reglas de Negocio v0.7, nueva): acceso del ámbito público con documento + fecha de nacimiento y bloqueo tras 5 intentos fallidos consecutivos (15 minutos, contador reiniciado al acertar, mismo mensaje de error exista o no el documento). Pendiente: el contador de intentos fallidos necesita una tabla nueva en el esquema (hoy no existe en esquema_hwanghon_v2.sql) -- coordinar con el chat de base de datos antes de implementar en el backend. RN-T.15 (Reglas de Negocio v0.7, también nueva: personal administrativo que también es deportista) no requiere cambios aquí -- es una aclaración de relación de datos entre dos tablas independientes, sin lógica nueva que especificar. Resto del documento sin cambios de contenido.</w:t>
      </w:r>
    </w:p>
    <w:p>
      <w:pPr>
        <w:spacing w:after="0"/>
        <w:jc w:val="center"/>
      </w:pPr>
      <w:r>
        <w:rPr>
          <w:rFonts w:ascii="Arial" w:hAnsi="Arial"/>
          <w:b w:val="0"/>
          <w:i/>
          <w:color w:val="000000"/>
          <w:sz w:val="16"/>
        </w:rPr>
        <w:t>v0.7 (09/10/2026): dos correcciones sobre A.1 y B.5 a partir del campo nuevo sexo en deportista (Reglas de Negocio v0.8, RN-1.1/RN-1.6). En A.1: la categoría por peso ahora se describe como dependiente también de sexo, y se corrige la afirmación de que resolver RN-3.8 "ya no bloquea" el cálculo -- la tabla de Mayores sigue incompleta en Reglas de Negocio (solo el primer corte por sexo) y el tramo de 15 años sigue sin cubrir; solo Infantil/Junior (E.2) está realmente resuelto. En B.5: se corrige la nota pendiente -- la tabla intento_acceso_publico ya existe en esquema_hwanghon_v3.sql, con la forma exacta que se necesitaba. Resto del documento sin cambios de contenido.</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A. Cálculos derivados</w:t>
      </w:r>
    </w:p>
    <w:p>
      <w:pPr>
        <w:spacing w:after="80"/>
      </w:pPr>
      <w:r>
        <w:rPr>
          <w:rFonts w:ascii="Arial" w:hAnsi="Arial"/>
          <w:b w:val="0"/>
          <w:i w:val="0"/>
          <w:color w:val="000000"/>
          <w:sz w:val="22"/>
        </w:rPr>
        <w:t>B. Máquinas de estado</w:t>
      </w:r>
    </w:p>
    <w:p>
      <w:pPr>
        <w:spacing w:after="80"/>
      </w:pPr>
      <w:r>
        <w:rPr>
          <w:rFonts w:ascii="Arial" w:hAnsi="Arial"/>
          <w:b w:val="0"/>
          <w:i w:val="0"/>
          <w:color w:val="000000"/>
          <w:sz w:val="22"/>
        </w:rPr>
        <w:t>C. Reglas de autorización</w:t>
      </w:r>
    </w:p>
    <w:p>
      <w:pPr>
        <w:spacing w:after="80"/>
      </w:pPr>
      <w:r>
        <w:rPr>
          <w:rFonts w:ascii="Arial" w:hAnsi="Arial"/>
          <w:b w:val="0"/>
          <w:i w:val="0"/>
          <w:color w:val="000000"/>
          <w:sz w:val="22"/>
        </w:rPr>
        <w:t>D. Procesos de importación</w:t>
      </w:r>
    </w:p>
    <w:p>
      <w:pPr>
        <w:spacing w:after="80"/>
      </w:pPr>
      <w:r>
        <w:rPr>
          <w:rFonts w:ascii="Arial" w:hAnsi="Arial"/>
          <w:b w:val="0"/>
          <w:i w:val="0"/>
          <w:color w:val="000000"/>
          <w:sz w:val="22"/>
        </w:rPr>
        <w:t>E. Bloqueadas por falta de insumo</w:t>
      </w:r>
    </w:p>
    <w:p>
      <w:pPr>
        <w:spacing w:after="80"/>
      </w:pPr>
      <w:r>
        <w:rPr>
          <w:rFonts w:ascii="Arial" w:hAnsi="Arial"/>
          <w:b w:val="0"/>
          <w:i w:val="0"/>
          <w:color w:val="000000"/>
          <w:sz w:val="22"/>
        </w:rPr>
        <w:t>Cierre</w:t>
      </w:r>
    </w:p>
    <w:p>
      <w:pPr>
        <w:sectPr>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2 (Diseño de base de datos) cerrada -- Modelo Relacional v1 y el script SQL ejecutado y verificado (base_datos/esquema_hwanghon_v1.sql), documentados en Documentación Técnica v0.1.4 -- el proyecto entra a la Etapa 3 (Definición de lógica de negocio). El primer paso fue un inventario completo de Reglas de Negocio v0.3 (994 líneas, los diez módulos más Transversal), categorizando qué reglas necesitan una especificación técnica precisa antes de poder implementarlas.</w:t>
      </w:r>
    </w:p>
    <w:p>
      <w:pPr>
        <w:spacing w:after="80"/>
      </w:pPr>
      <w:r>
        <w:rPr>
          <w:rFonts w:ascii="Arial" w:hAnsi="Arial"/>
          <w:b w:val="0"/>
          <w:i w:val="0"/>
          <w:color w:val="000000"/>
          <w:sz w:val="24"/>
        </w:rPr>
        <w:t>Reglas de Negocio v0.6 da el contexto y la decisión de cada regla, pero varias de ellas describen una lógica -- un cálculo, un flujo de estados, un permiso, una importación -- sin fijar su especificación técnica exacta. Este documento existe para cerrar esa brecha antes de diseñar la arquitectura backend: cada punto más abajo cita su regla de origen en Reglas de Negocio v0.6 (no se duplica su contexto ni su justificación, solo se referencia por número) y añade una sección "Especificación técnica", que por ahora queda como [PENDIENTE DE ESPECIFICAR] -- un placeholder explícito, no una especificación inventada.</w:t>
      </w:r>
    </w:p>
    <w:p>
      <w:pPr>
        <w:spacing w:after="160"/>
      </w:pPr>
      <w:r>
        <w:rPr>
          <w:rFonts w:ascii="Arial" w:hAnsi="Arial"/>
          <w:b w:val="0"/>
          <w:i w:val="0"/>
          <w:color w:val="000000"/>
          <w:sz w:val="24"/>
        </w:rPr>
        <w:t>Las fórmulas y los flujos exactos se irán definiendo progresivamente en el chat técnico, en pasadas siguientes sobre este mismo documento (misma convención de corrección puntual sobre la misma versión ya usada en este proyecto, o v0.2 si el contenido nuevo es sustancial -- se decide cuando llegue el momento).</w:t>
      </w:r>
    </w:p>
    <w:p>
      <w:pPr>
        <w:spacing w:before="120" w:after="80"/>
      </w:pPr>
      <w:r>
        <w:rPr>
          <w:rFonts w:ascii="Arial" w:hAnsi="Arial"/>
          <w:b/>
          <w:i w:val="0"/>
          <w:color w:val="000000"/>
          <w:sz w:val="24"/>
        </w:rPr>
        <w:t>Etiquetas de estado</w:t>
      </w:r>
    </w:p>
    <w:p>
      <w:pPr>
        <w:spacing w:after="80"/>
      </w:pPr>
      <w:r>
        <w:rPr>
          <w:rFonts w:ascii="Arial" w:hAnsi="Arial"/>
          <w:b w:val="0"/>
          <w:i w:val="0"/>
          <w:color w:val="000000"/>
          <w:sz w:val="24"/>
        </w:rPr>
        <w:t>Cada regla citada conserva exactamente la etiqueta con la que aparece en Reglas de Negocio v0.6. Cada sección de especificación técnica que aún no existe usa una quinta etiqueta, propia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880"/>
        <w:gridCol w:w="6480"/>
      </w:tblGrid>
      <w:tr>
        <w:tc>
          <w:tcPr>
            <w:tcW w:type="dxa" w:w="2880"/>
          </w:tcPr>
          <w:p>
            <w:r>
              <w:rPr>
                <w:rFonts w:ascii="Arial" w:hAnsi="Arial"/>
                <w:b/>
                <w:i w:val="0"/>
                <w:color w:val="000000"/>
                <w:sz w:val="20"/>
              </w:rPr>
              <w:t>Etiqueta</w:t>
            </w:r>
          </w:p>
        </w:tc>
        <w:tc>
          <w:tcPr>
            <w:tcW w:type="dxa" w:w="6480"/>
          </w:tcPr>
          <w:p>
            <w:r>
              <w:rPr>
                <w:rFonts w:ascii="Arial" w:hAnsi="Arial"/>
                <w:b/>
                <w:i w:val="0"/>
                <w:color w:val="000000"/>
                <w:sz w:val="20"/>
              </w:rPr>
              <w:t>Significado</w:t>
            </w:r>
          </w:p>
        </w:tc>
      </w:tr>
      <w:tr>
        <w:tc>
          <w:tcPr>
            <w:tcW w:type="dxa" w:w="2880"/>
          </w:tcPr>
          <w:p>
            <w:r>
              <w:rPr>
                <w:rFonts w:ascii="Arial" w:hAnsi="Arial"/>
                <w:b/>
                <w:i w:val="0"/>
                <w:color w:val="000000"/>
                <w:sz w:val="20"/>
              </w:rPr>
              <w:t>[CONFIRMADO]</w:t>
            </w:r>
          </w:p>
        </w:tc>
        <w:tc>
          <w:tcPr>
            <w:tcW w:type="dxa" w:w="6480"/>
          </w:tcPr>
          <w:p>
            <w:r>
              <w:rPr>
                <w:rFonts w:ascii="Arial" w:hAnsi="Arial"/>
                <w:b w:val="0"/>
                <w:i w:val="0"/>
                <w:color w:val="000000"/>
                <w:sz w:val="20"/>
              </w:rPr>
              <w:t>Confirmado por Aldrin directamente, o decisión ya cerrada por John como responsable técnico del proyecto.</w:t>
            </w:r>
          </w:p>
        </w:tc>
      </w:tr>
      <w:tr>
        <w:tc>
          <w:tcPr>
            <w:tcW w:type="dxa" w:w="2880"/>
          </w:tcPr>
          <w:p>
            <w:r>
              <w:rPr>
                <w:rFonts w:ascii="Arial" w:hAnsi="Arial"/>
                <w:b/>
                <w:i w:val="0"/>
                <w:color w:val="000000"/>
                <w:sz w:val="20"/>
              </w:rPr>
              <w:t>[PROPUESTA]</w:t>
            </w:r>
          </w:p>
        </w:tc>
        <w:tc>
          <w:tcPr>
            <w:tcW w:type="dxa" w:w="6480"/>
          </w:tcPr>
          <w:p>
            <w:r>
              <w:rPr>
                <w:rFonts w:ascii="Arial" w:hAnsi="Arial"/>
                <w:b w:val="0"/>
                <w:i w:val="0"/>
                <w:color w:val="000000"/>
                <w:sz w:val="20"/>
              </w:rPr>
              <w:t>Planteamiento del equipo de desarrollo, sujeto a validación o construcción futura.</w:t>
            </w:r>
          </w:p>
        </w:tc>
      </w:tr>
      <w:tr>
        <w:tc>
          <w:tcPr>
            <w:tcW w:type="dxa" w:w="2880"/>
          </w:tcPr>
          <w:p>
            <w:r>
              <w:rPr>
                <w:rFonts w:ascii="Arial" w:hAnsi="Arial"/>
                <w:b/>
                <w:i w:val="0"/>
                <w:color w:val="000000"/>
                <w:sz w:val="20"/>
              </w:rPr>
              <w:t>[PENDIENTE DE RESPUESTA]</w:t>
            </w:r>
          </w:p>
        </w:tc>
        <w:tc>
          <w:tcPr>
            <w:tcW w:type="dxa" w:w="6480"/>
          </w:tcPr>
          <w:p>
            <w:r>
              <w:rPr>
                <w:rFonts w:ascii="Arial" w:hAnsi="Arial"/>
                <w:b w:val="0"/>
                <w:i w:val="0"/>
                <w:color w:val="000000"/>
                <w:sz w:val="20"/>
              </w:rPr>
              <w:t>Depende de que el club (Aldrin o Viviana, según corresponda) confirme la información o entregue documentación oficial.</w:t>
            </w:r>
          </w:p>
        </w:tc>
      </w:tr>
      <w:tr>
        <w:tc>
          <w:tcPr>
            <w:tcW w:type="dxa" w:w="2880"/>
          </w:tcPr>
          <w:p>
            <w:r>
              <w:rPr>
                <w:rFonts w:ascii="Arial" w:hAnsi="Arial"/>
                <w:b/>
                <w:i w:val="0"/>
                <w:color w:val="000000"/>
                <w:sz w:val="20"/>
              </w:rPr>
              <w:t>[PENDIENTE DE VERIFICACIÓN]</w:t>
            </w:r>
          </w:p>
        </w:tc>
        <w:tc>
          <w:tcPr>
            <w:tcW w:type="dxa" w:w="6480"/>
          </w:tcPr>
          <w:p>
            <w:r>
              <w:rPr>
                <w:rFonts w:ascii="Arial" w:hAnsi="Arial"/>
                <w:b w:val="0"/>
                <w:i w:val="0"/>
                <w:color w:val="000000"/>
                <w:sz w:val="20"/>
              </w:rPr>
              <w:t>El dato existe en una fuente, pero no se ha verificado directamente contra el documento original.</w:t>
            </w:r>
          </w:p>
        </w:tc>
      </w:tr>
      <w:tr>
        <w:tc>
          <w:tcPr>
            <w:tcW w:type="dxa" w:w="2880"/>
          </w:tcPr>
          <w:p>
            <w:r>
              <w:rPr>
                <w:rFonts w:ascii="Arial" w:hAnsi="Arial"/>
                <w:b/>
                <w:i w:val="0"/>
                <w:color w:val="000000"/>
                <w:sz w:val="20"/>
              </w:rPr>
              <w:t>[PENDIENTE DE ESPECIFICAR]</w:t>
            </w:r>
          </w:p>
        </w:tc>
        <w:tc>
          <w:tcPr>
            <w:tcW w:type="dxa" w:w="6480"/>
          </w:tcPr>
          <w:p>
            <w:r>
              <w:rPr>
                <w:rFonts w:ascii="Arial" w:hAnsi="Arial"/>
                <w:b w:val="0"/>
                <w:i w:val="0"/>
                <w:color w:val="000000"/>
                <w:sz w:val="20"/>
              </w:rPr>
              <w:t>Exclusiva de este documento: la regla de origen ya está confirmada o decidida en Reglas de Negocio v0.6, pero su especificación técnica exacta (fórmula, flujo de estados, umbral, formato) aún no se ha definido.</w:t>
            </w:r>
          </w:p>
        </w:tc>
      </w:tr>
    </w:tbl>
    <w:p>
      <w:pPr>
        <w:spacing w:after="80"/>
      </w:pPr>
    </w:p>
    <w:p>
      <w:pPr>
        <w:spacing w:after="160"/>
      </w:pPr>
      <w:r>
        <w:rPr>
          <w:rFonts w:ascii="Arial" w:hAnsi="Arial"/>
          <w:b w:val="0"/>
          <w:i w:val="0"/>
          <w:color w:val="000000"/>
          <w:sz w:val="24"/>
        </w:rPr>
        <w:t>Ninguna sección marcada como [PENDIENTE DE ESPECIFICAR] debe tratarse como una especificación definitiva ni implementarse a partir de una suposición: el valor exacto se define en una pasada posterior sobre este documento.</w:t>
      </w:r>
    </w:p>
    <w:p>
      <w:pPr>
        <w:spacing w:after="200"/>
      </w:pPr>
      <w:r>
        <w:rPr>
          <w:rFonts w:ascii="Arial" w:hAnsi="Arial"/>
          <w:b w:val="0"/>
          <w:i/>
          <w:color w:val="000000"/>
          <w:sz w:val="20"/>
        </w:rPr>
        <w:t>Fuente: Reglas de Negocio v0.3 (documentacion/reglas_negocio/); inventario de las 994 líneas realizado por John el 26/09/2026.</w:t>
      </w:r>
    </w:p>
    <w:p>
      <w:pPr>
        <w:spacing w:before="320" w:after="160"/>
      </w:pPr>
      <w:r>
        <w:rPr>
          <w:rFonts w:ascii="Arial" w:hAnsi="Arial"/>
          <w:b/>
          <w:i w:val="0"/>
          <w:color w:val="000000"/>
          <w:sz w:val="28"/>
        </w:rPr>
        <w:t>A. Cálculos derivados</w:t>
      </w:r>
    </w:p>
    <w:p>
      <w:pPr>
        <w:spacing w:after="160"/>
      </w:pPr>
      <w:r>
        <w:rPr>
          <w:rFonts w:ascii="Arial" w:hAnsi="Arial"/>
          <w:b w:val="0"/>
          <w:i/>
          <w:color w:val="000000"/>
          <w:sz w:val="22"/>
        </w:rPr>
        <w:t>Reglas que implican una fórmula a partir de datos ya almacenados. Cada una necesita una especificación técnica precisa -- la fórmula exacta, redondeos y casos borde -- antes de poder implementarse.</w:t>
      </w:r>
    </w:p>
    <w:p>
      <w:pPr>
        <w:spacing w:before="200" w:after="60"/>
      </w:pPr>
      <w:r>
        <w:rPr>
          <w:rFonts w:ascii="Arial" w:hAnsi="Arial"/>
          <w:b/>
          <w:i w:val="0"/>
          <w:color w:val="000000"/>
          <w:sz w:val="24"/>
        </w:rPr>
        <w:t>A.1. RN-1.3 — Edad y categoría calculadas dinámicamente</w:t>
      </w:r>
    </w:p>
    <w:p>
      <w:pPr>
        <w:spacing w:after="80"/>
      </w:pPr>
      <w:r>
        <w:rPr>
          <w:rFonts w:ascii="Arial" w:hAnsi="Arial"/>
          <w:b/>
          <w:i w:val="0"/>
          <w:color w:val="000000"/>
          <w:sz w:val="24"/>
        </w:rPr>
        <w:t xml:space="preserve">Regla de origen (RN-1.3,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hAnsi="Arial"/>
          <w:b w:val="0"/>
          <w:i w:val="0"/>
          <w:color w:val="000000"/>
          <w:sz w:val="24"/>
        </w:rPr>
        <w:t>Depende, además, de que se resuelva RN-3.8 (ver sección 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edad se recalcula siempre a partir de la fecha de nacimiento y la fecha del día en que el sistema la usa o la muestra -- no es un dato fijo que se guarda y se actualiza periódicamente. La categoría por edad se obtiene con una consulta directa (lookup) contra la tabla de rangos ya confirmada en RN-3.8. La categoría por peso depende también de sexo (masculino/femenino, RN-1.1/RN-1.6, Reglas de Negocio v0.8) y se obtiene con el mismo mecanismo de consulta directa (lookup), diferenciando por sexo: contra la tabla de Mayores (16+ años, RN-3.8) para esas edades, y contra la tabla PROPUESTA de Infantil/Junior (RN-3.8, Reglas de Negocio v0.6, resuelta el 28/09/2026) para los menores de 16 años — esta última es un cálculo estimado del equipo, reemplazable si Aldrin o Viviana entregan una tabla oficial en el futuro (cierra el punto E.2, ver sección E).</w:t>
      </w:r>
    </w:p>
    <w:p>
      <w:pPr>
        <w:spacing w:after="160"/>
      </w:pPr>
      <w:r>
        <w:rPr>
          <w:rFonts w:ascii="Arial" w:hAnsi="Arial"/>
          <w:b w:val="0"/>
          <w:i w:val="0"/>
          <w:color w:val="000000"/>
          <w:sz w:val="24"/>
        </w:rPr>
        <w:t>Precisión (09/10/2026): la afirmación de que esto "ya no bloquea la implementación del cálculo dinámico de categoría" solo era exacta para el tramo Infantil/Junior (E.2, resuelto con la tabla PROPUESTA de arriba). La tabla de Mayores sigue incompleta en Reglas de Negocio: RN-3.8 solo da el primer corte por sexo (55 kg masculino, 50 kg femenino), no los cortes completos -- la tabla completa sí está verificada como DOCUMENTAL en el registro de dominio del proyecto (hombres &lt;55/&lt;60/&lt;65/&lt;70/&lt;75/&lt;80/&lt;85/&gt;85 kg; mujeres &lt;50/&lt;55/&lt;60/&lt;65/&lt;70/&lt;75/&lt;80/&gt;80 kg), pero todavía no se trasladó a RN-3.8. El tramo de 15 años (dentro de Juvenil) tampoco está cubierto, ni por la tabla de Mayores (aplica desde los 16) ni por la de Infantil/Junior. El cálculo de categoría por peso, en general, sigue sin poder implementarse completo mientras estos dos puntos no se resuelvan en Reglas de Negocio.</w:t>
      </w:r>
    </w:p>
    <w:p>
      <w:pPr>
        <w:spacing w:before="200" w:after="60"/>
      </w:pPr>
      <w:r>
        <w:rPr>
          <w:rFonts w:ascii="Arial" w:hAnsi="Arial"/>
          <w:b/>
          <w:i w:val="0"/>
          <w:color w:val="000000"/>
          <w:sz w:val="24"/>
        </w:rPr>
        <w:t>A.2. RN-2.2 — Cálculo de permanencia</w:t>
      </w:r>
    </w:p>
    <w:p>
      <w:pPr>
        <w:spacing w:after="80"/>
      </w:pPr>
      <w:r>
        <w:rPr>
          <w:rFonts w:ascii="Arial" w:hAnsi="Arial"/>
          <w:b/>
          <w:i w:val="0"/>
          <w:color w:val="000000"/>
          <w:sz w:val="24"/>
        </w:rPr>
        <w:t xml:space="preserve">Regla de origen (RN-2.2,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permanencia del deportista en el club se calcula a partir del historial de pagos de mensualidad (meses efectivamente pagados), en vez de construir una estructura separada de periodos de pausa o inactividad.</w:t>
      </w:r>
    </w:p>
    <w:p>
      <w:pPr>
        <w:spacing w:after="160"/>
      </w:pPr>
      <w:r>
        <w:rPr>
          <w:rFonts w:ascii="Arial" w:hAnsi="Arial"/>
          <w:b w:val="0"/>
          <w:i w:val="0"/>
          <w:color w:val="000000"/>
          <w:sz w:val="24"/>
        </w:rPr>
        <w:t>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permanencia se calcula como la suma total de los meses efectivamente pagados desde el ingreso del deportista: los meses sin pagar no se descuentan de los meses ya contabilizados antes de ese hueco, solo se deja de sumar mientras no haya pago. Esta mecánica de pausa (los meses sin pagar no descuentan lo ya acumulado, solo dejan de sumar) es la misma sin importar si el hueco de impago llega a activar el estado inactivo de RN-8.7 (tres meses consecutivos sin pago) -- no hay ningún efecto adicional sobre la permanencia más allá del ya descrito. Ver también RN-8.7 (Reglas de Negocio v0.6): tras 3 meses consecutivos sin pago, el deportista pasa a estado inactivo (deportista.estado), sin otra consecuencia adicional.</w:t>
      </w:r>
    </w:p>
    <w:p>
      <w:pPr>
        <w:spacing w:before="200" w:after="60"/>
      </w:pPr>
      <w:r>
        <w:rPr>
          <w:rFonts w:ascii="Arial" w:hAnsi="Arial"/>
          <w:b/>
          <w:i w:val="0"/>
          <w:color w:val="000000"/>
          <w:sz w:val="24"/>
        </w:rPr>
        <w:t>A.3. RN-5.2 — Umbral de inasistencia para presentar examen</w:t>
      </w:r>
    </w:p>
    <w:p>
      <w:pPr>
        <w:spacing w:after="80"/>
      </w:pPr>
      <w:r>
        <w:rPr>
          <w:rFonts w:ascii="Arial" w:hAnsi="Arial"/>
          <w:b/>
          <w:i w:val="0"/>
          <w:color w:val="000000"/>
          <w:sz w:val="24"/>
        </w:rPr>
        <w:t xml:space="preserve">Regla de origen (RN-5.2,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hAnsi="Arial"/>
          <w:b w:val="0"/>
          <w:i w:val="0"/>
          <w:color w:val="000000"/>
          <w:sz w:val="24"/>
        </w:rPr>
        <w:t>El denominador exacto de sesiones del ciclo lo fija RN-9.7 (el club entrena solo sábados y domingos), ya [CONFIRMADO] en Reglas de Negocio v0.6.</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porcentaje de inasistencia se calcula siempre sobre el ciclo completo de sesiones entre un examen y el siguiente (RN-5.4, con el denominador que fija RN-9.7), sin ajustar ese denominador por la fecha de ingreso del deportista: un deportista no es penalizado por las sesiones anteriores a su ingreso. Ver también RN-5.6 (Reglas de Negocio v0.6): un deportista que ingresa a mitad de un ciclo de examen no es elegible para presentar el examen inmediatamente siguiente a su ingreso -- debe esperar al ciclo completo subsiguiente.</w:t>
      </w:r>
    </w:p>
    <w:p>
      <w:pPr>
        <w:spacing w:before="200" w:after="60"/>
      </w:pPr>
      <w:r>
        <w:rPr>
          <w:rFonts w:ascii="Arial" w:hAnsi="Arial"/>
          <w:b/>
          <w:i w:val="0"/>
          <w:color w:val="000000"/>
          <w:sz w:val="24"/>
        </w:rPr>
        <w:t>A.4. RN-8.3 — Alerta de deuda sin mostrar valor monetario</w:t>
      </w:r>
    </w:p>
    <w:p>
      <w:pPr>
        <w:spacing w:after="80"/>
      </w:pPr>
      <w:r>
        <w:rPr>
          <w:rFonts w:ascii="Arial" w:hAnsi="Arial"/>
          <w:b/>
          <w:i w:val="0"/>
          <w:color w:val="000000"/>
          <w:sz w:val="24"/>
        </w:rPr>
        <w:t xml:space="preserve">Regla de origen (RN-8.3,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alerta se dispara al cumplirse el primer mes de mensualidad vencida -- no espera a que se acumulen dos meses.</w:t>
      </w:r>
    </w:p>
    <w:p>
      <w:pPr>
        <w:spacing w:before="200" w:after="60"/>
      </w:pPr>
      <w:r>
        <w:rPr>
          <w:rFonts w:ascii="Arial" w:hAnsi="Arial"/>
          <w:b/>
          <w:i w:val="0"/>
          <w:color w:val="000000"/>
          <w:sz w:val="24"/>
        </w:rPr>
        <w:t>A.5. RN-10.3 — Reporte prioritario: ficha consolidada</w:t>
      </w:r>
    </w:p>
    <w:p>
      <w:pPr>
        <w:spacing w:after="80"/>
      </w:pPr>
      <w:r>
        <w:rPr>
          <w:rFonts w:ascii="Arial" w:hAnsi="Arial"/>
          <w:b/>
          <w:i w:val="0"/>
          <w:color w:val="000000"/>
          <w:sz w:val="24"/>
        </w:rPr>
        <w:t xml:space="preserve">Regla de origen (RN-10.3,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único reporte prioritario definido hasta ahora es la ficha consolidada del deportista: datos personales (nombre, edad, categoría, peso, cinturón, condición de salud) junto con su nivel deportivo/aptitud para torneos y qué necesita mejorar.</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Sin cambios de fondo respecto al planteamiento original: la ficha consolidada es una agregación pura de los campos ya calculados en A.1 (edad y categoría) y A.2 (permanencia), más el estado de grado_actual definido en B.1 (con su doble condición de aprobación académica y entrega física del cinturón) -- no introduce ningún cálculo propio adicional.</w:t>
      </w:r>
    </w:p>
    <w:p>
      <w:pPr>
        <w:spacing w:before="320" w:after="160"/>
      </w:pPr>
      <w:r>
        <w:rPr>
          <w:rFonts w:ascii="Arial" w:hAnsi="Arial"/>
          <w:b/>
          <w:i w:val="0"/>
          <w:color w:val="000000"/>
          <w:sz w:val="28"/>
        </w:rPr>
        <w:t>B. Máquinas de estado</w:t>
      </w:r>
    </w:p>
    <w:p>
      <w:pPr>
        <w:spacing w:after="160"/>
      </w:pPr>
      <w:r>
        <w:rPr>
          <w:rFonts w:ascii="Arial" w:hAnsi="Arial"/>
          <w:b w:val="0"/>
          <w:i/>
          <w:color w:val="000000"/>
          <w:sz w:val="22"/>
        </w:rPr>
        <w:t>Reglas con un ciclo de vida de estados: necesitan definir los estados exactos, las transiciones permitidas entre ellos y qué evento dispara cada transición.</w:t>
      </w:r>
    </w:p>
    <w:p>
      <w:pPr>
        <w:spacing w:before="200" w:after="60"/>
      </w:pPr>
      <w:r>
        <w:rPr>
          <w:rFonts w:ascii="Arial" w:hAnsi="Arial"/>
          <w:b/>
          <w:i w:val="0"/>
          <w:color w:val="000000"/>
          <w:sz w:val="24"/>
        </w:rPr>
        <w:t>B.1. RN-5.5 / RN-5.7 — Creación de sesión de examen y actualización de grado_actual</w:t>
      </w:r>
    </w:p>
    <w:p>
      <w:pPr>
        <w:spacing w:after="80"/>
      </w:pPr>
      <w:r>
        <w:rPr>
          <w:rFonts w:ascii="Arial" w:hAnsi="Arial"/>
          <w:b/>
          <w:i w:val="0"/>
          <w:color w:val="000000"/>
          <w:sz w:val="24"/>
        </w:rPr>
        <w:t xml:space="preserve">Regla de origen (RN-5.5,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80"/>
      </w:pPr>
      <w:r>
        <w:rPr>
          <w:rFonts w:ascii="Arial" w:hAnsi="Arial"/>
          <w:b/>
          <w:i w:val="0"/>
          <w:color w:val="000000"/>
          <w:sz w:val="24"/>
        </w:rPr>
        <w:t xml:space="preserve">Regla de origen (RN-5.7,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Ver también Documentación Técnica v0.1.4, sección 13 (detalle_evaluacion.aprobado): nulo hasta completar la modalidad; cuando es verdadero, actualiza deportista.grado_actual -- marcado como PROPUESTA y referenciado a RN-10.3 en esa tabla, pendiente de confirmar exactamente cuándo se considera "completa" una sesión completa (¿todas las modalidades en completado, o basta con las que aplican al grado evaluado?). Este punto, aclarado con John, se divide en dos (ver especificación técnica más abajo, después de la doble condición de grado_actual): la condición de completitud de la sesión queda confirmada, y la regla de combinación de resultados por modalidad para el aprobado general sigue pendiente.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RESPUESTA] </w:t>
      </w:r>
      <w:r>
        <w:rPr>
          <w:rFonts w:ascii="Arial" w:hAnsi="Arial"/>
          <w:b w:val="0"/>
          <w:i w:val="0"/>
          <w:color w:val="000000"/>
          <w:sz w:val="24"/>
        </w:rPr>
        <w:t>La primera condición (aprobación académica del examen) sigue sin especificación técnica exacta -- depende de los criterios y puntajes definitivos de la plantilla oficial de examen (RN-5.1/RN-5.3), que Aldrin aún no ha entregado.</w:t>
      </w:r>
    </w:p>
    <w:p>
      <w:pPr>
        <w:spacing w:after="160"/>
      </w:pPr>
      <w:r>
        <w:rPr>
          <w:rFonts w:ascii="Arial" w:hAnsi="Arial"/>
          <w:b/>
          <w:i w:val="0"/>
          <w:color w:val="000000"/>
          <w:sz w:val="24"/>
        </w:rPr>
        <w:t xml:space="preserve">[CONFIRMADO] </w:t>
      </w:r>
      <w:r>
        <w:rPr>
          <w:rFonts w:ascii="Arial" w:hAnsi="Arial"/>
          <w:b w:val="0"/>
          <w:i w:val="0"/>
          <w:color w:val="000000"/>
          <w:sz w:val="24"/>
        </w:rPr>
        <w:t>La segunda condición (entrega física del cinturón) ya tiene especificación técnica concreta: un campo/checkbox nuevo, independiente de la aprobación académica, que el personal administrativo marca manualmente al confirmar la entrega -- deportista.grado_actual solo se actualiza cuando ambas condiciones están en verdadero.</w:t>
      </w:r>
    </w:p>
    <w:p>
      <w:pPr>
        <w:spacing w:after="160"/>
      </w:pPr>
      <w:r>
        <w:rPr>
          <w:rFonts w:ascii="Arial" w:hAnsi="Arial"/>
          <w:b/>
          <w:i w:val="0"/>
          <w:color w:val="000000"/>
          <w:sz w:val="24"/>
        </w:rPr>
        <w:t xml:space="preserve">[CONFIRMADO] </w:t>
      </w:r>
      <w:r>
        <w:rPr>
          <w:rFonts w:ascii="Arial" w:hAnsi="Arial"/>
          <w:b w:val="0"/>
          <w:i w:val="0"/>
          <w:color w:val="000000"/>
          <w:sz w:val="24"/>
        </w:rPr>
        <w:t>Sobre cuándo se considera completa una sesión de examen (aclarado con John, 29/09/2026): se exige estado completado únicamente en las modalidades que apliquen al grado evaluado, no en la totalidad de las modalidades registradas en el sistema.</w:t>
      </w:r>
    </w:p>
    <w:p>
      <w:pPr>
        <w:spacing w:after="160"/>
      </w:pPr>
      <w:r>
        <w:rPr>
          <w:rFonts w:ascii="Arial" w:hAnsi="Arial"/>
          <w:b/>
          <w:i w:val="0"/>
          <w:color w:val="000000"/>
          <w:sz w:val="24"/>
        </w:rPr>
        <w:t xml:space="preserve">[PENDIENTE DE RESPUESTA] </w:t>
      </w:r>
      <w:r>
        <w:rPr>
          <w:rFonts w:ascii="Arial" w:hAnsi="Arial"/>
          <w:b w:val="0"/>
          <w:i w:val="0"/>
          <w:color w:val="000000"/>
          <w:sz w:val="24"/>
        </w:rPr>
        <w:t>La regla exacta de cómo se combina el resultado de cada modalidad para determinar el aprobado general del examen sigue sin definir -- depende de los criterios y puntajes definitivos de la plantilla oficial (RN-5.3), sin cambios respecto a v0.4.</w:t>
      </w:r>
    </w:p>
    <w:p>
      <w:pPr>
        <w:spacing w:before="200" w:after="60"/>
      </w:pPr>
      <w:r>
        <w:rPr>
          <w:rFonts w:ascii="Arial" w:hAnsi="Arial"/>
          <w:b/>
          <w:i w:val="0"/>
          <w:color w:val="000000"/>
          <w:sz w:val="24"/>
        </w:rPr>
        <w:t>B.2. RN-6.3 / RN-6.6 — Ventana de autorregistro: editable → bloqueada al confirmar "Guardar cambios"</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160"/>
      </w:pPr>
      <w:r>
        <w:rPr>
          <w:rFonts w:ascii="Arial" w:hAnsi="Arial"/>
          <w:b w:val="0"/>
          <w:i w:val="0"/>
          <w:color w:val="000000"/>
          <w:sz w:val="24"/>
        </w:rPr>
        <w:t>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80"/>
      </w:pPr>
      <w:r>
        <w:rPr>
          <w:rFonts w:ascii="Arial" w:hAnsi="Arial"/>
          <w:b/>
          <w:i w:val="0"/>
          <w:color w:val="000000"/>
          <w:sz w:val="24"/>
        </w:rPr>
        <w:t xml:space="preserve">Regla de origen (RN-6.6,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 En el canal de carga directa, el espacio temporal queda bloqueado definitivamente solo al confirmar "Guardar cambios", momento en el que aplica el mismo límite de la ventana de autorregistro.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especificación queda resuelta directamente por el texto de RN-6.3 (Reglas de Negocio v0.6, ver arriba): el bloqueo al confirmar "Guardar cambios" se aplica campo por campo, no a toda la ventana de autorregistro -- los campos vacíos en ese momento siguen editables por el deportista/tutor, los ya diligenciados pasan a control administrativo.</w:t>
      </w:r>
    </w:p>
    <w:p>
      <w:pPr>
        <w:spacing w:before="200" w:after="60"/>
      </w:pPr>
      <w:r>
        <w:rPr>
          <w:rFonts w:ascii="Arial" w:hAnsi="Arial"/>
          <w:b/>
          <w:i w:val="0"/>
          <w:color w:val="000000"/>
          <w:sz w:val="24"/>
        </w:rPr>
        <w:t>B.3. RN-T.12 — Recuperación de contraseña por enlace de un solo uso</w:t>
      </w:r>
    </w:p>
    <w:p>
      <w:pPr>
        <w:spacing w:after="80"/>
      </w:pPr>
      <w:r>
        <w:rPr>
          <w:rFonts w:ascii="Arial" w:hAnsi="Arial"/>
          <w:b/>
          <w:i w:val="0"/>
          <w:color w:val="000000"/>
          <w:sz w:val="24"/>
        </w:rPr>
        <w:t xml:space="preserve">Regla de origen (RN-T.12,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Tiempo de vigencia del token de recuperación: 1 hora.</w:t>
      </w:r>
    </w:p>
    <w:p>
      <w:pPr>
        <w:spacing w:after="200"/>
      </w:pPr>
      <w:r>
        <w:rPr>
          <w:rFonts w:ascii="Arial" w:hAnsi="Arial"/>
          <w:b w:val="0"/>
          <w:i/>
          <w:color w:val="000000"/>
          <w:sz w:val="20"/>
        </w:rPr>
        <w:t>Nota: Cómo se implementa técnicamente el envío del correo con el token queda para la Etapa 4 (Diseño de arquitectura backend), no es parte de esta especificación de lógica de negocio.</w:t>
      </w:r>
    </w:p>
    <w:p>
      <w:pPr>
        <w:spacing w:before="200" w:after="60"/>
      </w:pPr>
      <w:r>
        <w:rPr>
          <w:rFonts w:ascii="Arial" w:hAnsi="Arial"/>
          <w:b/>
          <w:i w:val="0"/>
          <w:color w:val="000000"/>
          <w:sz w:val="24"/>
        </w:rPr>
        <w:t>B.4. RN-T.14 — Autorregistro de deportistas y tutores</w:t>
      </w:r>
    </w:p>
    <w:p>
      <w:pPr>
        <w:spacing w:after="80"/>
      </w:pPr>
      <w:r>
        <w:rPr>
          <w:rFonts w:ascii="Arial" w:hAnsi="Arial"/>
          <w:b/>
          <w:i w:val="0"/>
          <w:color w:val="000000"/>
          <w:sz w:val="24"/>
        </w:rPr>
        <w:t xml:space="preserve">Regla de origen (RN-T.14,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16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No existe un estado "rechazado" para el registro de autorregistro. Si un administrativo revisa un registro pendiente y determina que no corresponde a un miembro real del club, el registro simplemente se elimina -- no se conserva con una marca de rechazo.</w:t>
      </w:r>
    </w:p>
    <w:p>
      <w:pPr>
        <w:spacing w:after="160"/>
      </w:pPr>
      <w:r>
        <w:rPr>
          <w:rFonts w:ascii="Arial" w:hAnsi="Arial"/>
          <w:b/>
          <w:i w:val="0"/>
          <w:color w:val="000000"/>
          <w:sz w:val="24"/>
        </w:rPr>
        <w:t>B.5. RN-T.16 — Login público: documento + fecha de nacimiento, bloqueo tras intentos fallidos</w:t>
      </w:r>
    </w:p>
    <w:p>
      <w:pPr>
        <w:spacing w:after="160"/>
      </w:pPr>
      <w:r>
        <w:rPr>
          <w:rFonts w:ascii="Arial" w:hAnsi="Arial"/>
          <w:b/>
          <w:i w:val="0"/>
          <w:color w:val="000000"/>
          <w:sz w:val="24"/>
        </w:rPr>
        <w:t xml:space="preserve">Regla de origen (RN-T.16, Reglas de Negocio v0.7): </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El acceso del ámbito público (deportista o acudiente) se hace con el documento más la fecha de nacimiento: del deportista, o la de cualquiera de los deportistas que el acudiente representa. Una misma persona puede ser deportista y acudiente (RN-1.10): con el mismo documento se resuelve a ambos roles.</w:t>
      </w:r>
    </w:p>
    <w:p>
      <w:pPr>
        <w:spacing w:after="160"/>
      </w:pPr>
      <w:r>
        <w:rPr>
          <w:rFonts w:ascii="Arial" w:hAnsi="Arial"/>
          <w:b/>
          <w:i w:val="0"/>
          <w:color w:val="000000"/>
          <w:sz w:val="24"/>
        </w:rPr>
        <w:t>Especificación técnica</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Tras 5 intentos fallidos consecutivos para un mismo documento, el acceso queda bloqueado 15 minutos; el contador se reinicia al acertar. El mensaje de error es el mismo exista o no el documento, para no revelar qué documentos están registrados.</w:t>
      </w:r>
    </w:p>
    <w:p>
      <w:pPr>
        <w:spacing w:after="160"/>
      </w:pPr>
      <w:r>
        <w:rPr>
          <w:rFonts w:ascii="Arial" w:hAnsi="Arial"/>
          <w:b w:val="0"/>
          <w:i/>
          <w:color w:val="000000"/>
          <w:sz w:val="24"/>
        </w:rPr>
        <w:t>Nota (09/10/2026): la tabla para este contador ya existe -- intento_acceso_publico (esquema_hwanghon_v3.sql), con documento como llave primaria (sin llave foránea a propósito, para no poder deducir si un documento existe), intentos_fallidos (entero, por defecto 0) y bloqueado_hasta (fecha y hora, nulo si no está bloqueado) -- disponible para implementarse en el backend.</w:t>
      </w:r>
    </w:p>
    <w:p>
      <w:pPr>
        <w:spacing w:before="320" w:after="160"/>
      </w:pPr>
      <w:r>
        <w:rPr>
          <w:rFonts w:ascii="Arial" w:hAnsi="Arial"/>
          <w:b/>
          <w:i w:val="0"/>
          <w:color w:val="000000"/>
          <w:sz w:val="28"/>
        </w:rPr>
        <w:t>C. Reglas de autorización</w:t>
      </w:r>
    </w:p>
    <w:p>
      <w:pPr>
        <w:spacing w:after="160"/>
      </w:pPr>
      <w:r>
        <w:rPr>
          <w:rFonts w:ascii="Arial" w:hAnsi="Arial"/>
          <w:b w:val="0"/>
          <w:i/>
          <w:color w:val="000000"/>
          <w:sz w:val="22"/>
        </w:rPr>
        <w:t>Quién puede ver o editar qué. Cada regla necesita traducirse en un chequeo de permisos concreto en el backend (por rol/vista, no por módulo).</w:t>
      </w:r>
    </w:p>
    <w:p>
      <w:pPr>
        <w:spacing w:before="200" w:after="60"/>
      </w:pPr>
      <w:r>
        <w:rPr>
          <w:rFonts w:ascii="Arial" w:hAnsi="Arial"/>
          <w:b/>
          <w:i w:val="0"/>
          <w:color w:val="000000"/>
          <w:sz w:val="24"/>
        </w:rPr>
        <w:t>C.1. RN-1.4 / RN-T.3 — Vista pública: solo edita peso y discapacidad/condición de salud</w:t>
      </w:r>
    </w:p>
    <w:p>
      <w:pPr>
        <w:spacing w:after="80"/>
      </w:pPr>
      <w:r>
        <w:rPr>
          <w:rFonts w:ascii="Arial" w:hAnsi="Arial"/>
          <w:b/>
          <w:i w:val="0"/>
          <w:color w:val="000000"/>
          <w:sz w:val="24"/>
        </w:rPr>
        <w:t xml:space="preserve">Regla de origen (RN-1.4,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administrativa puede editar cualquier dato del deportista. La vista pública (el propio deportista, si es mayor de edad, o su acudiente/representante, si es menor) solo puede editar dos campos: peso y discapacidad / condición de salud.</w:t>
      </w:r>
    </w:p>
    <w:p>
      <w:pPr>
        <w:spacing w:after="80"/>
      </w:pPr>
      <w:r>
        <w:rPr>
          <w:rFonts w:ascii="Arial" w:hAnsi="Arial"/>
          <w:b/>
          <w:i w:val="0"/>
          <w:color w:val="000000"/>
          <w:sz w:val="24"/>
        </w:rPr>
        <w:t xml:space="preserve">Regla de origen (RN-T.3,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deportista (si es mayor de edad) o su representante legal/acudiente (si es menor) accede a su propia información: formulario de registro para nuevos ingresos, estado de mensualidad y matrícula, alerta de vencimiento, y edición de peso y discapacidad/condición de salud.</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no requiere una decisión técnica adicional, se traduce directo a una validación de vista/rol en el backend (vista administrativa: acceso total; vista pública: solo edición de peso y discapacidad/condición de salud).</w:t>
      </w:r>
    </w:p>
    <w:p>
      <w:pPr>
        <w:spacing w:before="200" w:after="60"/>
      </w:pPr>
      <w:r>
        <w:rPr>
          <w:rFonts w:ascii="Arial" w:hAnsi="Arial"/>
          <w:b/>
          <w:i w:val="0"/>
          <w:color w:val="000000"/>
          <w:sz w:val="24"/>
        </w:rPr>
        <w:t>C.2. RN-T.2 — Vista administrativa unificada, sin permisos granulares</w:t>
      </w:r>
    </w:p>
    <w:p>
      <w:pPr>
        <w:spacing w:after="80"/>
      </w:pPr>
      <w:r>
        <w:rPr>
          <w:rFonts w:ascii="Arial" w:hAnsi="Arial"/>
          <w:b/>
          <w:i w:val="0"/>
          <w:color w:val="000000"/>
          <w:sz w:val="24"/>
        </w:rPr>
        <w:t xml:space="preserve">Regla de origen (RN-T.2,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chequeo de permisos se reduce a identificar quién inició sesión, sin restricción técnica adicional por módulo -- no se construye una capa de permisos granular por rol.</w:t>
      </w:r>
    </w:p>
    <w:p>
      <w:pPr>
        <w:spacing w:before="200" w:after="60"/>
      </w:pPr>
      <w:r>
        <w:rPr>
          <w:rFonts w:ascii="Arial" w:hAnsi="Arial"/>
          <w:b/>
          <w:i w:val="0"/>
          <w:color w:val="000000"/>
          <w:sz w:val="24"/>
        </w:rPr>
        <w:t>C.3. RN-T.10 / RN-T.11 — Solo Aldrin gestiona cuentas administrativas</w:t>
      </w:r>
    </w:p>
    <w:p>
      <w:pPr>
        <w:spacing w:after="80"/>
      </w:pPr>
      <w:r>
        <w:rPr>
          <w:rFonts w:ascii="Arial" w:hAnsi="Arial"/>
          <w:b/>
          <w:i w:val="0"/>
          <w:color w:val="000000"/>
          <w:sz w:val="24"/>
        </w:rPr>
        <w:t xml:space="preserve">Regla de origen (RN-T.10,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80"/>
      </w:pPr>
      <w:r>
        <w:rPr>
          <w:rFonts w:ascii="Arial" w:hAnsi="Arial"/>
          <w:b/>
          <w:i w:val="0"/>
          <w:color w:val="000000"/>
          <w:sz w:val="24"/>
        </w:rPr>
        <w:t xml:space="preserve">Regla de origen (RN-T.11,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Aldrin, como administrador principal, es el único con capacidad de gestionar las cuentas del equipo administrativo: alta, edición y baja.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solo Aldrin tiene acceso a las operaciones de alta, edición y baja de cuentas administrativas; el resto del equipo administrativo mantiene el acceso unificado ya descrito en RN-T.2 (C.2).</w:t>
      </w:r>
    </w:p>
    <w:p>
      <w:pPr>
        <w:spacing w:before="200" w:after="60"/>
      </w:pPr>
      <w:r>
        <w:rPr>
          <w:rFonts w:ascii="Arial" w:hAnsi="Arial"/>
          <w:b/>
          <w:i w:val="0"/>
          <w:color w:val="000000"/>
          <w:sz w:val="24"/>
        </w:rPr>
        <w:t>C.4. RN-6.3 — Documentos: administrativo sin restricción, deportista/tutor solo durante la ventana de autorregistro</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El deportista/tutor solo puede cargar o modificar sus documentos durante la ventana de autorregistro inicial (ver RN-T.14).</w:t>
      </w:r>
    </w:p>
    <w:p>
      <w:pPr>
        <w:spacing w:after="160"/>
      </w:pPr>
      <w:r>
        <w:rPr>
          <w:rFonts w:ascii="Arial" w:hAnsi="Arial"/>
          <w:b w:val="0"/>
          <w:i w:val="0"/>
          <w:color w:val="000000"/>
          <w:sz w:val="24"/>
        </w:rPr>
        <w:t>Esta misma regla ya aparece en la sección B (B.2) desde el ángulo de máquina de estados; aquí se cita desde el ángulo de autorización -- ambas comparten una sola especificación técnica, no dos.</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 regla citada arriba: personal administrativo sin restricción; deportista/tutor solo durante la ventana de autorregistro, cuya mecánica exacta (bloqueo campo por campo) ya se define en B.2.</w:t>
      </w:r>
    </w:p>
    <w:p>
      <w:pPr>
        <w:spacing w:before="320" w:after="160"/>
      </w:pPr>
      <w:r>
        <w:rPr>
          <w:rFonts w:ascii="Arial" w:hAnsi="Arial"/>
          <w:b/>
          <w:i w:val="0"/>
          <w:color w:val="000000"/>
          <w:sz w:val="28"/>
        </w:rPr>
        <w:t>D. Procesos de importación</w:t>
      </w:r>
    </w:p>
    <w:p>
      <w:pPr>
        <w:spacing w:after="160"/>
      </w:pPr>
      <w:r>
        <w:rPr>
          <w:rFonts w:ascii="Arial" w:hAnsi="Arial"/>
          <w:b w:val="0"/>
          <w:i/>
          <w:color w:val="000000"/>
          <w:sz w:val="22"/>
        </w:rPr>
        <w:t>Carga masiva vía Excel/CSV. Ambas reglas comparten el mismo mecanismo -- el mismo patrón de plantilla Excel exportada a CSV -- así que comparten una sola especificación técnica en vez de dos.</w:t>
      </w:r>
    </w:p>
    <w:p>
      <w:pPr>
        <w:spacing w:before="200" w:after="60"/>
      </w:pPr>
      <w:r>
        <w:rPr>
          <w:rFonts w:ascii="Arial" w:hAnsi="Arial"/>
          <w:b/>
          <w:i w:val="0"/>
          <w:color w:val="000000"/>
          <w:sz w:val="24"/>
        </w:rPr>
        <w:t>D.1. RN-1.7 — Carga masiva de deportistas</w:t>
      </w:r>
    </w:p>
    <w:p>
      <w:pPr>
        <w:spacing w:after="80"/>
      </w:pPr>
      <w:r>
        <w:rPr>
          <w:rFonts w:ascii="Arial" w:hAnsi="Arial"/>
          <w:b/>
          <w:i w:val="0"/>
          <w:color w:val="000000"/>
          <w:sz w:val="24"/>
        </w:rPr>
        <w:t xml:space="preserve">Regla de origen (RN-1.7,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w:t>
      </w:r>
    </w:p>
    <w:p>
      <w:pPr>
        <w:spacing w:before="200" w:after="60"/>
      </w:pPr>
      <w:r>
        <w:rPr>
          <w:rFonts w:ascii="Arial" w:hAnsi="Arial"/>
          <w:b/>
          <w:i w:val="0"/>
          <w:color w:val="000000"/>
          <w:sz w:val="24"/>
        </w:rPr>
        <w:t>D.2. RN-9.6 — Carga anual vía plantilla</w:t>
      </w:r>
    </w:p>
    <w:p>
      <w:pPr>
        <w:spacing w:after="80"/>
      </w:pPr>
      <w:r>
        <w:rPr>
          <w:rFonts w:ascii="Arial" w:hAnsi="Arial"/>
          <w:b/>
          <w:i w:val="0"/>
          <w:color w:val="000000"/>
          <w:sz w:val="24"/>
        </w:rPr>
        <w:t xml:space="preserve">Regla de origen (RN-9.6,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hAnsi="Arial"/>
          <w:b w:val="0"/>
          <w:i w:val="0"/>
          <w:color w:val="000000"/>
          <w:sz w:val="24"/>
        </w:rPr>
        <w:t>RN-1.7 y RN-9.6 comparten el mismo mecanismo de importación (plantilla Excel → CSV → carga en bloque); la especificación técnica se define una sola vez para ambas -- formato exacto de columnas, validaciones de fila y manejo de errores de importación.</w:t>
      </w:r>
    </w:p>
    <w:p>
      <w:pPr>
        <w:spacing w:after="80"/>
      </w:pPr>
      <w:r>
        <w:rPr>
          <w:rFonts w:ascii="Arial" w:hAnsi="Arial"/>
          <w:b/>
          <w:i w:val="0"/>
          <w:color w:val="000000"/>
          <w:sz w:val="24"/>
        </w:rPr>
        <w:t xml:space="preserve">Regla de origen (RN-1.9,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160"/>
      </w:pPr>
      <w:r>
        <w:rPr>
          <w:rFonts w:ascii="Arial" w:hAnsi="Arial"/>
          <w:b w:val="0"/>
          <w:i w:val="0"/>
          <w:color w:val="000000"/>
          <w:sz w:val="24"/>
        </w:rPr>
        <w:t>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 El diseño exacto de esa pantalla de confirmación (fila por fila o en un resumen agrupado) es un detalle de la etapa de diseño de frontend, no una decisión de lógica de negocio.</w:t>
      </w:r>
    </w:p>
    <w:p>
      <w:pPr>
        <w:spacing w:after="80"/>
      </w:pPr>
      <w:r>
        <w:rPr>
          <w:rFonts w:ascii="Arial" w:hAnsi="Arial"/>
          <w:b/>
          <w:i w:val="0"/>
          <w:color w:val="000000"/>
          <w:sz w:val="24"/>
        </w:rPr>
        <w:t xml:space="preserve">Regla de origen (RN-1.10,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hAnsi="Arial"/>
          <w:b w:val="0"/>
          <w:i w:val="0"/>
          <w:color w:val="000000"/>
          <w:sz w:val="24"/>
        </w:rPr>
        <w:t>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spacing w:before="60" w:after="60"/>
      </w:pPr>
      <w:r>
        <w:rPr>
          <w:rFonts w:ascii="Arial" w:hAnsi="Arial"/>
          <w:b/>
          <w:i w:val="0"/>
          <w:color w:val="000000"/>
          <w:sz w:val="24"/>
        </w:rPr>
        <w:t>Especificación técnica (compartida entre D.1 y D.2)</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Validación campo por campo dentro de cada fila del CSV: los campos válidos de una fila se cargan igual; el campo que falta o está mal formado se deja vacío en ese registro -- no se rechaza la fila completa ni se cancela toda la carga. El sistema muestra un aviso (toast) indicando qué campo, y de qué registro o persona, falta o quedó inválido.</w:t>
      </w:r>
    </w:p>
    <w:p>
      <w:pPr>
        <w:spacing w:after="160"/>
      </w:pPr>
      <w:r>
        <w:rPr>
          <w:rFonts w:ascii="Arial" w:hAnsi="Arial"/>
          <w:b w:val="0"/>
          <w:i w:val="0"/>
          <w:color w:val="000000"/>
          <w:sz w:val="24"/>
        </w:rPr>
        <w:t>Cuando una fila trae un documento que ya existe en el sistema, no se rechaza ni se inserta como duplicado: se trata como una actualización del registro existente (RN-1.9), con confirmación previa del personal administrativo antes de aplicar el cambio (ver arriba). Cuando la coincidencia es por correo en vez de documento, se evalúa el contexto antes de decidir (RN-1.10): si el correo ya existe como correo propio de otro deportista adulto sin relación de tutoría, es un conflicto real y esa fila se rechaza con la misma notificación (toast) ya definida para filas incompletas; si el correo coincide porque la misma persona ya está registrada como deportista adulto y ahora aparece en el campo de tutor/representante de un menor que representa, no es un conflicto -- son dos contextos distintos y se permite.</w:t>
      </w:r>
    </w:p>
    <w:p>
      <w:pPr>
        <w:spacing w:before="320" w:after="160"/>
      </w:pPr>
      <w:r>
        <w:rPr>
          <w:rFonts w:ascii="Arial" w:hAnsi="Arial"/>
          <w:b/>
          <w:i w:val="0"/>
          <w:color w:val="000000"/>
          <w:sz w:val="28"/>
        </w:rPr>
        <w:t>E. Bloqueadas por falta de insumo</w:t>
      </w:r>
    </w:p>
    <w:p>
      <w:pPr>
        <w:spacing w:after="160"/>
      </w:pPr>
      <w:r>
        <w:rPr>
          <w:rFonts w:ascii="Arial" w:hAnsi="Arial"/>
          <w:b w:val="0"/>
          <w:i/>
          <w:color w:val="000000"/>
          <w:sz w:val="22"/>
        </w:rPr>
        <w:t>Puntos trasladados desde Reglas de Negocio v0.6 (antes citados contra v0.4, y originalmente contra v0.3; sin cambios de contenido en la regla en sí en ninguna de esas actualizaciones). Todos permanecen igual salvo E.6 y E.2: en E.6, RN-8.7 se retira porque ya se resolvió y ahora se cita en A.2 -- E.6 queda solo con RN-8.6, que sigue sin resolver; en E.2, la parte de pesos menores de 16 años de RN-3.8 se resuelve el 28/09/2026 con una tabla PROPUESTA y se traslada a A.1 (ver detalle en E.2). No llevan todavía sección de especificación técnica (salvo la excepción de E.6 ya señalada): cada uno queda marcado solo con el punto de extensión y a quién le corresponde resolverlo.</w:t>
      </w:r>
    </w:p>
    <w:p>
      <w:pPr>
        <w:spacing w:before="200" w:after="60"/>
      </w:pPr>
      <w:r>
        <w:rPr>
          <w:rFonts w:ascii="Arial" w:hAnsi="Arial"/>
          <w:b/>
          <w:i w:val="0"/>
          <w:color w:val="000000"/>
          <w:sz w:val="24"/>
        </w:rPr>
        <w:t>E.1. RN-2.5 — Tiempos mínimos de entrenamiento entre ascensos</w:t>
      </w:r>
    </w:p>
    <w:p>
      <w:pPr>
        <w:spacing w:after="80"/>
      </w:pPr>
      <w:r>
        <w:rPr>
          <w:rFonts w:ascii="Arial" w:hAnsi="Arial"/>
          <w:b/>
          <w:i w:val="0"/>
          <w:color w:val="000000"/>
          <w:sz w:val="24"/>
        </w:rPr>
        <w:t xml:space="preserve">Regla de origen (RN-2.5,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 Este dato proviene de la experiencia personal de John en el club, no de un documento oficial, por lo que debe confirmarse antes de tratarse como regla oficial.</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 y Viviana (consulta ya en curso con ambos).</w:t>
      </w:r>
    </w:p>
    <w:p>
      <w:pPr>
        <w:spacing w:before="200" w:after="60"/>
      </w:pPr>
      <w:r>
        <w:rPr>
          <w:rFonts w:ascii="Arial" w:hAnsi="Arial"/>
          <w:b/>
          <w:i w:val="0"/>
          <w:color w:val="000000"/>
          <w:sz w:val="24"/>
        </w:rPr>
        <w:t>E.2. RN-3.8 — Categorías oficiales por edad y peso — parte de pesos menores de 16 años [RESUELTO, ver A.1]</w:t>
      </w:r>
    </w:p>
    <w:p>
      <w:pPr>
        <w:spacing w:after="80"/>
      </w:pPr>
      <w:r>
        <w:rPr>
          <w:rFonts w:ascii="Arial" w:hAnsi="Arial"/>
          <w:b/>
          <w:i w:val="0"/>
          <w:color w:val="000000"/>
          <w:sz w:val="24"/>
        </w:rPr>
        <w:t xml:space="preserve">Regla de origen (RN-3.8, Reglas de Negocio v0.6): </w:t>
      </w:r>
    </w:p>
    <w:p>
      <w:pPr>
        <w:spacing w:after="80"/>
      </w:pPr>
      <w:r>
        <w:rPr>
          <w:rFonts w:ascii="Arial" w:hAnsi="Arial"/>
          <w:b w:val="0"/>
          <w:i w:val="0"/>
          <w:color w:val="000000"/>
          <w:sz w:val="24"/>
        </w:rPr>
        <w:t>Este punto se cierra el 28/09/2026: la parte de pesos por edad menores de 16 años, que aquí permanecía bloqueada, se resuelve con la tabla PROPUESTA (cálculo estimado del equipo, en pasos de 5 kg) que RN-3.8 gana en Reglas de Negocio v0.6 -- ya no depende de que Viviana la valide. La especificación técnica correspondiente se trasladó a A.1, junto con el resto del cálculo de categoría (la parte de categorías por edad de esta misma regla ya estaba CONFIRMADO desde antes y tampoco forma parte de este punto). Este punto se retira de la lista de bloqueados por falta de insumo.</w:t>
      </w:r>
    </w:p>
    <w:p>
      <w:pPr>
        <w:spacing w:before="200" w:after="60"/>
      </w:pPr>
      <w:r>
        <w:rPr>
          <w:rFonts w:ascii="Arial" w:hAnsi="Arial"/>
          <w:b/>
          <w:i w:val="0"/>
          <w:color w:val="000000"/>
          <w:sz w:val="24"/>
        </w:rPr>
        <w:t>E.3. RN-4.4 — Evaluación cualitativa periódica</w:t>
      </w:r>
    </w:p>
    <w:p>
      <w:pPr>
        <w:spacing w:after="80"/>
      </w:pPr>
      <w:r>
        <w:rPr>
          <w:rFonts w:ascii="Arial" w:hAnsi="Arial"/>
          <w:b/>
          <w:i w:val="0"/>
          <w:color w:val="000000"/>
          <w:sz w:val="24"/>
        </w:rPr>
        <w:t xml:space="preserve">Regla de origen (RN-4.4,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explora un sistema de evaluación cualitativa donde Aldrin calificaría al deportista periódicamente (por ejemplo, trimestralmente) sobre unas "preguntas base" con una escala (1 a 5, o 1 a 10), graficadas en el tiempo para visualizar mejora o desmejora. Las preguntas o criterios base son subjetivos y propios del club: deben salir de Aldrin, no se inventan.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E.4. RN-5.1 / RN-5.3 — Plantilla oficial de examen de ascenso</w:t>
      </w:r>
    </w:p>
    <w:p>
      <w:pPr>
        <w:spacing w:after="80"/>
      </w:pPr>
      <w:r>
        <w:rPr>
          <w:rFonts w:ascii="Arial" w:hAnsi="Arial"/>
          <w:b/>
          <w:i w:val="0"/>
          <w:color w:val="000000"/>
          <w:sz w:val="24"/>
        </w:rPr>
        <w:t xml:space="preserve">Regla de origen (RN-5.1,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En cuanto Aldrin envíe la plantilla oficial de examen de ascenso, se hace una transcripción literal de sus campos al sistema: fecha, grado evaluado, resultado, criterios evaluados, puntajes, aspectos fallidos, observaciones, recomendaciones, aprobado sí/no. No se inventa una estructura propia más allá de estos campos.</w:t>
      </w:r>
    </w:p>
    <w:p>
      <w:pPr>
        <w:spacing w:after="80"/>
      </w:pPr>
      <w:r>
        <w:rPr>
          <w:rFonts w:ascii="Arial" w:hAnsi="Arial"/>
          <w:b/>
          <w:i w:val="0"/>
          <w:color w:val="000000"/>
          <w:sz w:val="24"/>
        </w:rPr>
        <w:t xml:space="preserve">Regla de origen (RN-5.3,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160"/>
      </w:pPr>
      <w:r>
        <w:rPr>
          <w:rFonts w:ascii="Arial" w:hAnsi="Arial"/>
          <w:b w:val="0"/>
          <w:i w:val="0"/>
          <w:color w:val="000000"/>
          <w:sz w:val="24"/>
        </w:rPr>
        <w:t>La plantilla oficial de evaluación de examen de ascenso, con sus criterios y puntajes definitivos por grado, aún no ha sido entregada por Aldrin.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E.5. RN-6.5 — Consentimientos específicos</w:t>
      </w:r>
    </w:p>
    <w:p>
      <w:pPr>
        <w:spacing w:after="80"/>
      </w:pPr>
      <w:r>
        <w:rPr>
          <w:rFonts w:ascii="Arial" w:hAnsi="Arial"/>
          <w:b/>
          <w:i w:val="0"/>
          <w:color w:val="000000"/>
          <w:sz w:val="24"/>
        </w:rPr>
        <w:t xml:space="preserve">Regla de origen (RN-6.5,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E.6. RN-8.6 — Reglas de mora</w:t>
      </w:r>
    </w:p>
    <w:p>
      <w:pPr>
        <w:spacing w:after="80"/>
      </w:pPr>
      <w:r>
        <w:rPr>
          <w:rFonts w:ascii="Arial" w:hAnsi="Arial"/>
          <w:b/>
          <w:i w:val="0"/>
          <w:color w:val="000000"/>
          <w:sz w:val="24"/>
        </w:rPr>
        <w:t xml:space="preserve">Regla de origen (RN-8.6,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Por defecto, el sistema solo mostraría una advertencia/alerta ante mora, nunca un bloqueo automático del deportista.</w:t>
      </w:r>
    </w:p>
    <w:p>
      <w:pPr>
        <w:spacing w:after="80"/>
      </w:pPr>
      <w:r>
        <w:rPr>
          <w:rFonts w:ascii="Arial" w:hAnsi="Arial"/>
          <w:b/>
          <w:i w:val="0"/>
          <w:color w:val="000000"/>
          <w:sz w:val="24"/>
        </w:rPr>
        <w:t xml:space="preserve">Punto de extensión: </w:t>
      </w:r>
      <w:r>
        <w:rPr>
          <w:rFonts w:ascii="Arial" w:hAnsi="Arial"/>
          <w:b w:val="0"/>
          <w:i w:val="0"/>
          <w:color w:val="000000"/>
          <w:sz w:val="24"/>
        </w:rPr>
        <w:t>pendiente de decisión propia (John) -- funcionalidad a definir y construir al final del proyecto, no prioritaria ahora (agrupada con RN-4.4 en Reglas de Negocio v0.6). RN-8.7, que antes vivía en este mismo punto, ya se resolvió -- ver A.2.</w:t>
      </w:r>
    </w:p>
    <w:p>
      <w:pPr>
        <w:spacing w:before="320" w:after="160"/>
      </w:pPr>
      <w:r>
        <w:rPr>
          <w:rFonts w:ascii="Arial" w:hAnsi="Arial"/>
          <w:b/>
          <w:i w:val="0"/>
          <w:color w:val="000000"/>
          <w:sz w:val="28"/>
        </w:rPr>
        <w:t>Cierre</w:t>
      </w:r>
    </w:p>
    <w:p>
      <w:pPr>
        <w:spacing w:after="80"/>
      </w:pPr>
      <w:r>
        <w:rPr>
          <w:rFonts w:ascii="Arial" w:hAnsi="Arial"/>
          <w:b w:val="0"/>
          <w:i w:val="0"/>
          <w:color w:val="000000"/>
          <w:sz w:val="24"/>
        </w:rPr>
        <w:t>Con esta versión (v0.4), las cuatro secciones (A a D) quedan completamente cerradas: cada punto tiene su especificación técnica definida, a partir de Reglas de Negocio v0.6. Ya no queda ningún [PENDIENTE DE ESPECIFICAR] en las secciones A-D.</w:t>
      </w:r>
    </w:p>
    <w:p>
      <w:pPr>
        <w:spacing w:after="160"/>
      </w:pPr>
      <w:r>
        <w:rPr>
          <w:rFonts w:ascii="Arial" w:hAnsi="Arial"/>
          <w:b w:val="0"/>
          <w:i w:val="0"/>
          <w:color w:val="000000"/>
          <w:sz w:val="24"/>
        </w:rPr>
        <w:t>La sección E se traslada desde Reglas de Negocio v0.6 sin cambios de contenido en las reglas en sí, salvo E.6 y E.2: en E.6, RN-8.7 se retira porque ya se resolvió (ver A.2) y esa entrada queda solo con RN-8.6, todavía sin resolver; E.2 se resuelve el 28/09/2026 y su especificación técnica se traslada a A.1 (ver detalle en E.2). El resto de la sección E (E.1, E.3-E.6) sigue bloqueada por falta del mismo insumo (Aldrin o Viviana) descrito en cada regla, y se cierra solo cuando Reglas de Negocio también se actualice con la confirmación correspondiente.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Especificación de Lógica de Negocio 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