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0.8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28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160"/>
      </w:pPr>
      <w:r>
        <w:rPr>
          <w:rFonts w:ascii="Arial" w:cs="Arial" w:eastAsia="Arial" w:hAnsi="Arial"/>
          <w:b w:val="0"/>
          <w:i w:val="0"/>
          <w:color w:val="000000"/>
          <w:sz w:val="24"/>
          <w:szCs w:val="24"/>
        </w:rPr>
        <w:t>Precisión (09/10/2026): la sección de datos personales incluye además el campo sexo (masculino/femenino), agregado después de la revisión original del 18/09/2026 -- ver RN-1.6 para su justificación (categoría por peso y armado de competencias, RN-3.8).</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160"/>
      </w:pPr>
      <w:r>
        <w:rPr>
          <w:rFonts w:ascii="Arial" w:cs="Arial" w:eastAsia="Arial" w:hAnsi="Arial"/>
          <w:b w:val="0"/>
          <w:i w:val="0"/>
          <w:color w:val="000000"/>
          <w:sz w:val="24"/>
          <w:szCs w:val="24"/>
        </w:rPr>
        <w:t>Precisión (09/10/2026): esto no incluye el campo sexo (masculino/femenino), que sí se agrega al registro del deportista -- no es el campo género de la plantilla IMRDS (ese sigue excluido, igual que grupo étnico y víctima de conflicto armado): es un dato necesario para calcular la categoría por peso (RN-3.8) y armar las competencias por categoría.</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 xml:space="preserve">RN-1.10. Correo compartido entre un deportista adulto y su rol de tutor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cs="Arial" w:eastAsia="Arial" w:hAnsi="Arial"/>
          <w:color w:val="000000"/>
          <w:sz w:val="24"/>
          <w:szCs w:val="24"/>
        </w:rPr>
        <w:t xml:space="preserve">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 xml:space="preserve">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[PROPUESTA] </w:t>
      </w:r>
      <w:r>
        <w:rPr>
          <w:rFonts w:ascii="Arial" w:hAnsi="Arial"/>
          <w:b w:val="0"/>
          <w:i w:val="0"/>
          <w:color w:val="000000"/>
          <w:sz w:val="24"/>
        </w:rPr>
        <w:t>Categorías de peso por edad, para Infantil y Junior (categorías sin tabla oficial): cálculo estimado propuesto por John el 28/09/2026, en pasos de 5 kg, sin diferenciar por sexo en Infantil — a diferencia de la tabla oficial de Mayores (16 años en adelante), que sí diferencia por sexo desde su primer peso mínimo (55 kg masculino, 50 kg femenino). Infantil (8 a 11 años), unisex: menos de 20 kg, menos de 25 kg, menos de 30 kg, menos de 35 kg. Junior (12 a 14 años): desde menos de 35 kg (heredado de Infantil) se empieza a diferenciar por sexo, empalmando cada uno con el arranque de su propia tabla de Mayores — femenino: menos de 40 kg; masculino: menos de 40 kg, menos de 45 kg, menos de 50 kg.</w:t>
      </w:r>
    </w:p>
    <w:p>
      <w:pPr>
        <w:spacing w:after="80"/>
      </w:pPr>
      <w:r>
        <w:rPr>
          <w:rFonts w:ascii="Arial" w:hAnsi="Arial"/>
          <w:b w:val="0"/>
          <w:i w:val="0"/>
          <w:color w:val="000000"/>
          <w:sz w:val="24"/>
        </w:rPr>
        <w:t>Es un dato provisional y reemplazable: no proviene de una fuente oficial ni de Viviana, es un cálculo propio del equipo de desarrollo para dejar el sistema completo mientras no haya una tabla oficial para estas edades. Si en el futuro se entrega la tabla real, esta se reemplaza directamente. El tramo de 15 años (dentro de Juvenil) no queda cubierto ni por esta propuesta ni por la tabla oficial de Mayores (que aplica desde los 16 años) — queda como un vacío pendiente, no resuelto por esta regla.</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(deportista o acudiente) se hace con el documento más la fecha de nacimiento: del deportista, o la de cualquiera de los deportistas que el acudiente representa.</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val="0"/>
          <w:color w:val="000000"/>
          <w:sz w:val="24"/>
        </w:rPr>
        <w:t>Una misma persona puede ser deportista y acudiente (RN-1.10): con el mismo documento se resuelve a ambos roles.</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