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0.1.6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25 de septiembre de 2026</w:t>
      </w:r>
    </w:p>
    <w:p>
      <w:pPr>
        <w:spacing w:after="60"/>
        <w:jc w:val="center"/>
      </w:pPr>
      <w:r>
        <w:rPr>
          <w:rFonts w:ascii="Arial" w:cs="Arial" w:eastAsia="Arial" w:hAnsi="Arial"/>
          <w:b w:val="false"/>
          <w:bCs w:val="false"/>
          <w:i/>
          <w:iCs/>
          <w:color w:val="000000"/>
          <w:sz w:val="18"/>
          <w:szCs w:val="18"/>
        </w:rPr>
        <w:t xml:space="preserve">Basado en el Documento Maestro v0.2.2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pacing w:after="0"/>
      </w:pPr>
      <w:r>
        <w:rPr>
          <w:rFonts w:ascii="Arial" w:hAnsi="Arial"/>
          <w:b w:val="0"/>
          <w:i/>
          <w:color w:val="000000"/>
          <w:sz w:val="16"/>
        </w:rPr>
        <w:t>v0.1.5 (28/09/2026): sección 10 (Casos de uso y flujos alternativos) ampliada con la lógica ya definida en Especificación de Lógica de Negocio v0.4 y Reglas de Negocio v0.6. Login y creación de cuentas gana la vigencia exacta del token de recuperación (1 hora, RN-T.12) y precisa que el autorregistro no tiene estado "rechazado" -- un registro descartado se elimina, no se marca (RN-T.14). Módulo 1 corrige "validación fila por fila" por el mecanismo real, campo por campo (RN-1.7/RN-9.6), y agrega el comportamiento de actualización de deportistas ya registrados con confirmación previa (RN-1.9) y el manejo de correo compartido entre un deportista adulto y su rol de tutor frente a un conflicto real entre dos adultos (RN-1.10). Módulo 5 agrega el mensaje de advertencia por inasistencia al crear una sesión de examen (RN-5.2) y la confirmación manual de entrega física del cinturón, independiente de la aprobación académica (RN-5.7). Módulo 8 agrega la alerta automática de mensualidad vencida desde el primer mes (RN-8.3). Fuentes: Reglas de Negocio v0.1 y Documento Maestro v0.2.1 para el resto de la sección 10, sin cambios.</w:t>
      </w:r>
    </w:p>
    <w:p>
      <w:pPr>
        <w:spacing w:after="0"/>
      </w:pPr>
      <w:r>
        <w:rPr>
          <w:rFonts w:ascii="Arial" w:hAnsi="Arial"/>
          <w:b w:val="0"/>
          <w:i w:val="0"/>
          <w:color w:val="000000"/>
          <w:sz w:val="16"/>
        </w:rPr>
        <w:t>v0.1.6 (09/10/2026): decisión final de John sobre el ámbito público -- una sola cuenta por deportista, sin distinción por edad; el acudiente no tiene login propio (ver Reglas de Negocio v0.9). Sección 8: "Vista pública (deportista / acudiente)" pasa a "Vista pública (deportista)" (también en la tabla resumen de la sección 9). Sección 10: se retira "el ingreso es por documento de identidad, sin contraseña" (ya estaba desactualizada) y se agrega [AMPLIADO] con el mecanismo real de RN-T.16 (documento + fecha de nacimiento del deportista, bloqueo de 5 intentos/15 minutos). Sección 13: se agrega la columna sexo a la tabla deportista y la entidad nueva intento_acceso_publico, verificadas directamente contra esquema_hwanghon_v3.sql. Módulo 1 sin cambio.</w:t>
      </w:r>
    </w:p>
    <w:p>
      <w:pPr>
        <w:sectPr>
          <w:headerReference w:type="default" r:id="rId22"/>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Vista pública (deportista)</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0" w:after="160"/>
      </w:pPr>
      <w:r>
        <w:rPr>
          <w:rFonts w:ascii="Arial" w:hAnsi="Arial"/>
          <w:b w:val="0"/>
          <w:i w:val="0"/>
          <w:color w:val="000000"/>
          <w:sz w:val="24"/>
        </w:rPr>
        <w:t>Ampliación (28/09/2026): en Login y creación de cuentas, Módulo 1, Módulo 5 y Módulo 8 se incorporan puntos de la lógica ya definida en Especificación de Lógica de Negocio v0.4 y Reglas de Negocio v0.6 -- marcados con la etiqueta [AMPLIADO — 28/09/2026] en cada subsección -- sin alterar el resto de la sección, que conserva su redacción original del 22/09/2026.</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w:t>
      </w:r>
    </w:p>
    <w:p>
      <w:pPr>
        <w:spacing w:before="0" w:after="160"/>
      </w:pPr>
      <w:r>
        <w:rPr>
          <w:rFonts w:ascii="Arial" w:hAnsi="Arial"/>
          <w:b w:val="0"/>
          <w:i w:val="0"/>
          <w:color w:val="000000"/>
          <w:sz w:val="24"/>
        </w:rPr>
        <w:t>[AMPLIADO — 09/10/2026, Reglas de Negocio v0.9, RN-T.16] El ingreso a la vista pública es con documento de identidad y fecha de nacimiento del deportista -- una sola cuenta por deportista, sin distinción por edad; el acudiente no tiene login propio (ver sección 8). Tras 5 intentos fallidos consecutivos para un mismo documento, el acceso queda bloqueado 15 minutos; el contador se reinicia al acertar. El mensaje de error es el mismo exista o no el documento, para no revelar qué documentos están registrados.</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dos campos editables de cualquier cuenta pública: peso y discapacidad. El administrativo cuenta con una lista de registros pendientes de validación para revisar y aprobar.</w:t>
      </w:r>
    </w:p>
    <w:p>
      <w:pPr>
        <w:spacing w:before="0" w:after="160"/>
      </w:pPr>
      <w:r>
        <w:rPr>
          <w:rFonts w:ascii="Arial" w:hAnsi="Arial"/>
          <w:b w:val="0"/>
          <w:i w:val="0"/>
          <w:color w:val="000000"/>
          <w:sz w:val="24"/>
        </w:rPr>
        <w:t>[CONFIRMADO — decisiones de autenticación cerradas después de v0.2.1, no incorporadas hasta ahora en ningún documento] Las cuentas administrativas son individuales por persona, no una credencial genérica compartida entre el equipo. Aldrin, como administrador principal, es el único con capacidad de gestionar las cuentas del equipo administrativo (crear, editar, desactivar); esto no altera la vista administrativa unificada sin permisos granulares ya confirmada (ver sección 8): todas las cuentas siguen viendo y editando lo mismo, la gestión de cuentas es la única función exclusiva de Aldrin. La recuperación de contraseña se hace por un enlace enviado al correo, con un token de un solo uso y tiempo límite de vigencia de 1 hora (RN-T.12, Especificación de Lógica de Negocio v0.4).</w:t>
      </w:r>
    </w:p>
    <w:p>
      <w:pPr>
        <w:spacing w:before="0" w:after="160"/>
      </w:pPr>
      <w:r>
        <w:rPr>
          <w:rFonts w:ascii="Arial" w:hAnsi="Arial"/>
          <w:b w:val="0"/>
          <w:i w:val="0"/>
          <w:color w:val="000000"/>
          <w:sz w:val="24"/>
        </w:rPr>
        <w:t>[AMPLIADO — 28/09/2026, Especificación de Lógica de Negocio v0.4, RN-T.14] El registro de autorregistro no tiene un estado "rechazado": si el administrativo revisa un registro pendiente y determina que no corresponde a un miembro real del club, simplemente lo elimina de la lista -- no queda una marca de rechazo conservada en el sistema.</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y carga masiva por Excel/CSV con validación campo por campo dentro de cada fila (requiere JavaScript asíncrono; mismo mecanismo confirmado para el calendario, módulo 9): el campo que falta o está mal formado se deja vacío en ese registro en vez de rechazar la fila completa, con un aviso (toast) indicando qué campo y de qué persona. El selector de archivo es único, pero filtra el tipo de archivo permitido según el contexto desde el que se abre: en carga masiva solo permite CSV/Excel; en documentos de un deportista ya seleccionado, solo permite Word/PDF, y ahí sí se permite seleccionar varios archivos a la vez. Desde la ficha del deportista hay enlaces directos hacia su historial y sus estadísticas.</w:t>
      </w:r>
    </w:p>
    <w:p>
      <w:pPr>
        <w:spacing w:before="0" w:after="160"/>
      </w:pPr>
      <w:r>
        <w:rPr>
          <w:rFonts w:ascii="Arial" w:hAnsi="Arial"/>
          <w:b w:val="0"/>
          <w:i w:val="0"/>
          <w:color w:val="000000"/>
          <w:sz w:val="24"/>
        </w:rPr>
        <w:t>[AMPLIADO — 28/09/2026, Especificación de Lógica de Negocio v0.4, RN-1.9] Recargar el mismo archivo de carga masiva también actualiza deportistas ya registrados, no solo da de alta nuevos: el sistema identifica una fila existente por coincidencia de documento y, antes de guardar, muestra una pantalla de confirmación con los campos que cambiarían (valor actual frente al del archivo) para que el personal administrativo decida aplicar o descartar cada actualización.</w:t>
      </w:r>
    </w:p>
    <w:p>
      <w:pPr>
        <w:spacing w:before="0" w:after="160"/>
      </w:pPr>
      <w:r>
        <w:rPr>
          <w:rFonts w:ascii="Arial" w:hAnsi="Arial"/>
          <w:b w:val="0"/>
          <w:i w:val="0"/>
          <w:color w:val="000000"/>
          <w:sz w:val="24"/>
        </w:rPr>
        <w:t>[AMPLIADO — 28/09/2026, Especificación de Lógica de Negocio v0.4, RN-1.10] Un correo repetido en la carga masiva no se rechaza automáticamente: si coincide porque la misma persona ya es deportista adulto en un registro y aparece como tutor/representante de un menor en otro, se permite -- son dos contextos distintos. Si el mismo correo aparece como correo propio de dos deportistas adultos sin relación de tutoría entre ellos, sí es un conflicto real y esa fila se rechaza con el mismo aviso (toast) usado para filas incompletas.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[CONFIRMADO — decisión de John, 22/09/2026] Cuatro accesos desde la ficha del deportista: competencias, ascensos, asistencias, y estadísticas y rendimiento.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(ver también sección 9): el segundo deportista se carga de forma asíncrona en la columna derecha, sin recargar la página ni perder la vista del primero. El enlace "Comparar con otro deportista" se ubica en el header, junto al logo y el título del panel. El historial completo del deportista sigue siendo accesible también en modo comparación.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entre otras) en una matriz con estado pendiente/completado, independiente por deportista y por modalidad, con guardado en tiempo real (asíncrono).</w:t>
      </w:r>
    </w:p>
    <w:p>
      <w:pPr>
        <w:spacing w:before="0" w:after="160"/>
      </w:pPr>
      <w:r>
        <w:rPr>
          <w:rFonts w:ascii="Arial" w:hAnsi="Arial"/>
          <w:b w:val="0"/>
          <w:i w:val="0"/>
          <w:color w:val="000000"/>
          <w:sz w:val="24"/>
        </w:rPr>
        <w:t>[AMPLIADO — 28/09/2026, Especificación de Lógica de Negocio v0.4, RN-5.2] Al seleccionar participantes, el sistema muestra un mensaje recomendando no presentar el examen a quien supere el umbral de inasistencia del ciclo (más de 30% para 5-16 años, más de 40% para 17+) -- es una recomendación visible, no un bloqueo automático que impida seleccionarlo.</w:t>
      </w:r>
    </w:p>
    <w:p>
      <w:pPr>
        <w:spacing w:before="0" w:after="160"/>
      </w:pPr>
      <w:r>
        <w:rPr>
          <w:rFonts w:ascii="Arial" w:hAnsi="Arial"/>
          <w:b w:val="0"/>
          <w:i w:val="0"/>
          <w:color w:val="000000"/>
          <w:sz w:val="24"/>
        </w:rPr>
        <w:t>[AMPLIADO — 28/09/2026, Especificación de Lógica de Negocio v0.4, RN-5.7] La actualización del grado del deportista requiere una segunda confirmación manual, independiente de los resultados de la sesión: un campo/checkbox donde el personal administrativo marca que el cinturón correspondiente ya fue entregado físicamente. El grado del deportista solo se actualiza cuando ambas condiciones -- aprobación académica y entrega física -- están confirmadas.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w:t>
      </w:r>
    </w:p>
    <w:p>
      <w:pPr>
        <w:spacing w:before="0" w:after="160"/>
      </w:pPr>
      <w:r>
        <w:rPr>
          <w:rFonts w:ascii="Arial" w:hAnsi="Arial"/>
          <w:b w:val="0"/>
          <w:i w:val="0"/>
          <w:color w:val="000000"/>
          <w:sz w:val="24"/>
        </w:rPr>
        <w:t>[AMPLIADO — 28/09/2026, Especificación de Lógica de Negocio v0.4, RN-8.3] La alerta de mensualidad vencida se dispara automáticamente desde el primer mes sin pagar (no espera a que se acumulen dos meses), comparando el estado de mensualidad contra la asistencia del deportista -- se muestra como "mensualidad no pagada, deuda de X mes(es)", sin mostrar el valor monetario adeudado.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más la posibilidad de agregar eventos manuales sin recargar la página (asíncrono). La vista pública del calendario se limita a competencias, evaluaciones y eventos extra: no incluye reuniones administrativas.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Vista pública (deportista).</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base_datos/esquema_hwanghon_v1.sql (11 tablas, InnoDB, utf8mb4 -- 12 documentadas más abajo tras agregar intento_acceso_publico, ver Nota al final de esta sección), que traduce el Modelo Relacional v1 (diagramas/mmd/14_modelo_relacional_v1.mmd/.png) a nombres definitivos de tabla/columna, tipos de dato MySQL 8, nulidad y llaves primarias/foráneas con su comportamiento ON DELETE/ON UPDATE. El diccionario de datos completo, tabla por tabla, está más abajo. El Modelo Entidad-Relación (MER) v1 (diagramas/mmd/13_mer_v1.mmd, diagramas/png/13_mer_v1.png) se conserva como referencia conceptual (Figura 13.1); el preliminar del 22/09/2026 sigue como histórico.</w:t>
      </w:r>
    </w:p>
    <w:p>
      <w:pPr>
        <w:spacing w:before="140" w:after="80"/>
      </w:pPr>
      <w:r>
        <w:rPr>
          <w:rFonts w:ascii="Arial" w:hAnsi="Arial"/>
          <w:b/>
          <w:i w:val="0"/>
          <w:color w:val="000000"/>
          <w:sz w:val="24"/>
        </w:rPr>
        <w:t>Cambios frente al preliminar</w:t>
      </w:r>
    </w:p>
    <w:p>
      <w:pPr>
        <w:spacing w:before="0" w:after="160"/>
      </w:pPr>
      <w:r>
        <w:rPr>
          <w:rFonts w:ascii="Arial" w:hAnsi="Arial"/>
          <w:b w:val="0"/>
          <w:i w:val="0"/>
          <w:color w:val="000000"/>
          <w:sz w:val="24"/>
        </w:rPr>
        <w:t>El preliminar (22/09/2026, 11 entidades más la leyenda) se corrigió el 23/09/2026 (el atributo modalidad se trasladó de Competencia a Participación en Competencia, RN-3.1). La versión 1 (vigente, 23/09/2026) agrega cuatro cambios adicionales:</w:t>
      </w:r>
    </w:p>
    <w:p>
      <w:pPr>
        <w:spacing w:before="0" w:after="160"/>
      </w:pPr>
      <w:r>
        <w:rPr>
          <w:rFonts w:ascii="Arial" w:hAnsi="Arial"/>
          <w:b w:val="0"/>
          <w:i w:val="0"/>
          <w:color w:val="000000"/>
          <w:sz w:val="24"/>
        </w:rPr>
        <w:t>1. Campo nuevo estado_animico en Deportista (RN-2.4): estructura confirmada en base de datos, reserva a futuro, no visible todavía en la interfaz.</w:t>
      </w:r>
    </w:p>
    <w:p>
      <w:pPr>
        <w:spacing w:before="0" w:after="160"/>
      </w:pPr>
      <w:r>
        <w:rPr>
          <w:rFonts w:ascii="Arial" w:hAnsi="Arial"/>
          <w:b w:val="0"/>
          <w:i w:val="0"/>
          <w:color w:val="000000"/>
          <w:sz w:val="24"/>
        </w:rPr>
        <w:t>2. División del atributo categoría en Competencia: categoria_edad [CONFIRMADO] y categoria_peso [PENDIENTE DE VALIDACIÓN] (RN-3.8).</w:t>
      </w:r>
    </w:p>
    <w:p>
      <w:pPr>
        <w:spacing w:before="0" w:after="160"/>
      </w:pPr>
      <w:r>
        <w:rPr>
          <w:rFonts w:ascii="Arial" w:hAnsi="Arial"/>
          <w:b w:val="0"/>
          <w:i w:val="0"/>
          <w:color w:val="000000"/>
          <w:sz w:val="24"/>
        </w:rPr>
        <w:t>3. Fecha de Sesión_Examen confirmada: 26 de abril, 26 de julio y 13 de diciembre de 2026, verificada contra el Plan de Acción IMRDS 2026, fuente primaria (RN-5.4).</w:t>
      </w:r>
    </w:p>
    <w:p>
      <w:pPr>
        <w:spacing w:before="0" w:after="160"/>
      </w:pPr>
      <w:r>
        <w:rPr>
          <w:rFonts w:ascii="Arial" w:hAnsi="Arial"/>
          <w:b w:val="0"/>
          <w:i w:val="0"/>
          <w:color w:val="000000"/>
          <w:sz w:val="24"/>
        </w:rPr>
        <w:t>4. Campo nuevo fecha_completado en Detalle_Evaluación (RN-5.5): permite que cada modalidad de una sesión de examen se complete en una fecha distinta al resto del grupo, sin desordenar el registro de los demás participantes.</w:t>
      </w:r>
    </w:p>
    <w:p>
      <w:pPr>
        <w:spacing w:before="80" w:after="80"/>
        <w:jc w:val="center"/>
      </w:pPr>
      <w:r>
        <w:drawing>
          <wp:inline xmlns:a="http://schemas.openxmlformats.org/drawingml/2006/main" xmlns:pic="http://schemas.openxmlformats.org/drawingml/2006/picture">
            <wp:extent cx="5943600" cy="1506977"/>
            <wp:docPr id="13" name="Picture 13"/>
            <wp:cNvGraphicFramePr>
              <a:graphicFrameLocks noChangeAspect="1"/>
            </wp:cNvGraphicFramePr>
            <a:graphic>
              <a:graphicData uri="http://schemas.openxmlformats.org/drawingml/2006/picture">
                <pic:pic>
                  <pic:nvPicPr>
                    <pic:cNvPr id="0" name="13_mer_v1.png"/>
                    <pic:cNvPicPr/>
                  </pic:nvPicPr>
                  <pic:blipFill>
                    <a:blip r:embed="rId23"/>
                    <a:stretch>
                      <a:fillRect/>
                    </a:stretch>
                  </pic:blipFill>
                  <pic:spPr>
                    <a:xfrm>
                      <a:off x="0" y="0"/>
                      <a:ext cx="5943600" cy="1506977"/>
                    </a:xfrm>
                    <a:prstGeom prst="rect"/>
                  </pic:spPr>
                </pic:pic>
              </a:graphicData>
            </a:graphic>
          </wp:inline>
        </w:drawing>
      </w:r>
    </w:p>
    <w:p>
      <w:pPr>
        <w:spacing w:after="280"/>
        <w:jc w:val="center"/>
      </w:pPr>
      <w:r>
        <w:rPr>
          <w:rFonts w:ascii="Arial" w:hAnsi="Arial"/>
          <w:b w:val="0"/>
          <w:i/>
          <w:color w:val="000000"/>
          <w:sz w:val="18"/>
        </w:rPr>
        <w:t>Figura 13.1 — Modelo Entidad-Relación v1 (diagramas/png/13_mer_v1.png)</w:t>
      </w:r>
    </w:p>
    <w:p>
      <w:pPr>
        <w:spacing w:before="140" w:after="80"/>
      </w:pPr>
      <w:r>
        <w:rPr>
          <w:rFonts w:ascii="Arial" w:hAnsi="Arial"/>
          <w:b/>
          <w:i w:val="0"/>
          <w:color w:val="000000"/>
          <w:sz w:val="24"/>
        </w:rPr>
        <w:t>Diccionario de datos (Modelo Relacional v1 — script SQL ejecutado)</w:t>
      </w:r>
    </w:p>
    <w:p>
      <w:pPr>
        <w:spacing w:before="0" w:after="160"/>
      </w:pPr>
      <w:r>
        <w:rPr>
          <w:rFonts w:ascii="Arial" w:hAnsi="Arial"/>
          <w:b w:val="0"/>
          <w:i w:val="0"/>
          <w:color w:val="000000"/>
          <w:sz w:val="24"/>
        </w:rPr>
        <w:t>A continuación, las 11 tablas del script base_datos/esquema_hwanghon_v1.sql, en el mismo orden en que aparecen en el script, más intento_acceso_publico (agregada en esquema_hwanghon_v3.sql, ver Nota al final de esta sección). Para cada tabla: propósito de negocio, columnas (nombre, tipo tal cual el SQL, nulidad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Verdadero solo para Aldrin.</w:t>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sexo</w:t>
            </w:r>
          </w:p>
        </w:tc>
        <w:tc>
          <w:tcPr>
            <w:tcW w:type="dxa" w:w="1872"/>
          </w:tcPr>
          <w:p>
            <w:r>
              <w:rPr>
                <w:rFonts w:ascii="Arial" w:hAnsi="Arial"/>
                <w:b w:val="0"/>
                <w:i w:val="0"/>
                <w:color w:val="000000"/>
                <w:sz w:val="19"/>
              </w:rPr>
              <w:t>ENUM('masculino', 'femenino')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Sexo del deportista; se pide en la inscripción. Necesario para la categoría por peso y las competencias (RN-3.8).</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Condición de salud relevante (RN-1.5).</w:t>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Nulo hasta el primer examen aprobado (RN-10.3).</w:t>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por el valor 'otro' (RN-6.1).</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Ruta o nombre del archivo almacenado.</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ENUM('cargado',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carga del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120" w:after="60"/>
      </w:pPr>
      <w:r>
        <w:rPr>
          <w:rFonts w:ascii="Arial" w:hAnsi="Arial"/>
          <w:b/>
          <w:i w:val="0"/>
          <w:color w:val="000000"/>
          <w:sz w:val="22"/>
        </w:rPr>
        <w:t>5.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6.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pago.</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Mes del pago, de 1 a 12; solo aplica a mensualidad.</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1 a 4, semana del mes del pago (RN-8.1), solo mensualidad.</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ENUM('pagado',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pago.</w:t>
            </w:r>
          </w:p>
        </w:tc>
      </w:tr>
      <w:tr>
        <w:tc>
          <w:tcPr>
            <w:tcW w:type="dxa" w:w="1872"/>
          </w:tcPr>
          <w:p>
            <w:r>
              <w:rPr>
                <w:rFonts w:ascii="Arial" w:hAnsi="Arial"/>
                <w:b w:val="0"/>
                <w:i w:val="0"/>
                <w:color w:val="000000"/>
                <w:sz w:val="19"/>
              </w:rPr>
              <w:t>consecuencia_mora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Consecuencia tras mora prolongada (RN-8.7); se deja NULL, no se inventa la consecuencia.</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7.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evento.</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8.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9.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VALIDACIÓN] </w:t>
            </w:r>
            <w:r>
              <w:rPr>
                <w:rFonts w:ascii="Arial" w:hAnsi="Arial"/>
                <w:b w:val="0"/>
                <w:i w:val="0"/>
                <w:color w:val="000000"/>
                <w:sz w:val="19"/>
              </w:rPr>
              <w:t>Pesos por edad para categorías menores, consultado con Viviana (RN-3.1/RN-3.8).</w:t>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10.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26 de abril, 26 de julio y 13 de diciembre de 2026 — verificado contra el Plan de Acción IMRDS 2026, fuente primaria (RN-5.4).</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11.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la evaluación.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Valor numérico de prueba física (RN-2.3).</w:t>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hasta completar; PROPUESTA: si es verdadero, actualiza deportista.grado_actual (RN-10.3).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after="160"/>
      </w:pPr>
      <w:r>
        <w:rPr>
          <w:rFonts w:ascii="Arial" w:hAnsi="Arial"/>
          <w:b w:val="0"/>
          <w:i/>
          <w:color w:val="000000"/>
          <w:sz w:val="20"/>
        </w:rPr>
        <w:t>Fuente: base_datos/esquema_hwanghon_v1.sql (script DDL ejecutado y verificado por John el 25/09/2026); Reglas de Negocio v0.3.</w:t>
      </w:r>
    </w:p>
    <w:p>
      <w:pPr>
        <w:spacing w:after="160"/>
      </w:pPr>
      <w:r>
        <w:rPr>
          <w:rFonts w:ascii="Arial" w:hAnsi="Arial"/>
          <w:b/>
          <w:i w:val="0"/>
          <w:color w:val="000000"/>
          <w:sz w:val="20"/>
        </w:rPr>
        <w:t>12. intento_acceso_publico</w:t>
      </w:r>
    </w:p>
    <w:p>
      <w:pPr>
        <w:spacing w:after="160"/>
      </w:pPr>
      <w:r>
        <w:rPr>
          <w:rFonts w:ascii="Arial" w:hAnsi="Arial"/>
          <w:b w:val="0"/>
          <w:i w:val="0"/>
          <w:color w:val="000000"/>
          <w:sz w:val="20"/>
        </w:rPr>
        <w:t>Registra los intentos fallidos de acceso al ámbito público (RN-T.16): cuántos fallos consecutivos lleva un documento y, si llegó a 5, hasta cuándo queda bloqueado.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Documento digitado en el acceso público (deportista o acudiente). Sin llave foránea a propósito: puede no existir y no debe poder deducirse si existe.</w:t>
            </w:r>
          </w:p>
        </w:tc>
      </w:tr>
      <w:tr>
        <w:tc>
          <w:tcPr>
            <w:tcW w:type="dxa" w:w="1872"/>
          </w:tcPr>
          <w:p>
            <w:r>
              <w:rPr>
                <w:rFonts w:ascii="Arial" w:hAnsi="Arial"/>
                <w:b w:val="0"/>
                <w:i w:val="0"/>
                <w:color w:val="000000"/>
                <w:sz w:val="19"/>
              </w:rPr>
              <w:t>intentos_fallidos</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 por defecto 0</w:t>
            </w:r>
          </w:p>
        </w:tc>
        <w:tc>
          <w:tcPr>
            <w:tcW w:type="dxa" w:w="4320"/>
          </w:tcPr>
          <w:p>
            <w:r>
              <w:rPr>
                <w:rFonts w:ascii="Arial" w:hAnsi="Arial"/>
                <w:b w:val="0"/>
                <w:i w:val="0"/>
                <w:color w:val="000000"/>
                <w:sz w:val="19"/>
              </w:rPr>
              <w:t>Fallos consecutivos de documento + fecha de nacimiento; con 5 se bloquea 15 minutos; vuelve a 0 al acertar.</w:t>
            </w:r>
          </w:p>
        </w:tc>
      </w:tr>
      <w:tr>
        <w:tc>
          <w:tcPr>
            <w:tcW w:type="dxa" w:w="1872"/>
          </w:tcPr>
          <w:p>
            <w:r>
              <w:rPr>
                <w:rFonts w:ascii="Arial" w:hAnsi="Arial"/>
                <w:b w:val="0"/>
                <w:i w:val="0"/>
                <w:color w:val="000000"/>
                <w:sz w:val="19"/>
              </w:rPr>
              <w:t>bloqueado_hasta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Fin del bloqueo de 15 minutos tras el quinto fallo; nulo si no está bloqueado.</w:t>
            </w:r>
          </w:p>
        </w:tc>
      </w:tr>
    </w:tbl>
    <w:p>
      <w:pPr>
        <w:spacing w:after="160"/>
      </w:pPr>
      <w:r>
        <w:rPr>
          <w:rFonts w:ascii="Arial" w:hAnsi="Arial"/>
          <w:b w:val="0"/>
          <w:i w:val="0"/>
          <w:color w:val="000000"/>
          <w:sz w:val="20"/>
        </w:rPr>
        <w:t>Llave primaria: documento (simple). Sin llaves foráneas (a propósito, ver arriba).</w:t>
      </w:r>
    </w:p>
    <w:p>
      <w:pPr>
        <w:spacing w:after="160"/>
      </w:pPr>
      <w:r>
        <w:rPr>
          <w:rFonts w:ascii="Arial" w:hAnsi="Arial"/>
          <w:b w:val="0"/>
          <w:i/>
          <w:color w:val="000000"/>
          <w:sz w:val="20"/>
        </w:rPr>
        <w:t>Nota (09/10/2026): intento_acceso_publico se agrega a partir de esquema_hwanghon_v3.sql (RN-T.16, Reglas de Negocio v0.9) -- el resto de este diccionario sigue trazado al script original ejecutado y verificado (esquema_hwanghon_v1.sql, ver más arriba). La tabla entrega_cinturon (agregada en una versión posterior a v1, antes de v3) también falta documentar aquí -- queda pendiente, fuera de alcance de este encargo.</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preliminar entregado el 22/09/2026 (11 entidades más la leyenda); corregido el 23/09/2026 (modalidad trasladado de Competencia a Participación en Competencia, RN-3.1). Versión 1 (vigente, 23/09/2026): agrega estado_animico a Deportista (RN-2.4), separa categoria_edad (CONFIRMADO) de categoria_peso (pendiente) en Competencia (RN-3.8), confirma la fecha de Sesión_Examen contra fuente primaria (RN-5.4), agrega fecha_completado a Detalle_Evaluación (RN-5.5). El preliminar se conserva como histórico.</w:t>
      </w:r>
    </w:p>
    <w:p>
      <w:pPr>
        <w:spacing w:before="0" w:after="160"/>
      </w:pPr>
      <w:r>
        <w:rPr>
          <w:rFonts w:ascii="Arial" w:hAnsi="Arial"/>
          <w:b w:val="0"/>
          <w:i w:val="0"/>
          <w:color w:val="000000"/>
          <w:sz w:val="24"/>
        </w:rPr>
        <w:t>Modelo Relacional (14_modelo_relacional_v1.mmd/.png): vigente desde el 25/09/2026, traduce el MER v1 a nivel lógico — nombres definitivos de tabla/columna, tipos de dato MySQL 8, nulidad y llaves primarias/foráneas con ON DELETE/ON UPDATE. Es la base directa del script SQL ejecutado (base_datos/esquema_hwanghon_v1.sql), documentado como diccionario de datos completo en la sección 13.</w:t>
      </w:r>
    </w:p>
    <w:p>
      <w:pPr>
        <w:spacing w:after="160"/>
      </w:pPr>
      <w:r>
        <w:rPr>
          <w:rFonts w:ascii="Arial" w:hAnsi="Arial"/>
          <w:b w:val="0"/>
          <w:i/>
          <w:color w:val="000000"/>
          <w:sz w:val="20"/>
        </w:rPr>
        <w:t>Fuente: Reglas de Negocio v0.3;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