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Tipos de preguntas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Preguntas Abiertas y Cerradas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Las preguntas abiertas son de naturaleza exploratoria y ofrecen datos cualitativos valiosos a los investigadores. Fundamentalmente, brindan al investigador la oportunidad de obtener una percepción de todas las opiniones sobre un tema que no conocen en profundidad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Preguntas de Preparación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Las preguntas de preparación abiertas y fáciles de responder permiten construir una buena relación al comienzo de su entrevista.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Preguntas foco en las motivaciones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Las preguntas con foco en las motivaciones son aquellas del tipo “¿Qué les importa a tus usuarios?” o “¿Qué los motiva?”.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Preguntas foco en las frustraciones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Tus preguntas deberían ser encuadradas en la mejor manera para abordar cada punto de contacto a lo largo del viaje del cliente. Piensa sobre lo que los frustra no solo desde una perspectiva digital, sino también no digital. La experiencia de usuario es todo. 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Preguntas de Seguimiento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Ten preguntas de seguimiento destinadas a brindar detalles y aclaraciones adicionales como "¿Dónde estabas cuando sucedió esto?", "¿Cuándo sucedió eso?", "¿Dígame por qué hiciste eso? ” y así sucesivamente.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Preguntas Sondeo y Profundización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Ten preguntas de sondeo que ayudan a recordar hacerlas luego de otra pregunta, por ejemplo, "Cuénteme más sobre eso", "Dígame por qué se sintió así", "¿Por qué es tan importante para usted?".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Preguntas de Ejemplo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Ten preguntas de ejemplo que brinden a los participantes la oportunidad de contar muchas historias diferentes y darles una idea de sus vidas.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1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Preguntas de Reflexión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Tener preguntas de reflexión que incluyen más adelante en su guía; presentarlas demasiado pronto podría ser abrumador y es posible que obtenga respuestas estereotipadas, ya que los participantes no han tenido la oportunidad de recordar eventos, sentimientos y formar juicios.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133.8582677165355" w:top="1133.858267716535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