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E31343" w14:textId="39C6F3E8" w:rsidR="00CB4EC4" w:rsidRDefault="00CB4EC4" w:rsidP="00CB4EC4">
      <w:pPr>
        <w:jc w:val="both"/>
      </w:pPr>
      <w:r>
        <w:t>22/octubre/2023</w:t>
      </w:r>
    </w:p>
    <w:p w14:paraId="14E7108B" w14:textId="723DD50E" w:rsidR="00CB4EC4" w:rsidRDefault="00CB4EC4" w:rsidP="00CB4EC4">
      <w:pPr>
        <w:jc w:val="both"/>
      </w:pPr>
      <w:proofErr w:type="spellStart"/>
      <w:r>
        <w:t>By</w:t>
      </w:r>
      <w:proofErr w:type="spellEnd"/>
      <w:r>
        <w:t xml:space="preserve">: Alejandra Ossa Yepes </w:t>
      </w:r>
    </w:p>
    <w:p w14:paraId="65484CFA" w14:textId="77777777" w:rsidR="00CB4EC4" w:rsidRDefault="00CB4EC4" w:rsidP="00CB4EC4">
      <w:pPr>
        <w:jc w:val="both"/>
      </w:pPr>
    </w:p>
    <w:p w14:paraId="3201858E" w14:textId="4A66D00D" w:rsidR="003E1507" w:rsidRDefault="003E1507" w:rsidP="00CB4EC4">
      <w:pPr>
        <w:jc w:val="both"/>
      </w:pPr>
      <w:r w:rsidRPr="003E1507">
        <w:t xml:space="preserve">Los dos temas propuestos, </w:t>
      </w:r>
      <w:proofErr w:type="gramStart"/>
      <w:r w:rsidRPr="003E1507">
        <w:t>vehículos autónomos y armas autónomas</w:t>
      </w:r>
      <w:proofErr w:type="gramEnd"/>
      <w:r w:rsidRPr="003E1507">
        <w:t xml:space="preserve"> letales, comparten la preocupación de que un único error podría resultar en la pérdida de vidas humanas. No obstante, considero que el beneficio social potencial de los vehículos autónomos supera al de las armas autónomas. Por lo tanto, en este texto, abordaré la cuestión de la responsabilidad y los actores involucrados en el desarrollo de esta tecnología de armamento</w:t>
      </w:r>
      <w:r>
        <w:t>.</w:t>
      </w:r>
    </w:p>
    <w:p w14:paraId="4556CAE6" w14:textId="2F0C3537" w:rsidR="006A6C5D" w:rsidRDefault="003E1507" w:rsidP="00CB4EC4">
      <w:pPr>
        <w:jc w:val="both"/>
      </w:pPr>
      <w:r>
        <w:t xml:space="preserve">Uno de los </w:t>
      </w:r>
      <w:r w:rsidR="00B72496">
        <w:t xml:space="preserve">principales </w:t>
      </w:r>
      <w:r>
        <w:t>a</w:t>
      </w:r>
      <w:r w:rsidR="006A6C5D" w:rsidRPr="003E1507">
        <w:t>ctores involucrados en el diseño e implementación de armas autónomas letales</w:t>
      </w:r>
      <w:r>
        <w:t xml:space="preserve"> son l</w:t>
      </w:r>
      <w:r w:rsidR="006A6C5D">
        <w:t xml:space="preserve">os gobiernos y las fuerzas armadas </w:t>
      </w:r>
      <w:r>
        <w:t xml:space="preserve">que </w:t>
      </w:r>
      <w:r w:rsidR="006A6C5D">
        <w:t>desempeñan un papel central en la toma de decisiones sobre la adquisición y el uso de armas autónomas letales</w:t>
      </w:r>
      <w:r>
        <w:t>; s</w:t>
      </w:r>
      <w:r w:rsidR="006A6C5D">
        <w:t>on responsables de la formulación de políticas, la financiación y la implementación de sistemas de armas autónomas</w:t>
      </w:r>
      <w:r>
        <w:t xml:space="preserve">. Así como las </w:t>
      </w:r>
      <w:r w:rsidR="006A6C5D">
        <w:t xml:space="preserve">empresas de tecnología y los fabricantes de armas </w:t>
      </w:r>
      <w:r>
        <w:t xml:space="preserve">que </w:t>
      </w:r>
      <w:r w:rsidR="006A6C5D">
        <w:t>diseñan, desarrollan y producen las armas autónomas letales</w:t>
      </w:r>
      <w:r>
        <w:t>, e</w:t>
      </w:r>
      <w:r w:rsidR="006A6C5D">
        <w:t>stas entidades son responsables de garantizar que sus sistemas sean seguros y cumplan con las leyes y regulaciones aplicables</w:t>
      </w:r>
      <w:r>
        <w:t>, en donde también están involucrados los</w:t>
      </w:r>
      <w:r w:rsidR="006A6C5D">
        <w:t xml:space="preserve"> individuos que crean los algoritmos y software que permiten el funcionamiento autónomo de estas armas </w:t>
      </w:r>
      <w:r w:rsidR="00B72496">
        <w:t>y s</w:t>
      </w:r>
      <w:r w:rsidR="006A6C5D">
        <w:t>on responsables de garantizar que los sistemas sean programados de manera ética y cumplan con los estándares legales</w:t>
      </w:r>
      <w:r w:rsidR="00B72496">
        <w:t xml:space="preserve">; así como los usuarios </w:t>
      </w:r>
      <w:r w:rsidR="006A6C5D">
        <w:t>finale</w:t>
      </w:r>
      <w:r w:rsidR="00B72496">
        <w:t xml:space="preserve">s, militares e individuos que son activos en el campo de batalla y </w:t>
      </w:r>
      <w:r w:rsidR="006A6C5D">
        <w:t>responsables de la operación de las armas y toma</w:t>
      </w:r>
      <w:r w:rsidR="00693D46">
        <w:t>n la</w:t>
      </w:r>
      <w:r w:rsidR="006A6C5D">
        <w:t xml:space="preserve"> decisiones sobre cuándo y cómo utilizar estas armas.</w:t>
      </w:r>
    </w:p>
    <w:p w14:paraId="047C2134" w14:textId="5EA64CC9" w:rsidR="006A6C5D" w:rsidRDefault="009F47F1" w:rsidP="00CB4EC4">
      <w:pPr>
        <w:jc w:val="both"/>
      </w:pPr>
      <w:r>
        <w:t xml:space="preserve">El grado </w:t>
      </w:r>
      <w:r w:rsidR="006A6C5D">
        <w:t xml:space="preserve">de </w:t>
      </w:r>
      <w:r>
        <w:t>responsabilidad</w:t>
      </w:r>
      <w:r w:rsidR="00693D46">
        <w:t xml:space="preserve"> de</w:t>
      </w:r>
      <w:r>
        <w:t xml:space="preserve"> los </w:t>
      </w:r>
      <w:r w:rsidR="006A6C5D">
        <w:t>Gobiernos y fuerzas armadas</w:t>
      </w:r>
      <w:r>
        <w:t xml:space="preserve"> es demasiado alta debido a que ellos deben</w:t>
      </w:r>
      <w:r w:rsidR="006A6C5D">
        <w:t xml:space="preserve"> garantizar que las armas autónomas letales se utilicen de manera legal y ética. Si se comete un error en el uso de estas armas debido a una falta de supervisión, capacitación inadecuada o decisiones negligentes</w:t>
      </w:r>
      <w:r>
        <w:t>, así como l</w:t>
      </w:r>
      <w:r w:rsidR="006A6C5D">
        <w:t>as empresas que diseñan y producen estas armas deben garantizar que sean seguras y que cumplan con las leyes y regulaciones. Si se demuestra que un error se debe a defectos de diseño o fallas en la fabricación, su responsabilidad debe ser alta.</w:t>
      </w:r>
    </w:p>
    <w:p w14:paraId="27D0F3D0" w14:textId="36CA3CF6" w:rsidR="006A6C5D" w:rsidRDefault="006A6C5D" w:rsidP="00CB4EC4">
      <w:pPr>
        <w:jc w:val="both"/>
      </w:pPr>
      <w:r>
        <w:t>Los programadores y desarrolladores de algoritmos desempeñan un papel técnico en la creación de armas autónomas. Si un error es el resultado de un algoritmo defectuoso o una programación inadecuada, su responsabilidad debería ser moderada, ya que su tarea es garantizar que el software funcione correctamente.</w:t>
      </w:r>
    </w:p>
    <w:p w14:paraId="167CBC64" w14:textId="449C934E" w:rsidR="006A6C5D" w:rsidRDefault="006A6C5D" w:rsidP="00CB4EC4">
      <w:pPr>
        <w:jc w:val="both"/>
      </w:pPr>
      <w:r>
        <w:t>Los militares y otros usuarios finales son quienes toman la decisión de utilizar armas autónomas letales en situaciones específicas. Tienen la responsabilidad de tomar decisiones éticas y cumplir con el DIH. Si un error resulta de una decisión inapropiada o una mala interpretación de la situación en el campo de batalla, su responsabilidad debe ser alta.</w:t>
      </w:r>
    </w:p>
    <w:p w14:paraId="4DF2FB7F" w14:textId="77777777" w:rsidR="00CB4EC4" w:rsidRDefault="006A6C5D" w:rsidP="00CB4EC4">
      <w:pPr>
        <w:jc w:val="both"/>
      </w:pPr>
      <w:r>
        <w:t>La atribución de responsabilidad en caso de errores con armas autónomas letales debe basarse en una evaluación cuidadosa de los hechos y circunstancias de cada incidente. Los actores mencionados anteriormente tienen roles interconectados y, en muchos casos, comparten la responsabilidad en diferentes grados. Es esencial que se establezcan marcos legales y regulaciones claras que definan las responsabilidades y las consecuencias por el mal uso o los errores con armas autónomas letales.</w:t>
      </w:r>
    </w:p>
    <w:p w14:paraId="2A122CB8" w14:textId="1EC385DC" w:rsidR="001A77E3" w:rsidRDefault="006A6C5D" w:rsidP="00CB4EC4">
      <w:pPr>
        <w:jc w:val="both"/>
      </w:pPr>
      <w:r>
        <w:lastRenderedPageBreak/>
        <w:t>En resumen, la atribución de responsabilidad en casos de errores con armas autónomas letales debe ser un enfoque multifacético que considere las acciones y responsabilidades de todos los actores involucrados. La responsabilidad compartida puede ayudar a garantizar que se tomen medidas adecuadas para prevenir errores y proteger a las personas en el campo de batalla y en todo el mundo.</w:t>
      </w:r>
    </w:p>
    <w:p w14:paraId="053A9657" w14:textId="0B2D16A4" w:rsidR="00CB4EC4" w:rsidRPr="00CB4EC4" w:rsidRDefault="00CB4EC4" w:rsidP="00CB4EC4">
      <w:pPr>
        <w:jc w:val="both"/>
        <w:rPr>
          <w:i/>
          <w:iCs/>
          <w:sz w:val="24"/>
          <w:szCs w:val="24"/>
          <w:lang w:val="es-CO"/>
        </w:rPr>
      </w:pPr>
      <w:r w:rsidRPr="00CB4EC4">
        <w:rPr>
          <w:i/>
          <w:iCs/>
          <w:sz w:val="24"/>
          <w:szCs w:val="24"/>
          <w:lang w:val="es-CO"/>
        </w:rPr>
        <w:t>Bibliografía</w:t>
      </w:r>
    </w:p>
    <w:p w14:paraId="285AB88A" w14:textId="0F61703B" w:rsidR="00CB4EC4" w:rsidRPr="00CB4EC4" w:rsidRDefault="00CB4EC4" w:rsidP="00CB4EC4">
      <w:pPr>
        <w:pStyle w:val="Prrafodelista"/>
        <w:numPr>
          <w:ilvl w:val="0"/>
          <w:numId w:val="2"/>
        </w:numPr>
        <w:ind w:left="426"/>
        <w:jc w:val="both"/>
        <w:rPr>
          <w:lang w:val="es-CO"/>
        </w:rPr>
      </w:pPr>
      <w:r w:rsidRPr="00CB4EC4">
        <w:rPr>
          <w:lang w:val="es-CO"/>
        </w:rPr>
        <w:t>Alcívar, V., &amp; Fernando, M. (2022). Delimitación de la responsabilidad penal internacional por el uso de armas autónomas. PUCE - Quito.</w:t>
      </w:r>
    </w:p>
    <w:p w14:paraId="3F10810C" w14:textId="565C5A67" w:rsidR="00CB4EC4" w:rsidRPr="00CB4EC4" w:rsidRDefault="00CB4EC4" w:rsidP="00CB4EC4">
      <w:pPr>
        <w:pStyle w:val="Prrafodelista"/>
        <w:numPr>
          <w:ilvl w:val="0"/>
          <w:numId w:val="2"/>
        </w:numPr>
        <w:ind w:left="426"/>
        <w:jc w:val="both"/>
        <w:rPr>
          <w:lang w:val="es-CO"/>
        </w:rPr>
      </w:pPr>
      <w:r w:rsidRPr="00CB4EC4">
        <w:rPr>
          <w:lang w:val="es-CO"/>
        </w:rPr>
        <w:t>Luis, F. (s/f)</w:t>
      </w:r>
      <w:r>
        <w:rPr>
          <w:lang w:val="es-CO"/>
        </w:rPr>
        <w:t xml:space="preserve">. </w:t>
      </w:r>
      <w:r w:rsidRPr="00CB4EC4">
        <w:rPr>
          <w:lang w:val="es-CO"/>
        </w:rPr>
        <w:t xml:space="preserve">REVISTA ESPAÑOLA DE DERECHO MILITAR. Gob.es. Recuperado el 22 de octubre de 2023, </w:t>
      </w:r>
      <w:hyperlink r:id="rId5" w:history="1">
        <w:r w:rsidRPr="00364157">
          <w:rPr>
            <w:rStyle w:val="Hipervnculo"/>
            <w:lang w:val="es-CO"/>
          </w:rPr>
          <w:t>https://publicaciones.defensa.gob.es/media/downloadable/files/links/r/e/redem_118.pdf#page=9</w:t>
        </w:r>
      </w:hyperlink>
    </w:p>
    <w:p w14:paraId="175C7812" w14:textId="4D36609E" w:rsidR="009F47F1" w:rsidRPr="00CB4EC4" w:rsidRDefault="00CB4EC4" w:rsidP="00CB4EC4">
      <w:pPr>
        <w:pStyle w:val="Prrafodelista"/>
        <w:numPr>
          <w:ilvl w:val="0"/>
          <w:numId w:val="2"/>
        </w:numPr>
        <w:ind w:left="426"/>
        <w:jc w:val="both"/>
        <w:rPr>
          <w:lang w:val="es-CO"/>
        </w:rPr>
      </w:pPr>
      <w:r w:rsidRPr="00CB4EC4">
        <w:rPr>
          <w:lang w:val="es-CO"/>
        </w:rPr>
        <w:t>Sepúlveda, A. I. (s/f). EL DEBATE SOBRE LOS SISTEMAS DE ARMAS AUTÓNOMOS LETALES: PERSPECTIVAS EN EL SISTEMA INTERNACIONAL. Ceeag.cl. Recuperado el 22 de octubre de 2023, de https://www.ceeag.cl/wp-content/uploads/2023/06/EC-AI-Sistemas-de-armas-autonomos-letales.pdf</w:t>
      </w:r>
    </w:p>
    <w:sectPr w:rsidR="009F47F1" w:rsidRPr="00CB4EC4" w:rsidSect="00440E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ordia New">
    <w:panose1 w:val="020B0304020202020204"/>
    <w:charset w:val="DE"/>
    <w:family w:val="swiss"/>
    <w:pitch w:val="variable"/>
    <w:sig w:usb0="81000003" w:usb1="00000000" w:usb2="00000000" w:usb3="00000000" w:csb0="0001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0270AE"/>
    <w:multiLevelType w:val="hybridMultilevel"/>
    <w:tmpl w:val="659A4A14"/>
    <w:lvl w:ilvl="0" w:tplc="8530F3B0">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42CA6ED5"/>
    <w:multiLevelType w:val="hybridMultilevel"/>
    <w:tmpl w:val="CB6EE3D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2104304913">
    <w:abstractNumId w:val="1"/>
  </w:num>
  <w:num w:numId="2" w16cid:durableId="5267960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29C4"/>
    <w:rsid w:val="000057D6"/>
    <w:rsid w:val="00006137"/>
    <w:rsid w:val="00010A07"/>
    <w:rsid w:val="000848C9"/>
    <w:rsid w:val="000E7EF1"/>
    <w:rsid w:val="001A77E3"/>
    <w:rsid w:val="001C5D97"/>
    <w:rsid w:val="0023752C"/>
    <w:rsid w:val="00237AEC"/>
    <w:rsid w:val="00291A41"/>
    <w:rsid w:val="002B0F3E"/>
    <w:rsid w:val="003E1507"/>
    <w:rsid w:val="00424874"/>
    <w:rsid w:val="00440E43"/>
    <w:rsid w:val="00496152"/>
    <w:rsid w:val="00501298"/>
    <w:rsid w:val="0052406F"/>
    <w:rsid w:val="0054434C"/>
    <w:rsid w:val="00614D6A"/>
    <w:rsid w:val="00640235"/>
    <w:rsid w:val="00687E05"/>
    <w:rsid w:val="00693D46"/>
    <w:rsid w:val="006A49EA"/>
    <w:rsid w:val="006A6C5D"/>
    <w:rsid w:val="00746515"/>
    <w:rsid w:val="0079409D"/>
    <w:rsid w:val="007D22BB"/>
    <w:rsid w:val="008454CD"/>
    <w:rsid w:val="008A5829"/>
    <w:rsid w:val="008F3EBC"/>
    <w:rsid w:val="00903105"/>
    <w:rsid w:val="0097705A"/>
    <w:rsid w:val="009F47F1"/>
    <w:rsid w:val="009F55C5"/>
    <w:rsid w:val="00A174B7"/>
    <w:rsid w:val="00A96C88"/>
    <w:rsid w:val="00A96DED"/>
    <w:rsid w:val="00AF003B"/>
    <w:rsid w:val="00B16DFA"/>
    <w:rsid w:val="00B5666C"/>
    <w:rsid w:val="00B72496"/>
    <w:rsid w:val="00B934C6"/>
    <w:rsid w:val="00BC537F"/>
    <w:rsid w:val="00BE0CD8"/>
    <w:rsid w:val="00C0189F"/>
    <w:rsid w:val="00C72586"/>
    <w:rsid w:val="00C9048B"/>
    <w:rsid w:val="00CB4EC4"/>
    <w:rsid w:val="00CB4F7B"/>
    <w:rsid w:val="00CC79D3"/>
    <w:rsid w:val="00CF0338"/>
    <w:rsid w:val="00D260C5"/>
    <w:rsid w:val="00D57A7F"/>
    <w:rsid w:val="00D85A5A"/>
    <w:rsid w:val="00D86B26"/>
    <w:rsid w:val="00E210C5"/>
    <w:rsid w:val="00E252BA"/>
    <w:rsid w:val="00E343F5"/>
    <w:rsid w:val="00E90164"/>
    <w:rsid w:val="00EA2F6A"/>
    <w:rsid w:val="00EE33F9"/>
    <w:rsid w:val="00F47205"/>
    <w:rsid w:val="00F501FA"/>
    <w:rsid w:val="00F829C4"/>
    <w:rsid w:val="00F8593A"/>
    <w:rsid w:val="00FD0A49"/>
  </w:rsids>
  <m:mathPr>
    <m:mathFont m:val="Cambria Math"/>
    <m:brkBin m:val="before"/>
    <m:brkBinSub m:val="--"/>
    <m:smallFrac/>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08A99"/>
  <w15:chartTrackingRefBased/>
  <w15:docId w15:val="{8F653B16-817F-A640-8F7E-F2F6FA6EF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440E43"/>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9F47F1"/>
    <w:pPr>
      <w:spacing w:before="100" w:beforeAutospacing="1" w:after="100" w:afterAutospacing="1" w:line="240" w:lineRule="auto"/>
    </w:pPr>
    <w:rPr>
      <w:rFonts w:ascii="Times New Roman" w:eastAsia="Times New Roman" w:hAnsi="Times New Roman" w:cs="Times New Roman"/>
      <w:kern w:val="0"/>
      <w:sz w:val="24"/>
      <w:szCs w:val="24"/>
      <w:lang w:val="es-CO" w:eastAsia="es-MX"/>
      <w14:ligatures w14:val="none"/>
    </w:rPr>
  </w:style>
  <w:style w:type="paragraph" w:styleId="Prrafodelista">
    <w:name w:val="List Paragraph"/>
    <w:basedOn w:val="Normal"/>
    <w:uiPriority w:val="34"/>
    <w:qFormat/>
    <w:rsid w:val="00CB4EC4"/>
    <w:pPr>
      <w:ind w:left="720"/>
      <w:contextualSpacing/>
    </w:pPr>
  </w:style>
  <w:style w:type="character" w:styleId="Hipervnculo">
    <w:name w:val="Hyperlink"/>
    <w:basedOn w:val="Fuentedeprrafopredeter"/>
    <w:uiPriority w:val="99"/>
    <w:unhideWhenUsed/>
    <w:rsid w:val="00CB4EC4"/>
    <w:rPr>
      <w:color w:val="0563C1" w:themeColor="hyperlink"/>
      <w:u w:val="single"/>
    </w:rPr>
  </w:style>
  <w:style w:type="character" w:styleId="Mencinsinresolver">
    <w:name w:val="Unresolved Mention"/>
    <w:basedOn w:val="Fuentedeprrafopredeter"/>
    <w:uiPriority w:val="99"/>
    <w:rsid w:val="00CB4E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2120636">
      <w:bodyDiv w:val="1"/>
      <w:marLeft w:val="0"/>
      <w:marRight w:val="0"/>
      <w:marTop w:val="0"/>
      <w:marBottom w:val="0"/>
      <w:divBdr>
        <w:top w:val="none" w:sz="0" w:space="0" w:color="auto"/>
        <w:left w:val="none" w:sz="0" w:space="0" w:color="auto"/>
        <w:bottom w:val="none" w:sz="0" w:space="0" w:color="auto"/>
        <w:right w:val="none" w:sz="0" w:space="0" w:color="auto"/>
      </w:divBdr>
      <w:divsChild>
        <w:div w:id="592512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ublicaciones.defensa.gob.es/media/downloadable/files/links/r/e/redem_118.pdf#page=9"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677</Words>
  <Characters>3724</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Alejandra Ossa Yepes</dc:creator>
  <cp:keywords/>
  <dc:description/>
  <cp:lastModifiedBy>Alejandra Ossa Yepes</cp:lastModifiedBy>
  <cp:revision>2</cp:revision>
  <dcterms:created xsi:type="dcterms:W3CDTF">2023-10-22T21:41:00Z</dcterms:created>
  <dcterms:modified xsi:type="dcterms:W3CDTF">2023-10-22T21:41:00Z</dcterms:modified>
</cp:coreProperties>
</file>