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5560" w14:textId="3850F1EC" w:rsidR="00F11840" w:rsidRDefault="00F11840" w:rsidP="00F11840">
      <w:pPr>
        <w:jc w:val="center"/>
        <w:rPr>
          <w:rFonts w:ascii="Amasis MT Pro Black" w:hAnsi="Amasis MT Pro Black"/>
          <w:b/>
          <w:bCs/>
        </w:rPr>
      </w:pPr>
      <w:r>
        <w:rPr>
          <w:rFonts w:ascii="Amasis MT Pro Black" w:hAnsi="Amasis MT Pro Black"/>
          <w:b/>
          <w:bCs/>
        </w:rPr>
        <w:t>Pontificia universidad católica del Ecuador</w:t>
      </w:r>
    </w:p>
    <w:p w14:paraId="55003C7A" w14:textId="263768DD" w:rsidR="00F11840" w:rsidRDefault="00F11840" w:rsidP="00F11840">
      <w:pPr>
        <w:jc w:val="center"/>
        <w:rPr>
          <w:rFonts w:ascii="Amasis MT Pro Black" w:hAnsi="Amasis MT Pro Black"/>
          <w:b/>
          <w:bCs/>
        </w:rPr>
      </w:pPr>
      <w:r>
        <w:rPr>
          <w:rFonts w:ascii="Amasis MT Pro Black" w:hAnsi="Amasis MT Pro Black"/>
          <w:b/>
          <w:bCs/>
        </w:rPr>
        <w:t xml:space="preserve">PUCE VIRTUAL </w:t>
      </w:r>
    </w:p>
    <w:p w14:paraId="448C8779" w14:textId="77777777" w:rsidR="00F11840" w:rsidRDefault="00F11840" w:rsidP="00F11840">
      <w:pPr>
        <w:jc w:val="center"/>
        <w:rPr>
          <w:rFonts w:ascii="Amasis MT Pro Black" w:hAnsi="Amasis MT Pro Black"/>
          <w:b/>
          <w:bCs/>
        </w:rPr>
      </w:pPr>
    </w:p>
    <w:p w14:paraId="4D846CD1" w14:textId="11C3B840" w:rsidR="00F11840" w:rsidRDefault="00F11840" w:rsidP="00F11840">
      <w:pPr>
        <w:jc w:val="center"/>
        <w:rPr>
          <w:rFonts w:ascii="Amasis MT Pro Black" w:hAnsi="Amasis MT Pro Black"/>
          <w:b/>
          <w:bCs/>
        </w:rPr>
      </w:pPr>
      <w:r>
        <w:rPr>
          <w:rFonts w:ascii="Amasis MT Pro Black" w:hAnsi="Amasis MT Pro Black"/>
          <w:b/>
          <w:bCs/>
          <w:noProof/>
        </w:rPr>
        <w:drawing>
          <wp:inline distT="0" distB="0" distL="0" distR="0" wp14:anchorId="51A5134A" wp14:editId="689E5502">
            <wp:extent cx="5048250" cy="1085850"/>
            <wp:effectExtent l="0" t="0" r="0" b="0"/>
            <wp:docPr id="1531309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40045" b="34452"/>
                    <a:stretch>
                      <a:fillRect/>
                    </a:stretch>
                  </pic:blipFill>
                  <pic:spPr bwMode="auto">
                    <a:xfrm>
                      <a:off x="0" y="0"/>
                      <a:ext cx="5048250" cy="1085850"/>
                    </a:xfrm>
                    <a:prstGeom prst="rect">
                      <a:avLst/>
                    </a:prstGeom>
                    <a:noFill/>
                    <a:ln>
                      <a:noFill/>
                    </a:ln>
                    <a:extLst>
                      <a:ext uri="{53640926-AAD7-44D8-BBD7-CCE9431645EC}">
                        <a14:shadowObscured xmlns:a14="http://schemas.microsoft.com/office/drawing/2010/main"/>
                      </a:ext>
                    </a:extLst>
                  </pic:spPr>
                </pic:pic>
              </a:graphicData>
            </a:graphic>
          </wp:inline>
        </w:drawing>
      </w:r>
    </w:p>
    <w:p w14:paraId="5B1F813A" w14:textId="77777777" w:rsidR="00F11840" w:rsidRDefault="00F11840" w:rsidP="00F11840">
      <w:pPr>
        <w:jc w:val="center"/>
        <w:rPr>
          <w:rFonts w:ascii="Amasis MT Pro Black" w:hAnsi="Amasis MT Pro Black"/>
          <w:b/>
          <w:bCs/>
        </w:rPr>
      </w:pPr>
    </w:p>
    <w:p w14:paraId="32D6D78A" w14:textId="77777777" w:rsidR="00F11840" w:rsidRDefault="00F11840" w:rsidP="00F11840">
      <w:pPr>
        <w:jc w:val="center"/>
        <w:rPr>
          <w:rFonts w:ascii="Amasis MT Pro Black" w:hAnsi="Amasis MT Pro Black"/>
          <w:b/>
          <w:bCs/>
        </w:rPr>
      </w:pPr>
    </w:p>
    <w:p w14:paraId="575CCED0" w14:textId="2185805C" w:rsidR="00F11840" w:rsidRDefault="00F11840" w:rsidP="00F11840">
      <w:pPr>
        <w:jc w:val="center"/>
        <w:rPr>
          <w:rFonts w:ascii="Amasis MT Pro Black" w:hAnsi="Amasis MT Pro Black"/>
          <w:b/>
          <w:bCs/>
        </w:rPr>
      </w:pPr>
      <w:r>
        <w:rPr>
          <w:rFonts w:ascii="Amasis MT Pro Black" w:hAnsi="Amasis MT Pro Black"/>
          <w:b/>
          <w:bCs/>
        </w:rPr>
        <w:t>INGENIERIA EN CIBERSEGURIDAD Y GESTION DE TI</w:t>
      </w:r>
    </w:p>
    <w:p w14:paraId="347F20BA" w14:textId="656F1B72" w:rsidR="00F11840" w:rsidRDefault="00F11840" w:rsidP="00F11840">
      <w:pPr>
        <w:jc w:val="center"/>
        <w:rPr>
          <w:rFonts w:ascii="Amasis MT Pro Black" w:hAnsi="Amasis MT Pro Black"/>
          <w:b/>
          <w:bCs/>
        </w:rPr>
      </w:pPr>
      <w:r>
        <w:rPr>
          <w:rFonts w:ascii="Amasis MT Pro Black" w:hAnsi="Amasis MT Pro Black"/>
          <w:b/>
          <w:bCs/>
        </w:rPr>
        <w:t>QUINTO NIVEL</w:t>
      </w:r>
    </w:p>
    <w:p w14:paraId="391C9872" w14:textId="77777777" w:rsidR="00F11840" w:rsidRDefault="00F11840" w:rsidP="00F11840">
      <w:pPr>
        <w:jc w:val="center"/>
        <w:rPr>
          <w:rFonts w:ascii="Amasis MT Pro Black" w:hAnsi="Amasis MT Pro Black"/>
          <w:b/>
          <w:bCs/>
        </w:rPr>
      </w:pPr>
    </w:p>
    <w:p w14:paraId="47E3230C" w14:textId="77777777" w:rsidR="00F11840" w:rsidRDefault="00F11840" w:rsidP="00F11840">
      <w:pPr>
        <w:jc w:val="center"/>
        <w:rPr>
          <w:rFonts w:ascii="Amasis MT Pro Black" w:hAnsi="Amasis MT Pro Black"/>
          <w:b/>
          <w:bCs/>
        </w:rPr>
      </w:pPr>
    </w:p>
    <w:p w14:paraId="5CFE6AC4" w14:textId="3677B6D3" w:rsidR="00F11840" w:rsidRDefault="00A3502A" w:rsidP="00F11840">
      <w:pPr>
        <w:jc w:val="center"/>
        <w:rPr>
          <w:rFonts w:ascii="Amasis MT Pro Black" w:hAnsi="Amasis MT Pro Black"/>
          <w:b/>
          <w:bCs/>
        </w:rPr>
      </w:pPr>
      <w:r>
        <w:rPr>
          <w:rFonts w:ascii="Amasis MT Pro Black" w:hAnsi="Amasis MT Pro Black"/>
          <w:b/>
          <w:bCs/>
        </w:rPr>
        <w:t>DESARROLLO EN PLATAFORMA</w:t>
      </w:r>
    </w:p>
    <w:p w14:paraId="478462A8" w14:textId="3665C778" w:rsidR="00F11840" w:rsidRDefault="00F11840" w:rsidP="00F11840">
      <w:pPr>
        <w:jc w:val="center"/>
        <w:rPr>
          <w:rFonts w:ascii="Amasis MT Pro Black" w:hAnsi="Amasis MT Pro Black"/>
          <w:b/>
          <w:bCs/>
        </w:rPr>
      </w:pPr>
      <w:r>
        <w:rPr>
          <w:rFonts w:ascii="Amasis MT Pro Black" w:hAnsi="Amasis MT Pro Black"/>
          <w:b/>
          <w:bCs/>
        </w:rPr>
        <w:t>DOCENTE:</w:t>
      </w:r>
    </w:p>
    <w:p w14:paraId="5BD17359" w14:textId="1B508259" w:rsidR="00F11840" w:rsidRDefault="00A3502A" w:rsidP="00F11840">
      <w:pPr>
        <w:jc w:val="center"/>
        <w:rPr>
          <w:rFonts w:ascii="Amasis MT Pro Black" w:hAnsi="Amasis MT Pro Black"/>
          <w:b/>
          <w:bCs/>
        </w:rPr>
      </w:pPr>
      <w:r>
        <w:rPr>
          <w:rFonts w:ascii="Amasis MT Pro Black" w:hAnsi="Amasis MT Pro Black"/>
          <w:b/>
          <w:bCs/>
        </w:rPr>
        <w:t>Damián Aníbal Nicolalde Rodríguez</w:t>
      </w:r>
    </w:p>
    <w:p w14:paraId="1A1FF7C9" w14:textId="77777777" w:rsidR="00F11840" w:rsidRDefault="00F11840" w:rsidP="00F11840">
      <w:pPr>
        <w:jc w:val="center"/>
        <w:rPr>
          <w:rFonts w:ascii="Amasis MT Pro Black" w:hAnsi="Amasis MT Pro Black"/>
          <w:b/>
          <w:bCs/>
        </w:rPr>
      </w:pPr>
    </w:p>
    <w:p w14:paraId="602783E3" w14:textId="77777777" w:rsidR="00F11840" w:rsidRDefault="00F11840" w:rsidP="00F11840">
      <w:pPr>
        <w:jc w:val="center"/>
        <w:rPr>
          <w:rFonts w:ascii="Amasis MT Pro Black" w:hAnsi="Amasis MT Pro Black"/>
          <w:b/>
          <w:bCs/>
        </w:rPr>
      </w:pPr>
    </w:p>
    <w:p w14:paraId="3C6A7A7F" w14:textId="758B0D69" w:rsidR="00F11840" w:rsidRDefault="00F11840" w:rsidP="00F11840">
      <w:pPr>
        <w:jc w:val="center"/>
        <w:rPr>
          <w:rFonts w:ascii="Amasis MT Pro Black" w:hAnsi="Amasis MT Pro Black"/>
          <w:b/>
          <w:bCs/>
        </w:rPr>
      </w:pPr>
      <w:r>
        <w:rPr>
          <w:rFonts w:ascii="Amasis MT Pro Black" w:hAnsi="Amasis MT Pro Black"/>
          <w:b/>
          <w:bCs/>
        </w:rPr>
        <w:t xml:space="preserve">T1S1 – </w:t>
      </w:r>
      <w:r w:rsidR="00A3502A" w:rsidRPr="00A3502A">
        <w:rPr>
          <w:rFonts w:ascii="Amasis MT Pro Black" w:hAnsi="Amasis MT Pro Black"/>
          <w:b/>
          <w:bCs/>
        </w:rPr>
        <w:t>Proyecto: interfaz web semántica, accesible y responsiva para la gestión de incidentes de ciberseguridad</w:t>
      </w:r>
    </w:p>
    <w:p w14:paraId="424F77F5" w14:textId="77777777" w:rsidR="00F11840" w:rsidRDefault="00F11840" w:rsidP="00F11840">
      <w:pPr>
        <w:jc w:val="center"/>
        <w:rPr>
          <w:rFonts w:ascii="Amasis MT Pro Black" w:hAnsi="Amasis MT Pro Black"/>
          <w:b/>
          <w:bCs/>
        </w:rPr>
      </w:pPr>
    </w:p>
    <w:p w14:paraId="5A53E60A" w14:textId="77777777" w:rsidR="00F11840" w:rsidRDefault="00F11840" w:rsidP="00F11840">
      <w:pPr>
        <w:jc w:val="center"/>
        <w:rPr>
          <w:rFonts w:ascii="Amasis MT Pro Black" w:hAnsi="Amasis MT Pro Black"/>
          <w:b/>
          <w:bCs/>
        </w:rPr>
      </w:pPr>
    </w:p>
    <w:p w14:paraId="5C1E6B85" w14:textId="27F48B8B" w:rsidR="00F11840" w:rsidRDefault="00F11840" w:rsidP="00F11840">
      <w:pPr>
        <w:jc w:val="center"/>
        <w:rPr>
          <w:rFonts w:ascii="Amasis MT Pro Black" w:hAnsi="Amasis MT Pro Black"/>
          <w:b/>
          <w:bCs/>
        </w:rPr>
      </w:pPr>
      <w:r>
        <w:rPr>
          <w:rFonts w:ascii="Amasis MT Pro Black" w:hAnsi="Amasis MT Pro Black"/>
          <w:b/>
          <w:bCs/>
        </w:rPr>
        <w:t>AUTOR:</w:t>
      </w:r>
    </w:p>
    <w:p w14:paraId="13431F81" w14:textId="3CD194CA" w:rsidR="00F11840" w:rsidRDefault="00F11840" w:rsidP="00F11840">
      <w:pPr>
        <w:jc w:val="center"/>
        <w:rPr>
          <w:rFonts w:ascii="Amasis MT Pro Black" w:hAnsi="Amasis MT Pro Black"/>
          <w:b/>
          <w:bCs/>
        </w:rPr>
      </w:pPr>
      <w:r>
        <w:rPr>
          <w:rFonts w:ascii="Amasis MT Pro Black" w:hAnsi="Amasis MT Pro Black"/>
          <w:b/>
          <w:bCs/>
        </w:rPr>
        <w:t>Alejandro Carriel</w:t>
      </w:r>
    </w:p>
    <w:p w14:paraId="467B7B45" w14:textId="77777777" w:rsidR="00F11840" w:rsidRDefault="00F11840" w:rsidP="00F11840">
      <w:pPr>
        <w:jc w:val="center"/>
        <w:rPr>
          <w:rFonts w:ascii="Amasis MT Pro Black" w:hAnsi="Amasis MT Pro Black"/>
          <w:b/>
          <w:bCs/>
        </w:rPr>
      </w:pPr>
    </w:p>
    <w:p w14:paraId="06CBA38C" w14:textId="77777777" w:rsidR="00F11840" w:rsidRDefault="00F11840" w:rsidP="00F11840">
      <w:pPr>
        <w:jc w:val="center"/>
        <w:rPr>
          <w:rFonts w:ascii="Amasis MT Pro Black" w:hAnsi="Amasis MT Pro Black"/>
          <w:b/>
          <w:bCs/>
        </w:rPr>
      </w:pPr>
    </w:p>
    <w:p w14:paraId="26DB1759" w14:textId="77777777" w:rsidR="00F11840" w:rsidRDefault="00F11840" w:rsidP="00F11840">
      <w:pPr>
        <w:jc w:val="center"/>
        <w:rPr>
          <w:rFonts w:ascii="Amasis MT Pro Black" w:hAnsi="Amasis MT Pro Black"/>
          <w:b/>
          <w:bCs/>
        </w:rPr>
      </w:pPr>
    </w:p>
    <w:p w14:paraId="3D4D3B7B" w14:textId="4891E006" w:rsidR="00F11840" w:rsidRDefault="00F11840" w:rsidP="00F11840">
      <w:pPr>
        <w:jc w:val="center"/>
        <w:rPr>
          <w:rFonts w:ascii="Amasis MT Pro Black" w:hAnsi="Amasis MT Pro Black"/>
          <w:b/>
          <w:bCs/>
        </w:rPr>
      </w:pPr>
      <w:r>
        <w:rPr>
          <w:rFonts w:ascii="Amasis MT Pro Black" w:hAnsi="Amasis MT Pro Black"/>
          <w:b/>
          <w:bCs/>
        </w:rPr>
        <w:t>Segundo periodo ordinario</w:t>
      </w:r>
    </w:p>
    <w:p w14:paraId="1C226019" w14:textId="77777777" w:rsidR="00F11840" w:rsidRDefault="00F11840" w:rsidP="00F11840">
      <w:pPr>
        <w:jc w:val="center"/>
        <w:rPr>
          <w:rFonts w:ascii="Amasis MT Pro Black" w:hAnsi="Amasis MT Pro Black"/>
          <w:b/>
          <w:bCs/>
        </w:rPr>
      </w:pPr>
    </w:p>
    <w:p w14:paraId="40CB6142" w14:textId="24B8EC16" w:rsidR="00F11840" w:rsidRDefault="000245C0" w:rsidP="000245C0">
      <w:pPr>
        <w:jc w:val="center"/>
        <w:rPr>
          <w:rFonts w:ascii="Times New Roman" w:hAnsi="Times New Roman" w:cs="Times New Roman"/>
          <w:b/>
          <w:bCs/>
        </w:rPr>
      </w:pPr>
      <w:r>
        <w:rPr>
          <w:rFonts w:ascii="Times New Roman" w:hAnsi="Times New Roman" w:cs="Times New Roman"/>
          <w:b/>
          <w:bCs/>
        </w:rPr>
        <w:lastRenderedPageBreak/>
        <w:t>Introducción</w:t>
      </w:r>
    </w:p>
    <w:p w14:paraId="3F9777DE" w14:textId="7D6474C6" w:rsidR="000245C0" w:rsidRDefault="000245C0" w:rsidP="000245C0">
      <w:pPr>
        <w:rPr>
          <w:rFonts w:ascii="Times New Roman" w:hAnsi="Times New Roman" w:cs="Times New Roman"/>
        </w:rPr>
      </w:pPr>
      <w:r w:rsidRPr="000245C0">
        <w:rPr>
          <w:rFonts w:ascii="Times New Roman" w:hAnsi="Times New Roman" w:cs="Times New Roman"/>
        </w:rPr>
        <w:t xml:space="preserve">El presente trabajo corresponde al desarrollo de la primera versión de una interfaz web para una plataforma de gestión y monitoreo de incidentes de ciberseguridad, en el marco de la Unidad 1 de la asignatura Desarrollo de Plataformas. El objetivo principal es aplicar los fundamentos del desarrollo web mediante el uso de HTML5 semántico, formularios accesibles con validación nativa y una hoja de estilos CSS3 que incorpora el modelo de caja, </w:t>
      </w:r>
      <w:proofErr w:type="spellStart"/>
      <w:r w:rsidRPr="000245C0">
        <w:rPr>
          <w:rFonts w:ascii="Times New Roman" w:hAnsi="Times New Roman" w:cs="Times New Roman"/>
        </w:rPr>
        <w:t>Flexbox</w:t>
      </w:r>
      <w:proofErr w:type="spellEnd"/>
      <w:r w:rsidRPr="000245C0">
        <w:rPr>
          <w:rFonts w:ascii="Times New Roman" w:hAnsi="Times New Roman" w:cs="Times New Roman"/>
        </w:rPr>
        <w:t xml:space="preserve">, </w:t>
      </w:r>
      <w:proofErr w:type="spellStart"/>
      <w:r w:rsidRPr="000245C0">
        <w:rPr>
          <w:rFonts w:ascii="Times New Roman" w:hAnsi="Times New Roman" w:cs="Times New Roman"/>
        </w:rPr>
        <w:t>Grid</w:t>
      </w:r>
      <w:proofErr w:type="spellEnd"/>
      <w:r w:rsidRPr="000245C0">
        <w:rPr>
          <w:rFonts w:ascii="Times New Roman" w:hAnsi="Times New Roman" w:cs="Times New Roman"/>
        </w:rPr>
        <w:t xml:space="preserve"> y media </w:t>
      </w:r>
      <w:proofErr w:type="spellStart"/>
      <w:r w:rsidRPr="000245C0">
        <w:rPr>
          <w:rFonts w:ascii="Times New Roman" w:hAnsi="Times New Roman" w:cs="Times New Roman"/>
        </w:rPr>
        <w:t>queries</w:t>
      </w:r>
      <w:proofErr w:type="spellEnd"/>
      <w:r w:rsidRPr="000245C0">
        <w:rPr>
          <w:rFonts w:ascii="Times New Roman" w:hAnsi="Times New Roman" w:cs="Times New Roman"/>
        </w:rPr>
        <w:t>. La interfaz se diseñó con un enfoque responsive y accesible, permitiendo su correcta visualización tanto en dispositivos de escritorio como en dispositivos móviles, cumpliendo así con los criterios de evaluación establecidos para esta actividad.</w:t>
      </w:r>
    </w:p>
    <w:p w14:paraId="3FC03F8D" w14:textId="4AA89B2F" w:rsidR="000245C0" w:rsidRDefault="000245C0" w:rsidP="000245C0">
      <w:pPr>
        <w:jc w:val="center"/>
        <w:rPr>
          <w:rFonts w:ascii="Times New Roman" w:hAnsi="Times New Roman" w:cs="Times New Roman"/>
          <w:b/>
          <w:bCs/>
        </w:rPr>
      </w:pPr>
      <w:r>
        <w:rPr>
          <w:rFonts w:ascii="Times New Roman" w:hAnsi="Times New Roman" w:cs="Times New Roman"/>
          <w:b/>
          <w:bCs/>
        </w:rPr>
        <w:t>Evidencias</w:t>
      </w:r>
    </w:p>
    <w:p w14:paraId="0A29BA9E" w14:textId="0B56F8A6" w:rsidR="000245C0" w:rsidRPr="000245C0" w:rsidRDefault="000245C0" w:rsidP="000245C0">
      <w:pPr>
        <w:rPr>
          <w:rFonts w:ascii="Times New Roman" w:hAnsi="Times New Roman" w:cs="Times New Roman"/>
          <w:b/>
          <w:bCs/>
        </w:rPr>
      </w:pPr>
      <w:r w:rsidRPr="000245C0">
        <w:rPr>
          <w:rFonts w:ascii="Times New Roman" w:hAnsi="Times New Roman" w:cs="Times New Roman"/>
          <w:b/>
          <w:bCs/>
          <w:noProof/>
        </w:rPr>
        <w:drawing>
          <wp:inline distT="0" distB="0" distL="0" distR="0" wp14:anchorId="6172BF82" wp14:editId="6348DB5C">
            <wp:extent cx="5400040" cy="2793365"/>
            <wp:effectExtent l="0" t="0" r="0" b="6985"/>
            <wp:docPr id="707984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556"/>
                    <a:stretch>
                      <a:fillRect/>
                    </a:stretch>
                  </pic:blipFill>
                  <pic:spPr bwMode="auto">
                    <a:xfrm>
                      <a:off x="0" y="0"/>
                      <a:ext cx="5400040" cy="2793365"/>
                    </a:xfrm>
                    <a:prstGeom prst="rect">
                      <a:avLst/>
                    </a:prstGeom>
                    <a:noFill/>
                    <a:ln>
                      <a:noFill/>
                    </a:ln>
                    <a:extLst>
                      <a:ext uri="{53640926-AAD7-44D8-BBD7-CCE9431645EC}">
                        <a14:shadowObscured xmlns:a14="http://schemas.microsoft.com/office/drawing/2010/main"/>
                      </a:ext>
                    </a:extLst>
                  </pic:spPr>
                </pic:pic>
              </a:graphicData>
            </a:graphic>
          </wp:inline>
        </w:drawing>
      </w:r>
    </w:p>
    <w:p w14:paraId="67445A80" w14:textId="26287413" w:rsidR="000245C0" w:rsidRPr="000245C0" w:rsidRDefault="000245C0" w:rsidP="000245C0">
      <w:pPr>
        <w:rPr>
          <w:rFonts w:ascii="Times New Roman" w:hAnsi="Times New Roman" w:cs="Times New Roman"/>
          <w:b/>
          <w:bCs/>
        </w:rPr>
      </w:pPr>
      <w:r w:rsidRPr="000245C0">
        <w:rPr>
          <w:rFonts w:ascii="Times New Roman" w:hAnsi="Times New Roman" w:cs="Times New Roman"/>
          <w:b/>
          <w:bCs/>
          <w:noProof/>
        </w:rPr>
        <w:drawing>
          <wp:inline distT="0" distB="0" distL="0" distR="0" wp14:anchorId="364A9BB6" wp14:editId="10314875">
            <wp:extent cx="5400040" cy="2787650"/>
            <wp:effectExtent l="0" t="0" r="0" b="0"/>
            <wp:docPr id="18726542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566"/>
                    <a:stretch>
                      <a:fillRect/>
                    </a:stretch>
                  </pic:blipFill>
                  <pic:spPr bwMode="auto">
                    <a:xfrm>
                      <a:off x="0" y="0"/>
                      <a:ext cx="540004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3125A05A" w14:textId="2CC1ECFC" w:rsidR="000245C0" w:rsidRPr="000245C0" w:rsidRDefault="000245C0" w:rsidP="000245C0">
      <w:pPr>
        <w:rPr>
          <w:rFonts w:ascii="Times New Roman" w:hAnsi="Times New Roman" w:cs="Times New Roman"/>
          <w:b/>
          <w:bCs/>
        </w:rPr>
      </w:pPr>
      <w:r w:rsidRPr="000245C0">
        <w:rPr>
          <w:rFonts w:ascii="Times New Roman" w:hAnsi="Times New Roman" w:cs="Times New Roman"/>
          <w:b/>
          <w:bCs/>
          <w:noProof/>
        </w:rPr>
        <w:lastRenderedPageBreak/>
        <w:drawing>
          <wp:inline distT="0" distB="0" distL="0" distR="0" wp14:anchorId="6FD3F331" wp14:editId="3F8793D2">
            <wp:extent cx="5400040" cy="2780665"/>
            <wp:effectExtent l="0" t="0" r="0" b="635"/>
            <wp:docPr id="5061976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887"/>
                    <a:stretch>
                      <a:fillRect/>
                    </a:stretch>
                  </pic:blipFill>
                  <pic:spPr bwMode="auto">
                    <a:xfrm>
                      <a:off x="0" y="0"/>
                      <a:ext cx="5400040" cy="2780665"/>
                    </a:xfrm>
                    <a:prstGeom prst="rect">
                      <a:avLst/>
                    </a:prstGeom>
                    <a:noFill/>
                    <a:ln>
                      <a:noFill/>
                    </a:ln>
                    <a:extLst>
                      <a:ext uri="{53640926-AAD7-44D8-BBD7-CCE9431645EC}">
                        <a14:shadowObscured xmlns:a14="http://schemas.microsoft.com/office/drawing/2010/main"/>
                      </a:ext>
                    </a:extLst>
                  </pic:spPr>
                </pic:pic>
              </a:graphicData>
            </a:graphic>
          </wp:inline>
        </w:drawing>
      </w:r>
    </w:p>
    <w:p w14:paraId="23012A75" w14:textId="01B1F727" w:rsidR="000245C0" w:rsidRDefault="000245C0" w:rsidP="000245C0">
      <w:pPr>
        <w:jc w:val="center"/>
        <w:rPr>
          <w:rFonts w:ascii="Times New Roman" w:hAnsi="Times New Roman" w:cs="Times New Roman"/>
          <w:b/>
          <w:bCs/>
        </w:rPr>
      </w:pPr>
      <w:r>
        <w:rPr>
          <w:rFonts w:ascii="Times New Roman" w:hAnsi="Times New Roman" w:cs="Times New Roman"/>
          <w:b/>
          <w:bCs/>
        </w:rPr>
        <w:t>Justificación técnica</w:t>
      </w:r>
    </w:p>
    <w:p w14:paraId="30AE6FBB" w14:textId="296BAAA2" w:rsidR="000245C0" w:rsidRDefault="000245C0" w:rsidP="000245C0">
      <w:pPr>
        <w:rPr>
          <w:rFonts w:ascii="Times New Roman" w:hAnsi="Times New Roman" w:cs="Times New Roman"/>
        </w:rPr>
      </w:pPr>
      <w:r>
        <w:rPr>
          <w:rFonts w:ascii="Times New Roman" w:hAnsi="Times New Roman" w:cs="Times New Roman"/>
        </w:rPr>
        <w:t xml:space="preserve">El desarrollo de esta </w:t>
      </w:r>
      <w:proofErr w:type="spellStart"/>
      <w:r>
        <w:rPr>
          <w:rFonts w:ascii="Times New Roman" w:hAnsi="Times New Roman" w:cs="Times New Roman"/>
        </w:rPr>
        <w:t>intefaz</w:t>
      </w:r>
      <w:proofErr w:type="spellEnd"/>
      <w:r>
        <w:rPr>
          <w:rFonts w:ascii="Times New Roman" w:hAnsi="Times New Roman" w:cs="Times New Roman"/>
        </w:rPr>
        <w:t xml:space="preserve"> web para la gestión de incidentes de ciberseguridad se realizó aplicando de manera integral los fundamentos estudiados en la Unidad 1. A continuación explicare de forma detallada cómo se incorporaron los principales conceptos y técnicas trabajadas durante esta unidad.</w:t>
      </w:r>
    </w:p>
    <w:p w14:paraId="4D77EB22" w14:textId="42A38161" w:rsidR="000245C0" w:rsidRDefault="000245C0" w:rsidP="000245C0">
      <w:pPr>
        <w:rPr>
          <w:rFonts w:ascii="Times New Roman" w:hAnsi="Times New Roman" w:cs="Times New Roman"/>
        </w:rPr>
      </w:pPr>
      <w:r>
        <w:rPr>
          <w:rFonts w:ascii="Times New Roman" w:hAnsi="Times New Roman" w:cs="Times New Roman"/>
        </w:rPr>
        <w:t>En primer lugar, utilice una estructura semántica basada en HTML5. El documento se organizó mediante las etiquetas estructurales &lt;</w:t>
      </w:r>
      <w:proofErr w:type="spellStart"/>
      <w:r>
        <w:rPr>
          <w:rFonts w:ascii="Times New Roman" w:hAnsi="Times New Roman" w:cs="Times New Roman"/>
        </w:rPr>
        <w:t>header</w:t>
      </w:r>
      <w:proofErr w:type="spellEnd"/>
      <w:r>
        <w:rPr>
          <w:rFonts w:ascii="Times New Roman" w:hAnsi="Times New Roman" w:cs="Times New Roman"/>
        </w:rPr>
        <w:t>&gt;, &lt;</w:t>
      </w:r>
      <w:proofErr w:type="spellStart"/>
      <w:r>
        <w:rPr>
          <w:rFonts w:ascii="Times New Roman" w:hAnsi="Times New Roman" w:cs="Times New Roman"/>
        </w:rPr>
        <w:t>nav</w:t>
      </w:r>
      <w:proofErr w:type="spellEnd"/>
      <w:r>
        <w:rPr>
          <w:rFonts w:ascii="Times New Roman" w:hAnsi="Times New Roman" w:cs="Times New Roman"/>
        </w:rPr>
        <w:t>&gt;, &lt;</w:t>
      </w:r>
      <w:proofErr w:type="spellStart"/>
      <w:r>
        <w:rPr>
          <w:rFonts w:ascii="Times New Roman" w:hAnsi="Times New Roman" w:cs="Times New Roman"/>
        </w:rPr>
        <w:t>main</w:t>
      </w:r>
      <w:proofErr w:type="spellEnd"/>
      <w:r>
        <w:rPr>
          <w:rFonts w:ascii="Times New Roman" w:hAnsi="Times New Roman" w:cs="Times New Roman"/>
        </w:rPr>
        <w:t>&gt;, &lt;</w:t>
      </w:r>
      <w:proofErr w:type="spellStart"/>
      <w:r>
        <w:rPr>
          <w:rFonts w:ascii="Times New Roman" w:hAnsi="Times New Roman" w:cs="Times New Roman"/>
        </w:rPr>
        <w:t>section</w:t>
      </w:r>
      <w:proofErr w:type="spellEnd"/>
      <w:r>
        <w:rPr>
          <w:rFonts w:ascii="Times New Roman" w:hAnsi="Times New Roman" w:cs="Times New Roman"/>
        </w:rPr>
        <w:t>&gt;, &lt;aside&gt; y &lt;</w:t>
      </w:r>
      <w:proofErr w:type="spellStart"/>
      <w:r>
        <w:rPr>
          <w:rFonts w:ascii="Times New Roman" w:hAnsi="Times New Roman" w:cs="Times New Roman"/>
        </w:rPr>
        <w:t>footer</w:t>
      </w:r>
      <w:proofErr w:type="spellEnd"/>
      <w:r>
        <w:rPr>
          <w:rFonts w:ascii="Times New Roman" w:hAnsi="Times New Roman" w:cs="Times New Roman"/>
        </w:rPr>
        <w:t>&gt;, lo que permite una correcta jerarquía de contenidos y facilita tanto la comprensión del código como su interpretación por parte de navegadores y tecnologías de asistencia. El listado de incidentes se implementó mediante elementos &lt;</w:t>
      </w:r>
      <w:proofErr w:type="spellStart"/>
      <w:r>
        <w:rPr>
          <w:rFonts w:ascii="Times New Roman" w:hAnsi="Times New Roman" w:cs="Times New Roman"/>
        </w:rPr>
        <w:t>article</w:t>
      </w:r>
      <w:proofErr w:type="spellEnd"/>
      <w:r>
        <w:rPr>
          <w:rFonts w:ascii="Times New Roman" w:hAnsi="Times New Roman" w:cs="Times New Roman"/>
        </w:rPr>
        <w:t>&gt;, mientras que el formulario de registro y la vista de detalle se agruparon en secciones claramente identificadas.</w:t>
      </w:r>
    </w:p>
    <w:p w14:paraId="4AE7E13B" w14:textId="361CA529" w:rsidR="000245C0" w:rsidRDefault="000245C0" w:rsidP="000245C0">
      <w:pPr>
        <w:rPr>
          <w:rFonts w:ascii="Times New Roman" w:hAnsi="Times New Roman" w:cs="Times New Roman"/>
        </w:rPr>
      </w:pPr>
      <w:r>
        <w:rPr>
          <w:rFonts w:ascii="Times New Roman" w:hAnsi="Times New Roman" w:cs="Times New Roman"/>
        </w:rPr>
        <w:t>Esta organización semántica no solo mejora la mantenibilidad del código, sino que también contribuye a una mejor indexación y accesibilidad, aspectos fundamentales en el desarrollo de plataformas modernas.</w:t>
      </w:r>
    </w:p>
    <w:p w14:paraId="4B51679D" w14:textId="13A38D4D" w:rsidR="002B09F6" w:rsidRDefault="002B09F6" w:rsidP="000245C0">
      <w:pPr>
        <w:rPr>
          <w:rFonts w:ascii="Times New Roman" w:hAnsi="Times New Roman" w:cs="Times New Roman"/>
        </w:rPr>
      </w:pPr>
      <w:r>
        <w:rPr>
          <w:rFonts w:ascii="Times New Roman" w:hAnsi="Times New Roman" w:cs="Times New Roman"/>
        </w:rPr>
        <w:t xml:space="preserve">Respecto al formulario de registro de incidentes, se aplicaron principios de accesibilidad y usabilidad. Cada campo cuenta con sus </w:t>
      </w:r>
      <w:proofErr w:type="gramStart"/>
      <w:r>
        <w:rPr>
          <w:rFonts w:ascii="Times New Roman" w:hAnsi="Times New Roman" w:cs="Times New Roman"/>
        </w:rPr>
        <w:t>correspondientes etiqueta</w:t>
      </w:r>
      <w:proofErr w:type="gramEnd"/>
      <w:r>
        <w:rPr>
          <w:rFonts w:ascii="Times New Roman" w:hAnsi="Times New Roman" w:cs="Times New Roman"/>
        </w:rPr>
        <w:t xml:space="preserve"> &lt;</w:t>
      </w:r>
      <w:proofErr w:type="spellStart"/>
      <w:r>
        <w:rPr>
          <w:rFonts w:ascii="Times New Roman" w:hAnsi="Times New Roman" w:cs="Times New Roman"/>
        </w:rPr>
        <w:t>label</w:t>
      </w:r>
      <w:proofErr w:type="spellEnd"/>
      <w:r>
        <w:rPr>
          <w:rFonts w:ascii="Times New Roman" w:hAnsi="Times New Roman" w:cs="Times New Roman"/>
        </w:rPr>
        <w:t>&gt; asociada mediante el atributo “</w:t>
      </w:r>
      <w:proofErr w:type="spellStart"/>
      <w:r>
        <w:rPr>
          <w:rFonts w:ascii="Times New Roman" w:hAnsi="Times New Roman" w:cs="Times New Roman"/>
        </w:rPr>
        <w:t>for</w:t>
      </w:r>
      <w:proofErr w:type="spellEnd"/>
      <w:r>
        <w:rPr>
          <w:rFonts w:ascii="Times New Roman" w:hAnsi="Times New Roman" w:cs="Times New Roman"/>
        </w:rPr>
        <w:t>”, lo que permite una correcta identificación por parte de lectores de pantalla. Se incorporaron textos de ayuda contextual mediante elementos &lt;</w:t>
      </w:r>
      <w:proofErr w:type="spellStart"/>
      <w:r>
        <w:rPr>
          <w:rFonts w:ascii="Times New Roman" w:hAnsi="Times New Roman" w:cs="Times New Roman"/>
        </w:rPr>
        <w:t>span</w:t>
      </w:r>
      <w:proofErr w:type="spellEnd"/>
      <w:r>
        <w:rPr>
          <w:rFonts w:ascii="Times New Roman" w:hAnsi="Times New Roman" w:cs="Times New Roman"/>
        </w:rPr>
        <w:t xml:space="preserve">&gt; con clase “ayuda”, orientados a guiar al usuario durante el ingreso de información. La validación se resolvió de forma nativa a través de atributos HTML5 como </w:t>
      </w:r>
      <w:proofErr w:type="spellStart"/>
      <w:r>
        <w:rPr>
          <w:rFonts w:ascii="Times New Roman" w:hAnsi="Times New Roman" w:cs="Times New Roman"/>
        </w:rPr>
        <w:t>required</w:t>
      </w:r>
      <w:proofErr w:type="spellEnd"/>
      <w:r>
        <w:rPr>
          <w:rFonts w:ascii="Times New Roman" w:hAnsi="Times New Roman" w:cs="Times New Roman"/>
        </w:rPr>
        <w:t xml:space="preserve">, </w:t>
      </w:r>
      <w:proofErr w:type="spellStart"/>
      <w:r>
        <w:rPr>
          <w:rFonts w:ascii="Times New Roman" w:hAnsi="Times New Roman" w:cs="Times New Roman"/>
        </w:rPr>
        <w:t>minlenght</w:t>
      </w:r>
      <w:proofErr w:type="spellEnd"/>
      <w:r>
        <w:rPr>
          <w:rFonts w:ascii="Times New Roman" w:hAnsi="Times New Roman" w:cs="Times New Roman"/>
        </w:rPr>
        <w:t xml:space="preserve">, </w:t>
      </w:r>
      <w:proofErr w:type="spellStart"/>
      <w:r>
        <w:rPr>
          <w:rFonts w:ascii="Times New Roman" w:hAnsi="Times New Roman" w:cs="Times New Roman"/>
        </w:rPr>
        <w:t>maxlenght</w:t>
      </w:r>
      <w:proofErr w:type="spellEnd"/>
      <w:r>
        <w:rPr>
          <w:rFonts w:ascii="Times New Roman" w:hAnsi="Times New Roman" w:cs="Times New Roman"/>
        </w:rPr>
        <w:t xml:space="preserve">, </w:t>
      </w:r>
      <w:proofErr w:type="spellStart"/>
      <w:r>
        <w:rPr>
          <w:rFonts w:ascii="Times New Roman" w:hAnsi="Times New Roman" w:cs="Times New Roman"/>
        </w:rPr>
        <w:t>type</w:t>
      </w:r>
      <w:proofErr w:type="spellEnd"/>
      <w:r>
        <w:rPr>
          <w:rFonts w:ascii="Times New Roman" w:hAnsi="Times New Roman" w:cs="Times New Roman"/>
        </w:rPr>
        <w:t xml:space="preserve">= “email” y </w:t>
      </w:r>
      <w:proofErr w:type="spellStart"/>
      <w:r>
        <w:rPr>
          <w:rFonts w:ascii="Times New Roman" w:hAnsi="Times New Roman" w:cs="Times New Roman"/>
        </w:rPr>
        <w:t>type</w:t>
      </w:r>
      <w:proofErr w:type="spellEnd"/>
      <w:r>
        <w:rPr>
          <w:rFonts w:ascii="Times New Roman" w:hAnsi="Times New Roman" w:cs="Times New Roman"/>
        </w:rPr>
        <w:t>= “date”, evitando la necesidad de JavaScript en esta primera versión.</w:t>
      </w:r>
    </w:p>
    <w:p w14:paraId="6A855F8D" w14:textId="03FD7FF8" w:rsidR="002B09F6" w:rsidRDefault="002B09F6" w:rsidP="000245C0">
      <w:pPr>
        <w:rPr>
          <w:rFonts w:ascii="Times New Roman" w:hAnsi="Times New Roman" w:cs="Times New Roman"/>
        </w:rPr>
      </w:pPr>
      <w:r>
        <w:rPr>
          <w:rFonts w:ascii="Times New Roman" w:hAnsi="Times New Roman" w:cs="Times New Roman"/>
        </w:rPr>
        <w:t xml:space="preserve">Estas decisiones se alinean con las pautas de accesibilidad WCAG, especialmente en los principios de </w:t>
      </w:r>
      <w:proofErr w:type="spellStart"/>
      <w:r>
        <w:rPr>
          <w:rFonts w:ascii="Times New Roman" w:hAnsi="Times New Roman" w:cs="Times New Roman"/>
        </w:rPr>
        <w:t>percebible</w:t>
      </w:r>
      <w:proofErr w:type="spellEnd"/>
      <w:r>
        <w:rPr>
          <w:rFonts w:ascii="Times New Roman" w:hAnsi="Times New Roman" w:cs="Times New Roman"/>
        </w:rPr>
        <w:t xml:space="preserve"> y operable, al garantizar que el formulario sea comprensible y utilizable por la mayor cantidad de personas posible.</w:t>
      </w:r>
    </w:p>
    <w:p w14:paraId="6F10CD6F" w14:textId="77777777" w:rsidR="002B09F6" w:rsidRDefault="002B09F6" w:rsidP="002B09F6">
      <w:pPr>
        <w:rPr>
          <w:rFonts w:ascii="Times New Roman" w:hAnsi="Times New Roman" w:cs="Times New Roman"/>
        </w:rPr>
      </w:pPr>
      <w:r w:rsidRPr="002B09F6">
        <w:rPr>
          <w:rFonts w:ascii="Times New Roman" w:hAnsi="Times New Roman" w:cs="Times New Roman"/>
        </w:rPr>
        <w:lastRenderedPageBreak/>
        <w:t>La presentación visual de la interfaz se resolvió mediante una hoja de estilos externa (estilos.css), aplicando de manera consciente las principales técnicas de CSS3. Se utilizó el modelo de caja (box-</w:t>
      </w:r>
      <w:proofErr w:type="spellStart"/>
      <w:r w:rsidRPr="002B09F6">
        <w:rPr>
          <w:rFonts w:ascii="Times New Roman" w:hAnsi="Times New Roman" w:cs="Times New Roman"/>
        </w:rPr>
        <w:t>sizing</w:t>
      </w:r>
      <w:proofErr w:type="spellEnd"/>
      <w:r w:rsidRPr="002B09F6">
        <w:rPr>
          <w:rFonts w:ascii="Times New Roman" w:hAnsi="Times New Roman" w:cs="Times New Roman"/>
        </w:rPr>
        <w:t xml:space="preserve">: </w:t>
      </w:r>
      <w:proofErr w:type="spellStart"/>
      <w:r w:rsidRPr="002B09F6">
        <w:rPr>
          <w:rFonts w:ascii="Times New Roman" w:hAnsi="Times New Roman" w:cs="Times New Roman"/>
        </w:rPr>
        <w:t>border</w:t>
      </w:r>
      <w:proofErr w:type="spellEnd"/>
      <w:r w:rsidRPr="002B09F6">
        <w:rPr>
          <w:rFonts w:ascii="Times New Roman" w:hAnsi="Times New Roman" w:cs="Times New Roman"/>
        </w:rPr>
        <w:t xml:space="preserve">-box) para un control predecible de anchos, márgenes y rellenos. El menú de navegación y el listado de tarjetas de incidentes se estructuraron con </w:t>
      </w:r>
      <w:proofErr w:type="spellStart"/>
      <w:r w:rsidRPr="002B09F6">
        <w:rPr>
          <w:rFonts w:ascii="Times New Roman" w:hAnsi="Times New Roman" w:cs="Times New Roman"/>
        </w:rPr>
        <w:t>Flexbox</w:t>
      </w:r>
      <w:proofErr w:type="spellEnd"/>
      <w:r w:rsidRPr="002B09F6">
        <w:rPr>
          <w:rFonts w:ascii="Times New Roman" w:hAnsi="Times New Roman" w:cs="Times New Roman"/>
        </w:rPr>
        <w:t xml:space="preserve">, lo que permitió una distribución flexible y adaptable de los elementos. El </w:t>
      </w:r>
      <w:proofErr w:type="spellStart"/>
      <w:r w:rsidRPr="002B09F6">
        <w:rPr>
          <w:rFonts w:ascii="Times New Roman" w:hAnsi="Times New Roman" w:cs="Times New Roman"/>
        </w:rPr>
        <w:t>layout</w:t>
      </w:r>
      <w:proofErr w:type="spellEnd"/>
      <w:r w:rsidRPr="002B09F6">
        <w:rPr>
          <w:rFonts w:ascii="Times New Roman" w:hAnsi="Times New Roman" w:cs="Times New Roman"/>
        </w:rPr>
        <w:t xml:space="preserve"> principal de la página, compuesto por el contenido central y el panel lateral (aside), se resolvió mediante CSS </w:t>
      </w:r>
      <w:proofErr w:type="spellStart"/>
      <w:r w:rsidRPr="002B09F6">
        <w:rPr>
          <w:rFonts w:ascii="Times New Roman" w:hAnsi="Times New Roman" w:cs="Times New Roman"/>
        </w:rPr>
        <w:t>Grid</w:t>
      </w:r>
      <w:proofErr w:type="spellEnd"/>
      <w:r w:rsidRPr="002B09F6">
        <w:rPr>
          <w:rFonts w:ascii="Times New Roman" w:hAnsi="Times New Roman" w:cs="Times New Roman"/>
        </w:rPr>
        <w:t xml:space="preserve">, facilitando una organización en dos columnas en pantallas amplias. </w:t>
      </w:r>
    </w:p>
    <w:p w14:paraId="67554C45" w14:textId="1C25BEAE" w:rsidR="002B09F6" w:rsidRPr="002B09F6" w:rsidRDefault="002B09F6" w:rsidP="002B09F6">
      <w:pPr>
        <w:rPr>
          <w:rFonts w:ascii="Times New Roman" w:hAnsi="Times New Roman" w:cs="Times New Roman"/>
        </w:rPr>
      </w:pPr>
      <w:r w:rsidRPr="002B09F6">
        <w:rPr>
          <w:rFonts w:ascii="Times New Roman" w:hAnsi="Times New Roman" w:cs="Times New Roman"/>
        </w:rPr>
        <w:t xml:space="preserve">Finalmente, se implementaron media </w:t>
      </w:r>
      <w:proofErr w:type="spellStart"/>
      <w:r w:rsidRPr="002B09F6">
        <w:rPr>
          <w:rFonts w:ascii="Times New Roman" w:hAnsi="Times New Roman" w:cs="Times New Roman"/>
        </w:rPr>
        <w:t>queries</w:t>
      </w:r>
      <w:proofErr w:type="spellEnd"/>
      <w:r w:rsidRPr="002B09F6">
        <w:rPr>
          <w:rFonts w:ascii="Times New Roman" w:hAnsi="Times New Roman" w:cs="Times New Roman"/>
        </w:rPr>
        <w:t xml:space="preserve"> en los puntos de quiebre de 900px y 600px, logrando que la interfaz se adapte de forma adecuada a tabletas y dispositivos móviles, cumpliendo así con el requisito de diseño responsive.</w:t>
      </w:r>
    </w:p>
    <w:p w14:paraId="4E5BF152" w14:textId="77777777" w:rsidR="002B09F6" w:rsidRPr="002B09F6" w:rsidRDefault="002B09F6" w:rsidP="002B09F6">
      <w:pPr>
        <w:rPr>
          <w:rFonts w:ascii="Times New Roman" w:hAnsi="Times New Roman" w:cs="Times New Roman"/>
        </w:rPr>
      </w:pPr>
      <w:r w:rsidRPr="002B09F6">
        <w:rPr>
          <w:rFonts w:ascii="Times New Roman" w:hAnsi="Times New Roman" w:cs="Times New Roman"/>
        </w:rPr>
        <w:t xml:space="preserve">Desde el punto de vista conceptual, la solución se enmarca en la arquitectura cliente-servidor. El navegador (cliente) interpreta y renderiza los archivos HTML y CSS, mientras que en una implementación completa el servidor sería el encargado de procesar el registro de incidentes y devolver la información correspondiente. Aunque en esta primera versión los datos son simulados, la estructura desarrollada está preparada para integrarse posteriormente con un </w:t>
      </w:r>
      <w:proofErr w:type="spellStart"/>
      <w:r w:rsidRPr="002B09F6">
        <w:rPr>
          <w:rFonts w:ascii="Times New Roman" w:hAnsi="Times New Roman" w:cs="Times New Roman"/>
        </w:rPr>
        <w:t>backend</w:t>
      </w:r>
      <w:proofErr w:type="spellEnd"/>
      <w:r w:rsidRPr="002B09F6">
        <w:rPr>
          <w:rFonts w:ascii="Times New Roman" w:hAnsi="Times New Roman" w:cs="Times New Roman"/>
        </w:rPr>
        <w:t>.</w:t>
      </w:r>
    </w:p>
    <w:p w14:paraId="3845B31A" w14:textId="77777777" w:rsidR="002B09F6" w:rsidRPr="002B09F6" w:rsidRDefault="002B09F6" w:rsidP="002B09F6">
      <w:pPr>
        <w:rPr>
          <w:rFonts w:ascii="Times New Roman" w:hAnsi="Times New Roman" w:cs="Times New Roman"/>
        </w:rPr>
      </w:pPr>
      <w:r w:rsidRPr="002B09F6">
        <w:rPr>
          <w:rFonts w:ascii="Times New Roman" w:hAnsi="Times New Roman" w:cs="Times New Roman"/>
        </w:rPr>
        <w:t>El diseño visual adoptado, de tono oscuro y con tipografías modernas, busca transmitir una estética acorde al ámbito de la ciberseguridad, sin descuidar la legibilidad ni el contraste necesario para una adecuada experiencia de usuario. Las tarjetas de incidentes incorporan indicadores visuales de severidad mediante colores diferenciados en el borde izquierdo, facilitando la identificación rápida del nivel de criticidad.</w:t>
      </w:r>
    </w:p>
    <w:p w14:paraId="6E6940BB" w14:textId="64F4BDE4" w:rsidR="002B09F6" w:rsidRDefault="002B09F6" w:rsidP="002B09F6">
      <w:pPr>
        <w:rPr>
          <w:rFonts w:ascii="Times New Roman" w:hAnsi="Times New Roman" w:cs="Times New Roman"/>
        </w:rPr>
      </w:pPr>
      <w:r w:rsidRPr="002B09F6">
        <w:rPr>
          <w:rFonts w:ascii="Times New Roman" w:hAnsi="Times New Roman" w:cs="Times New Roman"/>
        </w:rPr>
        <w:t xml:space="preserve">En conjunto, el proyecto demuestra la aplicación práctica de los temas centrales de la Unidad 1: fundamentos del desarrollo en plataformas, arquitectura cliente-servidor, HTML5 semántico, formularios accesibles, validación nativa, principios de accesibilidad (WCAG), CSS3, modelo de caja, </w:t>
      </w:r>
      <w:proofErr w:type="spellStart"/>
      <w:r w:rsidRPr="002B09F6">
        <w:rPr>
          <w:rFonts w:ascii="Times New Roman" w:hAnsi="Times New Roman" w:cs="Times New Roman"/>
        </w:rPr>
        <w:t>Flexbox</w:t>
      </w:r>
      <w:proofErr w:type="spellEnd"/>
      <w:r w:rsidRPr="002B09F6">
        <w:rPr>
          <w:rFonts w:ascii="Times New Roman" w:hAnsi="Times New Roman" w:cs="Times New Roman"/>
        </w:rPr>
        <w:t xml:space="preserve">, </w:t>
      </w:r>
      <w:proofErr w:type="spellStart"/>
      <w:r w:rsidRPr="002B09F6">
        <w:rPr>
          <w:rFonts w:ascii="Times New Roman" w:hAnsi="Times New Roman" w:cs="Times New Roman"/>
        </w:rPr>
        <w:t>Grid</w:t>
      </w:r>
      <w:proofErr w:type="spellEnd"/>
      <w:r w:rsidRPr="002B09F6">
        <w:rPr>
          <w:rFonts w:ascii="Times New Roman" w:hAnsi="Times New Roman" w:cs="Times New Roman"/>
        </w:rPr>
        <w:t xml:space="preserve"> y media </w:t>
      </w:r>
      <w:proofErr w:type="spellStart"/>
      <w:r w:rsidRPr="002B09F6">
        <w:rPr>
          <w:rFonts w:ascii="Times New Roman" w:hAnsi="Times New Roman" w:cs="Times New Roman"/>
        </w:rPr>
        <w:t>queries</w:t>
      </w:r>
      <w:proofErr w:type="spellEnd"/>
      <w:r w:rsidRPr="002B09F6">
        <w:rPr>
          <w:rFonts w:ascii="Times New Roman" w:hAnsi="Times New Roman" w:cs="Times New Roman"/>
        </w:rPr>
        <w:t>. La interfaz resultante constituye una base sólida y escalable para una plataforma de gestión de incidentes de ciberseguridad, priorizando la semántica, la accesibilidad y la adaptabilidad a diferentes dispositivos.</w:t>
      </w:r>
    </w:p>
    <w:p w14:paraId="45FA3F29" w14:textId="28F2A98A" w:rsidR="00650233" w:rsidRDefault="00650233" w:rsidP="00650233">
      <w:pPr>
        <w:jc w:val="center"/>
        <w:rPr>
          <w:rFonts w:ascii="Times New Roman" w:hAnsi="Times New Roman" w:cs="Times New Roman"/>
          <w:b/>
          <w:bCs/>
        </w:rPr>
      </w:pPr>
      <w:r>
        <w:rPr>
          <w:rFonts w:ascii="Times New Roman" w:hAnsi="Times New Roman" w:cs="Times New Roman"/>
          <w:b/>
          <w:bCs/>
        </w:rPr>
        <w:t>Conclusiones</w:t>
      </w:r>
    </w:p>
    <w:p w14:paraId="544B82EA" w14:textId="01B193DF" w:rsidR="00650233" w:rsidRPr="00650233" w:rsidRDefault="00650233" w:rsidP="00650233">
      <w:pPr>
        <w:rPr>
          <w:rFonts w:ascii="Times New Roman" w:hAnsi="Times New Roman" w:cs="Times New Roman"/>
        </w:rPr>
      </w:pPr>
      <w:r w:rsidRPr="00650233">
        <w:rPr>
          <w:rFonts w:ascii="Times New Roman" w:hAnsi="Times New Roman" w:cs="Times New Roman"/>
        </w:rPr>
        <w:t xml:space="preserve">El desarrollo de esta interfaz web permitió aplicar de manera práctica los fundamentos de la Unidad 1, integrando HTML5 semántico, formularios accesibles con validación nativa y un diseño responsive basado en CSS3 (Box Model, </w:t>
      </w:r>
      <w:proofErr w:type="spellStart"/>
      <w:r w:rsidRPr="00650233">
        <w:rPr>
          <w:rFonts w:ascii="Times New Roman" w:hAnsi="Times New Roman" w:cs="Times New Roman"/>
        </w:rPr>
        <w:t>Flexbox</w:t>
      </w:r>
      <w:proofErr w:type="spellEnd"/>
      <w:r w:rsidRPr="00650233">
        <w:rPr>
          <w:rFonts w:ascii="Times New Roman" w:hAnsi="Times New Roman" w:cs="Times New Roman"/>
        </w:rPr>
        <w:t xml:space="preserve">, </w:t>
      </w:r>
      <w:proofErr w:type="spellStart"/>
      <w:r w:rsidRPr="00650233">
        <w:rPr>
          <w:rFonts w:ascii="Times New Roman" w:hAnsi="Times New Roman" w:cs="Times New Roman"/>
        </w:rPr>
        <w:t>Grid</w:t>
      </w:r>
      <w:proofErr w:type="spellEnd"/>
      <w:r w:rsidRPr="00650233">
        <w:rPr>
          <w:rFonts w:ascii="Times New Roman" w:hAnsi="Times New Roman" w:cs="Times New Roman"/>
        </w:rPr>
        <w:t xml:space="preserve"> y media </w:t>
      </w:r>
      <w:proofErr w:type="spellStart"/>
      <w:r w:rsidRPr="00650233">
        <w:rPr>
          <w:rFonts w:ascii="Times New Roman" w:hAnsi="Times New Roman" w:cs="Times New Roman"/>
        </w:rPr>
        <w:t>queries</w:t>
      </w:r>
      <w:proofErr w:type="spellEnd"/>
      <w:r w:rsidRPr="00650233">
        <w:rPr>
          <w:rFonts w:ascii="Times New Roman" w:hAnsi="Times New Roman" w:cs="Times New Roman"/>
        </w:rPr>
        <w:t xml:space="preserve">). Se logró construir una primera versión funcional, clara y adaptable a diferentes dispositivos, orientada a la gestión de incidentes de ciberseguridad. Esta base constituye un punto de partida sólido para futuras mejoras e integración con un </w:t>
      </w:r>
      <w:proofErr w:type="spellStart"/>
      <w:r w:rsidRPr="00650233">
        <w:rPr>
          <w:rFonts w:ascii="Times New Roman" w:hAnsi="Times New Roman" w:cs="Times New Roman"/>
        </w:rPr>
        <w:t>backend</w:t>
      </w:r>
      <w:proofErr w:type="spellEnd"/>
      <w:r w:rsidRPr="00650233">
        <w:rPr>
          <w:rFonts w:ascii="Times New Roman" w:hAnsi="Times New Roman" w:cs="Times New Roman"/>
        </w:rPr>
        <w:t>, reafirmando la importancia de la semántica, la accesibilidad y el diseño adaptable en el desarrollo de plataformas web.</w:t>
      </w:r>
    </w:p>
    <w:sectPr w:rsidR="00650233" w:rsidRPr="006502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0128"/>
    <w:multiLevelType w:val="multilevel"/>
    <w:tmpl w:val="1DA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D607D"/>
    <w:multiLevelType w:val="multilevel"/>
    <w:tmpl w:val="E00C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23258"/>
    <w:multiLevelType w:val="hybridMultilevel"/>
    <w:tmpl w:val="CBDE7CD2"/>
    <w:lvl w:ilvl="0" w:tplc="AA40DE04">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479192C"/>
    <w:multiLevelType w:val="multilevel"/>
    <w:tmpl w:val="A0F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1BB2"/>
    <w:multiLevelType w:val="multilevel"/>
    <w:tmpl w:val="417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B73B5"/>
    <w:multiLevelType w:val="multilevel"/>
    <w:tmpl w:val="86C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561D1"/>
    <w:multiLevelType w:val="multilevel"/>
    <w:tmpl w:val="941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720259">
    <w:abstractNumId w:val="2"/>
  </w:num>
  <w:num w:numId="2" w16cid:durableId="1716347907">
    <w:abstractNumId w:val="0"/>
  </w:num>
  <w:num w:numId="3" w16cid:durableId="405610900">
    <w:abstractNumId w:val="1"/>
  </w:num>
  <w:num w:numId="4" w16cid:durableId="716974934">
    <w:abstractNumId w:val="6"/>
  </w:num>
  <w:num w:numId="5" w16cid:durableId="18899247">
    <w:abstractNumId w:val="5"/>
  </w:num>
  <w:num w:numId="6" w16cid:durableId="2092577082">
    <w:abstractNumId w:val="3"/>
  </w:num>
  <w:num w:numId="7" w16cid:durableId="138110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5C"/>
    <w:rsid w:val="000245C0"/>
    <w:rsid w:val="001108B8"/>
    <w:rsid w:val="001E1812"/>
    <w:rsid w:val="00233227"/>
    <w:rsid w:val="00244A75"/>
    <w:rsid w:val="002B09F6"/>
    <w:rsid w:val="00324CF6"/>
    <w:rsid w:val="004C2FEC"/>
    <w:rsid w:val="00577E0A"/>
    <w:rsid w:val="005E0A5C"/>
    <w:rsid w:val="00607338"/>
    <w:rsid w:val="00650233"/>
    <w:rsid w:val="009016CB"/>
    <w:rsid w:val="009E7355"/>
    <w:rsid w:val="00A3502A"/>
    <w:rsid w:val="00D509F8"/>
    <w:rsid w:val="00D606B4"/>
    <w:rsid w:val="00E07057"/>
    <w:rsid w:val="00E83FA1"/>
    <w:rsid w:val="00E94CBF"/>
    <w:rsid w:val="00F1184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58DB"/>
  <w15:chartTrackingRefBased/>
  <w15:docId w15:val="{594D655F-4A71-42CB-B247-9F6FD93A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0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0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0A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0A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0A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0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0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0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0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0A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0A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0A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0A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0A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0A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0A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0A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0A5C"/>
    <w:rPr>
      <w:rFonts w:eastAsiaTheme="majorEastAsia" w:cstheme="majorBidi"/>
      <w:color w:val="272727" w:themeColor="text1" w:themeTint="D8"/>
    </w:rPr>
  </w:style>
  <w:style w:type="paragraph" w:styleId="Ttulo">
    <w:name w:val="Title"/>
    <w:basedOn w:val="Normal"/>
    <w:next w:val="Normal"/>
    <w:link w:val="TtuloCar"/>
    <w:uiPriority w:val="10"/>
    <w:qFormat/>
    <w:rsid w:val="005E0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0A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0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0A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0A5C"/>
    <w:pPr>
      <w:spacing w:before="160"/>
      <w:jc w:val="center"/>
    </w:pPr>
    <w:rPr>
      <w:i/>
      <w:iCs/>
      <w:color w:val="404040" w:themeColor="text1" w:themeTint="BF"/>
    </w:rPr>
  </w:style>
  <w:style w:type="character" w:customStyle="1" w:styleId="CitaCar">
    <w:name w:val="Cita Car"/>
    <w:basedOn w:val="Fuentedeprrafopredeter"/>
    <w:link w:val="Cita"/>
    <w:uiPriority w:val="29"/>
    <w:rsid w:val="005E0A5C"/>
    <w:rPr>
      <w:i/>
      <w:iCs/>
      <w:color w:val="404040" w:themeColor="text1" w:themeTint="BF"/>
    </w:rPr>
  </w:style>
  <w:style w:type="paragraph" w:styleId="Prrafodelista">
    <w:name w:val="List Paragraph"/>
    <w:basedOn w:val="Normal"/>
    <w:uiPriority w:val="34"/>
    <w:qFormat/>
    <w:rsid w:val="005E0A5C"/>
    <w:pPr>
      <w:ind w:left="720"/>
      <w:contextualSpacing/>
    </w:pPr>
  </w:style>
  <w:style w:type="character" w:styleId="nfasisintenso">
    <w:name w:val="Intense Emphasis"/>
    <w:basedOn w:val="Fuentedeprrafopredeter"/>
    <w:uiPriority w:val="21"/>
    <w:qFormat/>
    <w:rsid w:val="005E0A5C"/>
    <w:rPr>
      <w:i/>
      <w:iCs/>
      <w:color w:val="0F4761" w:themeColor="accent1" w:themeShade="BF"/>
    </w:rPr>
  </w:style>
  <w:style w:type="paragraph" w:styleId="Citadestacada">
    <w:name w:val="Intense Quote"/>
    <w:basedOn w:val="Normal"/>
    <w:next w:val="Normal"/>
    <w:link w:val="CitadestacadaCar"/>
    <w:uiPriority w:val="30"/>
    <w:qFormat/>
    <w:rsid w:val="005E0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0A5C"/>
    <w:rPr>
      <w:i/>
      <w:iCs/>
      <w:color w:val="0F4761" w:themeColor="accent1" w:themeShade="BF"/>
    </w:rPr>
  </w:style>
  <w:style w:type="character" w:styleId="Referenciaintensa">
    <w:name w:val="Intense Reference"/>
    <w:basedOn w:val="Fuentedeprrafopredeter"/>
    <w:uiPriority w:val="32"/>
    <w:qFormat/>
    <w:rsid w:val="005E0A5C"/>
    <w:rPr>
      <w:b/>
      <w:bCs/>
      <w:smallCaps/>
      <w:color w:val="0F4761" w:themeColor="accent1" w:themeShade="BF"/>
      <w:spacing w:val="5"/>
    </w:rPr>
  </w:style>
  <w:style w:type="paragraph" w:styleId="NormalWeb">
    <w:name w:val="Normal (Web)"/>
    <w:basedOn w:val="Normal"/>
    <w:uiPriority w:val="99"/>
    <w:semiHidden/>
    <w:unhideWhenUsed/>
    <w:rsid w:val="00324CF6"/>
    <w:rPr>
      <w:rFonts w:ascii="Times New Roman" w:hAnsi="Times New Roman" w:cs="Times New Roman"/>
    </w:rPr>
  </w:style>
  <w:style w:type="table" w:styleId="Tabladecuadrcula3">
    <w:name w:val="Grid Table 3"/>
    <w:basedOn w:val="Tablanormal"/>
    <w:uiPriority w:val="48"/>
    <w:rsid w:val="00244A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919</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Carriel</dc:creator>
  <cp:keywords/>
  <dc:description/>
  <cp:lastModifiedBy>Alejandro Carriel</cp:lastModifiedBy>
  <cp:revision>4</cp:revision>
  <dcterms:created xsi:type="dcterms:W3CDTF">2026-09-05T17:25:00Z</dcterms:created>
  <dcterms:modified xsi:type="dcterms:W3CDTF">2026-09-09T02:08:00Z</dcterms:modified>
</cp:coreProperties>
</file>