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804E4" w14:textId="77777777" w:rsidR="00850B44" w:rsidRDefault="00850B44" w:rsidP="00850B44">
      <w:pPr>
        <w:jc w:val="center"/>
        <w:rPr>
          <w:b/>
          <w:bCs/>
          <w:sz w:val="36"/>
          <w:szCs w:val="36"/>
        </w:rPr>
      </w:pPr>
      <w:r w:rsidRPr="0091771A">
        <w:rPr>
          <w:b/>
          <w:bCs/>
          <w:sz w:val="36"/>
          <w:szCs w:val="36"/>
        </w:rPr>
        <w:t>Proyecto Final de Análisis de Riesgo</w:t>
      </w:r>
    </w:p>
    <w:p w14:paraId="3C20A09B" w14:textId="12FBC7FB" w:rsidR="00850B44" w:rsidRDefault="00340843" w:rsidP="00850B44">
      <w:pPr>
        <w:jc w:val="center"/>
        <w:rPr>
          <w:b/>
          <w:bCs/>
          <w:sz w:val="36"/>
          <w:szCs w:val="36"/>
        </w:rPr>
      </w:pPr>
      <w:r>
        <w:rPr>
          <w:b/>
          <w:bCs/>
          <w:sz w:val="36"/>
          <w:szCs w:val="36"/>
        </w:rPr>
        <w:t>Tercera</w:t>
      </w:r>
      <w:r w:rsidR="00850B44">
        <w:rPr>
          <w:b/>
          <w:bCs/>
          <w:sz w:val="36"/>
          <w:szCs w:val="36"/>
        </w:rPr>
        <w:t xml:space="preserve"> entrega</w:t>
      </w:r>
    </w:p>
    <w:p w14:paraId="4ABE24DD" w14:textId="77777777" w:rsidR="00850B44" w:rsidRPr="0091771A" w:rsidRDefault="00850B44" w:rsidP="00850B44">
      <w:pPr>
        <w:jc w:val="center"/>
        <w:rPr>
          <w:b/>
          <w:bCs/>
          <w:sz w:val="36"/>
          <w:szCs w:val="36"/>
        </w:rPr>
      </w:pPr>
    </w:p>
    <w:p w14:paraId="7B9901DB" w14:textId="77777777" w:rsidR="00850B44" w:rsidRDefault="00850B44" w:rsidP="00850B44">
      <w:pPr>
        <w:jc w:val="center"/>
        <w:rPr>
          <w:b/>
          <w:bCs/>
        </w:rPr>
      </w:pPr>
      <w:r>
        <w:rPr>
          <w:b/>
          <w:bCs/>
          <w:noProof/>
        </w:rPr>
        <w:drawing>
          <wp:inline distT="0" distB="0" distL="0" distR="0" wp14:anchorId="54042A66" wp14:editId="3EDB8018">
            <wp:extent cx="2187093" cy="3795601"/>
            <wp:effectExtent l="0" t="0" r="3810" b="0"/>
            <wp:docPr id="959516361" name="Imagen 4" descr="Logotipo, Icono&#10;&#10;El contenido generado por IA puede ser incorrecto.">
              <a:extLst xmlns:a="http://schemas.openxmlformats.org/drawingml/2006/main">
                <a:ext uri="{FF2B5EF4-FFF2-40B4-BE49-F238E27FC236}">
                  <a16:creationId xmlns:a16="http://schemas.microsoft.com/office/drawing/2014/main" id="{989A6193-ED69-451F-B261-B03DA73493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6361" name="Imagen 4" descr="Logotipo, Icono&#10;&#10;El contenido generado por IA puede ser incorrec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98822" cy="3815956"/>
                    </a:xfrm>
                    <a:prstGeom prst="rect">
                      <a:avLst/>
                    </a:prstGeom>
                    <a:noFill/>
                  </pic:spPr>
                </pic:pic>
              </a:graphicData>
            </a:graphic>
          </wp:inline>
        </w:drawing>
      </w:r>
    </w:p>
    <w:p w14:paraId="37E92B04" w14:textId="77777777" w:rsidR="00850B44" w:rsidRDefault="00850B44" w:rsidP="00850B44">
      <w:pPr>
        <w:jc w:val="center"/>
        <w:rPr>
          <w:b/>
          <w:bCs/>
        </w:rPr>
      </w:pPr>
      <w:r>
        <w:rPr>
          <w:b/>
          <w:bCs/>
        </w:rPr>
        <w:t>Profesor: Fabio Solorzano Flores</w:t>
      </w:r>
    </w:p>
    <w:p w14:paraId="0724070F" w14:textId="77777777" w:rsidR="00850B44" w:rsidRDefault="00850B44" w:rsidP="00850B44">
      <w:pPr>
        <w:jc w:val="center"/>
        <w:rPr>
          <w:b/>
          <w:bCs/>
        </w:rPr>
      </w:pPr>
      <w:r>
        <w:rPr>
          <w:b/>
          <w:bCs/>
        </w:rPr>
        <w:t>Curso: Análisis de Riesgo</w:t>
      </w:r>
    </w:p>
    <w:p w14:paraId="0C2F6C52" w14:textId="41CE7EFD" w:rsidR="00850B44" w:rsidRPr="00EB3D5E" w:rsidRDefault="00850B44" w:rsidP="00850B44">
      <w:pPr>
        <w:jc w:val="center"/>
        <w:rPr>
          <w:b/>
          <w:bCs/>
          <w:lang w:val="pt-BR"/>
        </w:rPr>
      </w:pPr>
      <w:r>
        <w:rPr>
          <w:b/>
          <w:bCs/>
          <w:lang w:val="pt-BR"/>
        </w:rPr>
        <w:t>16</w:t>
      </w:r>
      <w:r w:rsidRPr="00EB3D5E">
        <w:rPr>
          <w:b/>
          <w:bCs/>
          <w:lang w:val="pt-BR"/>
        </w:rPr>
        <w:t>/</w:t>
      </w:r>
      <w:r>
        <w:rPr>
          <w:b/>
          <w:bCs/>
          <w:lang w:val="pt-BR"/>
        </w:rPr>
        <w:t>10</w:t>
      </w:r>
      <w:r w:rsidRPr="00EB3D5E">
        <w:rPr>
          <w:b/>
          <w:bCs/>
          <w:lang w:val="pt-BR"/>
        </w:rPr>
        <w:t>/25</w:t>
      </w:r>
    </w:p>
    <w:p w14:paraId="125B3D2A" w14:textId="77777777" w:rsidR="00850B44" w:rsidRPr="00EB3D5E" w:rsidRDefault="00850B44" w:rsidP="00850B44">
      <w:pPr>
        <w:spacing w:after="0"/>
        <w:jc w:val="center"/>
        <w:rPr>
          <w:lang w:val="pt-BR"/>
        </w:rPr>
      </w:pPr>
      <w:r w:rsidRPr="00EB3D5E">
        <w:rPr>
          <w:lang w:val="pt-BR"/>
        </w:rPr>
        <w:t>Delia Michelle Trigo Fernández</w:t>
      </w:r>
    </w:p>
    <w:p w14:paraId="514630A6" w14:textId="77777777" w:rsidR="00850B44" w:rsidRPr="00EB3D5E" w:rsidRDefault="00850B44" w:rsidP="00850B44">
      <w:pPr>
        <w:spacing w:after="0"/>
        <w:jc w:val="center"/>
        <w:rPr>
          <w:lang w:val="pt-BR"/>
        </w:rPr>
      </w:pPr>
      <w:r w:rsidRPr="00EB3D5E">
        <w:rPr>
          <w:lang w:val="pt-BR"/>
        </w:rPr>
        <w:t>Juan Álvaro Morales Ramírez Valadez</w:t>
      </w:r>
    </w:p>
    <w:p w14:paraId="0CC53995" w14:textId="77777777" w:rsidR="00850B44" w:rsidRPr="00EB3D5E" w:rsidRDefault="00850B44" w:rsidP="00850B44">
      <w:pPr>
        <w:spacing w:after="0"/>
        <w:jc w:val="center"/>
        <w:rPr>
          <w:lang w:val="pt-BR"/>
        </w:rPr>
      </w:pPr>
      <w:r w:rsidRPr="00EB3D5E">
        <w:rPr>
          <w:lang w:val="pt-BR"/>
        </w:rPr>
        <w:t>Damarys Valenzuela Santos</w:t>
      </w:r>
    </w:p>
    <w:p w14:paraId="7AC721FA" w14:textId="053EC47A" w:rsidR="00756314" w:rsidRDefault="00850B44" w:rsidP="00850B44">
      <w:pPr>
        <w:ind w:left="2124" w:firstLine="708"/>
      </w:pPr>
      <w:r w:rsidRPr="005A36B4">
        <w:t xml:space="preserve">Jesús Alejandro García </w:t>
      </w:r>
      <w:proofErr w:type="spellStart"/>
      <w:r w:rsidRPr="005A36B4">
        <w:t>García</w:t>
      </w:r>
      <w:proofErr w:type="spellEnd"/>
    </w:p>
    <w:p w14:paraId="2499A919" w14:textId="77777777" w:rsidR="00850B44" w:rsidRDefault="00850B44" w:rsidP="00850B44">
      <w:pPr>
        <w:ind w:left="2124" w:firstLine="708"/>
      </w:pPr>
    </w:p>
    <w:p w14:paraId="2969387B" w14:textId="77777777" w:rsidR="00850B44" w:rsidRDefault="00850B44" w:rsidP="00850B44">
      <w:pPr>
        <w:ind w:left="2124" w:firstLine="708"/>
      </w:pPr>
    </w:p>
    <w:p w14:paraId="1200DEED" w14:textId="77777777" w:rsidR="00850B44" w:rsidRDefault="00850B44" w:rsidP="00850B44">
      <w:pPr>
        <w:ind w:left="2124" w:firstLine="708"/>
      </w:pPr>
    </w:p>
    <w:p w14:paraId="0EAF87B2" w14:textId="77777777" w:rsidR="00850B44" w:rsidRDefault="00850B44" w:rsidP="00850B44">
      <w:pPr>
        <w:ind w:left="2124" w:firstLine="708"/>
      </w:pPr>
    </w:p>
    <w:sdt>
      <w:sdtPr>
        <w:rPr>
          <w:rFonts w:asciiTheme="minorHAnsi" w:eastAsiaTheme="minorEastAsia" w:hAnsiTheme="minorHAnsi" w:cstheme="minorBidi"/>
          <w:color w:val="auto"/>
          <w:kern w:val="2"/>
          <w:sz w:val="24"/>
          <w:szCs w:val="24"/>
          <w:lang w:val="es-ES"/>
          <w14:ligatures w14:val="standardContextual"/>
        </w:rPr>
        <w:id w:val="-2146506272"/>
        <w:docPartObj>
          <w:docPartGallery w:val="Table of Contents"/>
          <w:docPartUnique/>
        </w:docPartObj>
      </w:sdtPr>
      <w:sdtEndPr>
        <w:rPr>
          <w:b/>
          <w:bCs/>
        </w:rPr>
      </w:sdtEndPr>
      <w:sdtContent>
        <w:p w14:paraId="048D00EC" w14:textId="20488FAF" w:rsidR="00850B44" w:rsidRDefault="00850B44">
          <w:pPr>
            <w:pStyle w:val="TtuloTDC"/>
          </w:pPr>
          <w:r>
            <w:rPr>
              <w:lang w:val="es-ES"/>
            </w:rPr>
            <w:t>Contenido</w:t>
          </w:r>
        </w:p>
        <w:p w14:paraId="60D6EB89" w14:textId="583A20FC" w:rsidR="00AF6617" w:rsidRDefault="00850B44">
          <w:pPr>
            <w:pStyle w:val="TDC2"/>
            <w:tabs>
              <w:tab w:val="right" w:leader="dot" w:pos="8828"/>
            </w:tabs>
            <w:rPr>
              <w:noProof/>
            </w:rPr>
          </w:pPr>
          <w:r>
            <w:fldChar w:fldCharType="begin"/>
          </w:r>
          <w:r>
            <w:instrText xml:space="preserve"> TOC \o "1-3" \h \z \u </w:instrText>
          </w:r>
          <w:r>
            <w:fldChar w:fldCharType="separate"/>
          </w:r>
          <w:hyperlink w:anchor="_Toc211253853" w:history="1">
            <w:r w:rsidR="00AF6617" w:rsidRPr="00C2254D">
              <w:rPr>
                <w:rStyle w:val="Hipervnculo"/>
                <w:noProof/>
              </w:rPr>
              <w:t>Resumen ejecutivo</w:t>
            </w:r>
            <w:r w:rsidR="00AF6617">
              <w:rPr>
                <w:noProof/>
                <w:webHidden/>
              </w:rPr>
              <w:tab/>
            </w:r>
            <w:r w:rsidR="00AF6617">
              <w:rPr>
                <w:noProof/>
                <w:webHidden/>
              </w:rPr>
              <w:fldChar w:fldCharType="begin"/>
            </w:r>
            <w:r w:rsidR="00AF6617">
              <w:rPr>
                <w:noProof/>
                <w:webHidden/>
              </w:rPr>
              <w:instrText xml:space="preserve"> PAGEREF _Toc211253853 \h </w:instrText>
            </w:r>
            <w:r w:rsidR="00AF6617">
              <w:rPr>
                <w:noProof/>
                <w:webHidden/>
              </w:rPr>
            </w:r>
            <w:r w:rsidR="00AF6617">
              <w:rPr>
                <w:noProof/>
                <w:webHidden/>
              </w:rPr>
              <w:fldChar w:fldCharType="separate"/>
            </w:r>
            <w:r w:rsidR="00AF6617">
              <w:rPr>
                <w:noProof/>
                <w:webHidden/>
              </w:rPr>
              <w:t>3</w:t>
            </w:r>
            <w:r w:rsidR="00AF6617">
              <w:rPr>
                <w:noProof/>
                <w:webHidden/>
              </w:rPr>
              <w:fldChar w:fldCharType="end"/>
            </w:r>
          </w:hyperlink>
        </w:p>
        <w:p w14:paraId="3016CFD2" w14:textId="12292CF2" w:rsidR="00AF6617" w:rsidRDefault="00AF6617">
          <w:pPr>
            <w:pStyle w:val="TDC2"/>
            <w:tabs>
              <w:tab w:val="right" w:leader="dot" w:pos="8828"/>
            </w:tabs>
            <w:rPr>
              <w:noProof/>
            </w:rPr>
          </w:pPr>
          <w:hyperlink w:anchor="_Toc211253854" w:history="1">
            <w:r w:rsidRPr="00C2254D">
              <w:rPr>
                <w:rStyle w:val="Hipervnculo"/>
                <w:noProof/>
              </w:rPr>
              <w:t>Objetivo</w:t>
            </w:r>
            <w:r>
              <w:rPr>
                <w:noProof/>
                <w:webHidden/>
              </w:rPr>
              <w:tab/>
            </w:r>
            <w:r>
              <w:rPr>
                <w:noProof/>
                <w:webHidden/>
              </w:rPr>
              <w:fldChar w:fldCharType="begin"/>
            </w:r>
            <w:r>
              <w:rPr>
                <w:noProof/>
                <w:webHidden/>
              </w:rPr>
              <w:instrText xml:space="preserve"> PAGEREF _Toc211253854 \h </w:instrText>
            </w:r>
            <w:r>
              <w:rPr>
                <w:noProof/>
                <w:webHidden/>
              </w:rPr>
            </w:r>
            <w:r>
              <w:rPr>
                <w:noProof/>
                <w:webHidden/>
              </w:rPr>
              <w:fldChar w:fldCharType="separate"/>
            </w:r>
            <w:r>
              <w:rPr>
                <w:noProof/>
                <w:webHidden/>
              </w:rPr>
              <w:t>4</w:t>
            </w:r>
            <w:r>
              <w:rPr>
                <w:noProof/>
                <w:webHidden/>
              </w:rPr>
              <w:fldChar w:fldCharType="end"/>
            </w:r>
          </w:hyperlink>
        </w:p>
        <w:p w14:paraId="762F7816" w14:textId="3E533E7F" w:rsidR="00AF6617" w:rsidRDefault="00AF6617">
          <w:pPr>
            <w:pStyle w:val="TDC2"/>
            <w:tabs>
              <w:tab w:val="right" w:leader="dot" w:pos="8828"/>
            </w:tabs>
            <w:rPr>
              <w:noProof/>
            </w:rPr>
          </w:pPr>
          <w:hyperlink w:anchor="_Toc211253855" w:history="1">
            <w:r w:rsidRPr="00C2254D">
              <w:rPr>
                <w:rStyle w:val="Hipervnculo"/>
                <w:noProof/>
              </w:rPr>
              <w:t>Preguntas de Investigación</w:t>
            </w:r>
            <w:r>
              <w:rPr>
                <w:noProof/>
                <w:webHidden/>
              </w:rPr>
              <w:tab/>
            </w:r>
            <w:r>
              <w:rPr>
                <w:noProof/>
                <w:webHidden/>
              </w:rPr>
              <w:fldChar w:fldCharType="begin"/>
            </w:r>
            <w:r>
              <w:rPr>
                <w:noProof/>
                <w:webHidden/>
              </w:rPr>
              <w:instrText xml:space="preserve"> PAGEREF _Toc211253855 \h </w:instrText>
            </w:r>
            <w:r>
              <w:rPr>
                <w:noProof/>
                <w:webHidden/>
              </w:rPr>
            </w:r>
            <w:r>
              <w:rPr>
                <w:noProof/>
                <w:webHidden/>
              </w:rPr>
              <w:fldChar w:fldCharType="separate"/>
            </w:r>
            <w:r>
              <w:rPr>
                <w:noProof/>
                <w:webHidden/>
              </w:rPr>
              <w:t>4</w:t>
            </w:r>
            <w:r>
              <w:rPr>
                <w:noProof/>
                <w:webHidden/>
              </w:rPr>
              <w:fldChar w:fldCharType="end"/>
            </w:r>
          </w:hyperlink>
        </w:p>
        <w:p w14:paraId="161EEB2A" w14:textId="59039FD5" w:rsidR="00AF6617" w:rsidRDefault="00AF6617">
          <w:pPr>
            <w:pStyle w:val="TDC2"/>
            <w:tabs>
              <w:tab w:val="right" w:leader="dot" w:pos="8828"/>
            </w:tabs>
            <w:rPr>
              <w:noProof/>
            </w:rPr>
          </w:pPr>
          <w:hyperlink w:anchor="_Toc211253856" w:history="1">
            <w:r w:rsidRPr="00C2254D">
              <w:rPr>
                <w:rStyle w:val="Hipervnculo"/>
                <w:noProof/>
              </w:rPr>
              <w:t>Metodología</w:t>
            </w:r>
            <w:r>
              <w:rPr>
                <w:noProof/>
                <w:webHidden/>
              </w:rPr>
              <w:tab/>
            </w:r>
            <w:r>
              <w:rPr>
                <w:noProof/>
                <w:webHidden/>
              </w:rPr>
              <w:fldChar w:fldCharType="begin"/>
            </w:r>
            <w:r>
              <w:rPr>
                <w:noProof/>
                <w:webHidden/>
              </w:rPr>
              <w:instrText xml:space="preserve"> PAGEREF _Toc211253856 \h </w:instrText>
            </w:r>
            <w:r>
              <w:rPr>
                <w:noProof/>
                <w:webHidden/>
              </w:rPr>
            </w:r>
            <w:r>
              <w:rPr>
                <w:noProof/>
                <w:webHidden/>
              </w:rPr>
              <w:fldChar w:fldCharType="separate"/>
            </w:r>
            <w:r>
              <w:rPr>
                <w:noProof/>
                <w:webHidden/>
              </w:rPr>
              <w:t>5</w:t>
            </w:r>
            <w:r>
              <w:rPr>
                <w:noProof/>
                <w:webHidden/>
              </w:rPr>
              <w:fldChar w:fldCharType="end"/>
            </w:r>
          </w:hyperlink>
        </w:p>
        <w:p w14:paraId="3B3077CF" w14:textId="549D324D" w:rsidR="00AF6617" w:rsidRDefault="00AF6617">
          <w:pPr>
            <w:pStyle w:val="TDC2"/>
            <w:tabs>
              <w:tab w:val="right" w:leader="dot" w:pos="8828"/>
            </w:tabs>
            <w:rPr>
              <w:noProof/>
            </w:rPr>
          </w:pPr>
          <w:hyperlink w:anchor="_Toc211253857" w:history="1">
            <w:r w:rsidRPr="00C2254D">
              <w:rPr>
                <w:rStyle w:val="Hipervnculo"/>
                <w:noProof/>
              </w:rPr>
              <w:t>Estimación de rendimientos</w:t>
            </w:r>
            <w:r>
              <w:rPr>
                <w:noProof/>
                <w:webHidden/>
              </w:rPr>
              <w:tab/>
            </w:r>
            <w:r>
              <w:rPr>
                <w:noProof/>
                <w:webHidden/>
              </w:rPr>
              <w:fldChar w:fldCharType="begin"/>
            </w:r>
            <w:r>
              <w:rPr>
                <w:noProof/>
                <w:webHidden/>
              </w:rPr>
              <w:instrText xml:space="preserve"> PAGEREF _Toc211253857 \h </w:instrText>
            </w:r>
            <w:r>
              <w:rPr>
                <w:noProof/>
                <w:webHidden/>
              </w:rPr>
            </w:r>
            <w:r>
              <w:rPr>
                <w:noProof/>
                <w:webHidden/>
              </w:rPr>
              <w:fldChar w:fldCharType="separate"/>
            </w:r>
            <w:r>
              <w:rPr>
                <w:noProof/>
                <w:webHidden/>
              </w:rPr>
              <w:t>5</w:t>
            </w:r>
            <w:r>
              <w:rPr>
                <w:noProof/>
                <w:webHidden/>
              </w:rPr>
              <w:fldChar w:fldCharType="end"/>
            </w:r>
          </w:hyperlink>
        </w:p>
        <w:p w14:paraId="4D7119F6" w14:textId="60F8893A" w:rsidR="00AF6617" w:rsidRDefault="00AF6617">
          <w:pPr>
            <w:pStyle w:val="TDC2"/>
            <w:tabs>
              <w:tab w:val="right" w:leader="dot" w:pos="8828"/>
            </w:tabs>
            <w:rPr>
              <w:noProof/>
            </w:rPr>
          </w:pPr>
          <w:hyperlink w:anchor="_Toc211253858" w:history="1">
            <w:r w:rsidRPr="00C2254D">
              <w:rPr>
                <w:rStyle w:val="Hipervnculo"/>
                <w:noProof/>
              </w:rPr>
              <w:t>Pruebas de normalidad</w:t>
            </w:r>
            <w:r>
              <w:rPr>
                <w:noProof/>
                <w:webHidden/>
              </w:rPr>
              <w:tab/>
            </w:r>
            <w:r>
              <w:rPr>
                <w:noProof/>
                <w:webHidden/>
              </w:rPr>
              <w:fldChar w:fldCharType="begin"/>
            </w:r>
            <w:r>
              <w:rPr>
                <w:noProof/>
                <w:webHidden/>
              </w:rPr>
              <w:instrText xml:space="preserve"> PAGEREF _Toc211253858 \h </w:instrText>
            </w:r>
            <w:r>
              <w:rPr>
                <w:noProof/>
                <w:webHidden/>
              </w:rPr>
            </w:r>
            <w:r>
              <w:rPr>
                <w:noProof/>
                <w:webHidden/>
              </w:rPr>
              <w:fldChar w:fldCharType="separate"/>
            </w:r>
            <w:r>
              <w:rPr>
                <w:noProof/>
                <w:webHidden/>
              </w:rPr>
              <w:t>6</w:t>
            </w:r>
            <w:r>
              <w:rPr>
                <w:noProof/>
                <w:webHidden/>
              </w:rPr>
              <w:fldChar w:fldCharType="end"/>
            </w:r>
          </w:hyperlink>
        </w:p>
        <w:p w14:paraId="06FDE370" w14:textId="7F428739" w:rsidR="00AF6617" w:rsidRDefault="00AF6617">
          <w:pPr>
            <w:pStyle w:val="TDC2"/>
            <w:tabs>
              <w:tab w:val="right" w:leader="dot" w:pos="8828"/>
            </w:tabs>
            <w:rPr>
              <w:noProof/>
            </w:rPr>
          </w:pPr>
          <w:hyperlink w:anchor="_Toc211253859" w:history="1">
            <w:r w:rsidRPr="00C2254D">
              <w:rPr>
                <w:rStyle w:val="Hipervnculo"/>
                <w:noProof/>
              </w:rPr>
              <w:t>Modelado teórico</w:t>
            </w:r>
            <w:r>
              <w:rPr>
                <w:noProof/>
                <w:webHidden/>
              </w:rPr>
              <w:tab/>
            </w:r>
            <w:r>
              <w:rPr>
                <w:noProof/>
                <w:webHidden/>
              </w:rPr>
              <w:fldChar w:fldCharType="begin"/>
            </w:r>
            <w:r>
              <w:rPr>
                <w:noProof/>
                <w:webHidden/>
              </w:rPr>
              <w:instrText xml:space="preserve"> PAGEREF _Toc211253859 \h </w:instrText>
            </w:r>
            <w:r>
              <w:rPr>
                <w:noProof/>
                <w:webHidden/>
              </w:rPr>
            </w:r>
            <w:r>
              <w:rPr>
                <w:noProof/>
                <w:webHidden/>
              </w:rPr>
              <w:fldChar w:fldCharType="separate"/>
            </w:r>
            <w:r>
              <w:rPr>
                <w:noProof/>
                <w:webHidden/>
              </w:rPr>
              <w:t>11</w:t>
            </w:r>
            <w:r>
              <w:rPr>
                <w:noProof/>
                <w:webHidden/>
              </w:rPr>
              <w:fldChar w:fldCharType="end"/>
            </w:r>
          </w:hyperlink>
        </w:p>
        <w:p w14:paraId="550AF6D5" w14:textId="6499F215" w:rsidR="00AF6617" w:rsidRDefault="00AF6617">
          <w:pPr>
            <w:pStyle w:val="TDC2"/>
            <w:tabs>
              <w:tab w:val="right" w:leader="dot" w:pos="8828"/>
            </w:tabs>
            <w:rPr>
              <w:noProof/>
            </w:rPr>
          </w:pPr>
          <w:hyperlink w:anchor="_Toc211253860" w:history="1">
            <w:r w:rsidRPr="00C2254D">
              <w:rPr>
                <w:rStyle w:val="Hipervnculo"/>
                <w:noProof/>
              </w:rPr>
              <w:t>Conclusiones</w:t>
            </w:r>
            <w:r>
              <w:rPr>
                <w:noProof/>
                <w:webHidden/>
              </w:rPr>
              <w:tab/>
            </w:r>
            <w:r>
              <w:rPr>
                <w:noProof/>
                <w:webHidden/>
              </w:rPr>
              <w:fldChar w:fldCharType="begin"/>
            </w:r>
            <w:r>
              <w:rPr>
                <w:noProof/>
                <w:webHidden/>
              </w:rPr>
              <w:instrText xml:space="preserve"> PAGEREF _Toc211253860 \h </w:instrText>
            </w:r>
            <w:r>
              <w:rPr>
                <w:noProof/>
                <w:webHidden/>
              </w:rPr>
            </w:r>
            <w:r>
              <w:rPr>
                <w:noProof/>
                <w:webHidden/>
              </w:rPr>
              <w:fldChar w:fldCharType="separate"/>
            </w:r>
            <w:r>
              <w:rPr>
                <w:noProof/>
                <w:webHidden/>
              </w:rPr>
              <w:t>11</w:t>
            </w:r>
            <w:r>
              <w:rPr>
                <w:noProof/>
                <w:webHidden/>
              </w:rPr>
              <w:fldChar w:fldCharType="end"/>
            </w:r>
          </w:hyperlink>
        </w:p>
        <w:p w14:paraId="20AC3D98" w14:textId="045F7A9A" w:rsidR="00AF6617" w:rsidRDefault="00AF6617">
          <w:pPr>
            <w:pStyle w:val="TDC2"/>
            <w:tabs>
              <w:tab w:val="right" w:leader="dot" w:pos="8828"/>
            </w:tabs>
            <w:rPr>
              <w:noProof/>
            </w:rPr>
          </w:pPr>
          <w:hyperlink w:anchor="_Toc211253861" w:history="1">
            <w:r w:rsidRPr="00C2254D">
              <w:rPr>
                <w:rStyle w:val="Hipervnculo"/>
                <w:noProof/>
              </w:rPr>
              <w:t>Anexos</w:t>
            </w:r>
            <w:r>
              <w:rPr>
                <w:noProof/>
                <w:webHidden/>
              </w:rPr>
              <w:tab/>
            </w:r>
            <w:r>
              <w:rPr>
                <w:noProof/>
                <w:webHidden/>
              </w:rPr>
              <w:fldChar w:fldCharType="begin"/>
            </w:r>
            <w:r>
              <w:rPr>
                <w:noProof/>
                <w:webHidden/>
              </w:rPr>
              <w:instrText xml:space="preserve"> PAGEREF _Toc211253861 \h </w:instrText>
            </w:r>
            <w:r>
              <w:rPr>
                <w:noProof/>
                <w:webHidden/>
              </w:rPr>
            </w:r>
            <w:r>
              <w:rPr>
                <w:noProof/>
                <w:webHidden/>
              </w:rPr>
              <w:fldChar w:fldCharType="separate"/>
            </w:r>
            <w:r>
              <w:rPr>
                <w:noProof/>
                <w:webHidden/>
              </w:rPr>
              <w:t>11</w:t>
            </w:r>
            <w:r>
              <w:rPr>
                <w:noProof/>
                <w:webHidden/>
              </w:rPr>
              <w:fldChar w:fldCharType="end"/>
            </w:r>
          </w:hyperlink>
        </w:p>
        <w:p w14:paraId="0AC3BF7F" w14:textId="3A94EB8C" w:rsidR="00AF6617" w:rsidRDefault="00AF6617">
          <w:pPr>
            <w:pStyle w:val="TDC2"/>
            <w:tabs>
              <w:tab w:val="right" w:leader="dot" w:pos="8828"/>
            </w:tabs>
            <w:rPr>
              <w:noProof/>
            </w:rPr>
          </w:pPr>
          <w:hyperlink w:anchor="_Toc211253862" w:history="1">
            <w:r w:rsidRPr="00C2254D">
              <w:rPr>
                <w:rStyle w:val="Hipervnculo"/>
                <w:noProof/>
              </w:rPr>
              <w:t>Referencias</w:t>
            </w:r>
            <w:r>
              <w:rPr>
                <w:noProof/>
                <w:webHidden/>
              </w:rPr>
              <w:tab/>
            </w:r>
            <w:r>
              <w:rPr>
                <w:noProof/>
                <w:webHidden/>
              </w:rPr>
              <w:fldChar w:fldCharType="begin"/>
            </w:r>
            <w:r>
              <w:rPr>
                <w:noProof/>
                <w:webHidden/>
              </w:rPr>
              <w:instrText xml:space="preserve"> PAGEREF _Toc211253862 \h </w:instrText>
            </w:r>
            <w:r>
              <w:rPr>
                <w:noProof/>
                <w:webHidden/>
              </w:rPr>
            </w:r>
            <w:r>
              <w:rPr>
                <w:noProof/>
                <w:webHidden/>
              </w:rPr>
              <w:fldChar w:fldCharType="separate"/>
            </w:r>
            <w:r>
              <w:rPr>
                <w:noProof/>
                <w:webHidden/>
              </w:rPr>
              <w:t>11</w:t>
            </w:r>
            <w:r>
              <w:rPr>
                <w:noProof/>
                <w:webHidden/>
              </w:rPr>
              <w:fldChar w:fldCharType="end"/>
            </w:r>
          </w:hyperlink>
        </w:p>
        <w:p w14:paraId="30690A78" w14:textId="1296255C" w:rsidR="00850B44" w:rsidRDefault="00850B44">
          <w:r>
            <w:rPr>
              <w:b/>
              <w:bCs/>
              <w:lang w:val="es-ES"/>
            </w:rPr>
            <w:fldChar w:fldCharType="end"/>
          </w:r>
        </w:p>
      </w:sdtContent>
    </w:sdt>
    <w:p w14:paraId="74865962" w14:textId="77777777" w:rsidR="00850B44" w:rsidRDefault="00850B44" w:rsidP="00850B44">
      <w:pPr>
        <w:pStyle w:val="Ttulo2"/>
      </w:pPr>
    </w:p>
    <w:p w14:paraId="2106CB62" w14:textId="77777777" w:rsidR="00850B44" w:rsidRDefault="00850B44" w:rsidP="00850B44">
      <w:pPr>
        <w:pStyle w:val="Ttulo2"/>
      </w:pPr>
    </w:p>
    <w:p w14:paraId="6EC63C8A" w14:textId="77777777" w:rsidR="00850B44" w:rsidRDefault="00850B44" w:rsidP="00850B44"/>
    <w:p w14:paraId="0A6391B9" w14:textId="77777777" w:rsidR="00850B44" w:rsidRDefault="00850B44" w:rsidP="00850B44"/>
    <w:p w14:paraId="0AE39318" w14:textId="77777777" w:rsidR="00850B44" w:rsidRDefault="00850B44" w:rsidP="00850B44"/>
    <w:p w14:paraId="35CC85EB" w14:textId="77777777" w:rsidR="00850B44" w:rsidRDefault="00850B44" w:rsidP="00850B44">
      <w:pPr>
        <w:pStyle w:val="Ttulo2"/>
      </w:pPr>
    </w:p>
    <w:p w14:paraId="13AE709D" w14:textId="77777777" w:rsidR="00850B44" w:rsidRDefault="00850B44" w:rsidP="00850B44">
      <w:pPr>
        <w:pStyle w:val="Ttulo2"/>
      </w:pPr>
    </w:p>
    <w:p w14:paraId="28DFC36A" w14:textId="77777777" w:rsidR="00850B44" w:rsidRDefault="00850B44" w:rsidP="00850B44">
      <w:pPr>
        <w:pStyle w:val="Ttulo2"/>
      </w:pPr>
    </w:p>
    <w:p w14:paraId="7DC0CA08" w14:textId="77777777" w:rsidR="00850B44" w:rsidRDefault="00850B44" w:rsidP="00850B44"/>
    <w:p w14:paraId="4F1329F6" w14:textId="77777777" w:rsidR="00850B44" w:rsidRDefault="00850B44" w:rsidP="00850B44"/>
    <w:p w14:paraId="2E931AF4" w14:textId="77777777" w:rsidR="00850B44" w:rsidRDefault="00850B44" w:rsidP="00850B44"/>
    <w:p w14:paraId="63608DC7" w14:textId="77777777" w:rsidR="00850B44" w:rsidRDefault="00850B44" w:rsidP="00850B44"/>
    <w:p w14:paraId="51FC2FC5" w14:textId="77777777" w:rsidR="00850B44" w:rsidRPr="00850B44" w:rsidRDefault="00850B44" w:rsidP="00850B44"/>
    <w:p w14:paraId="08AC5B03" w14:textId="5A0264BE" w:rsidR="00850B44" w:rsidRDefault="00850B44" w:rsidP="00850B44">
      <w:pPr>
        <w:pStyle w:val="Ttulo2"/>
      </w:pPr>
      <w:bookmarkStart w:id="0" w:name="_Toc211253853"/>
      <w:r>
        <w:lastRenderedPageBreak/>
        <w:t>Resumen ejecutivo</w:t>
      </w:r>
      <w:bookmarkEnd w:id="0"/>
    </w:p>
    <w:p w14:paraId="45C0B923" w14:textId="77777777" w:rsidR="00693ABC" w:rsidRPr="00693ABC" w:rsidRDefault="00693ABC" w:rsidP="00725229">
      <w:pPr>
        <w:jc w:val="both"/>
        <w:rPr>
          <w:rFonts w:asciiTheme="minorBidi" w:hAnsiTheme="minorBidi"/>
        </w:rPr>
      </w:pPr>
      <w:r w:rsidRPr="00693ABC">
        <w:rPr>
          <w:rFonts w:asciiTheme="minorBidi" w:hAnsiTheme="minorBidi"/>
        </w:rPr>
        <w:t>La presente entrega constituye la tercera fase del proyecto final de Análisis de Riesgo, centrada en la evaluación estadística de los rendimientos y la volatilidad del portafolio compuesto por los activos WM, LMT, TXN, PG y ADP. A partir de los precios históricos, se estimaron los rendimientos porcentuales diarios y la volatilidad utilizando la desviación estándar muestral, además de su correspondiente anualización para facilitar la comparación con estándares del mercado financiero.</w:t>
      </w:r>
    </w:p>
    <w:p w14:paraId="0D8B404C" w14:textId="5FB2764D" w:rsidR="00693ABC" w:rsidRPr="00693ABC" w:rsidRDefault="00693ABC" w:rsidP="00725229">
      <w:pPr>
        <w:jc w:val="both"/>
        <w:rPr>
          <w:rFonts w:asciiTheme="minorBidi" w:hAnsiTheme="minorBidi"/>
        </w:rPr>
      </w:pPr>
      <w:r w:rsidRPr="00693ABC">
        <w:rPr>
          <w:rFonts w:asciiTheme="minorBidi" w:hAnsiTheme="minorBidi"/>
        </w:rPr>
        <w:t>Posteriormente, se evaluó la validez del supuesto de normalidad, fundamental en muchos modelos financieros. Para ello, se aplicaron pruebas estadísticas formales como Jarque-Bera, Kolmogorov-Smirnov y Shapiro-Wilk sobre tres variables clave: los precios, sus logaritmos y los rendimientos. Estas pruebas fueron complementadas con gráficos QQ-plot que permitieron contrastar visualmente las distribuciones observadas con una distribución normal teórica.</w:t>
      </w:r>
    </w:p>
    <w:p w14:paraId="322E4926" w14:textId="720E10C0" w:rsidR="00693ABC" w:rsidRPr="00693ABC" w:rsidRDefault="00693ABC" w:rsidP="00725229">
      <w:pPr>
        <w:jc w:val="both"/>
        <w:rPr>
          <w:rFonts w:asciiTheme="minorBidi" w:hAnsiTheme="minorBidi"/>
        </w:rPr>
      </w:pPr>
      <w:r w:rsidRPr="00693ABC">
        <w:rPr>
          <w:rFonts w:asciiTheme="minorBidi" w:hAnsiTheme="minorBidi"/>
        </w:rPr>
        <w:t xml:space="preserve">Adicionalmente, se incorporó el modelado teórico de precios mediante el movimiento browniano geométrico. Se analizaron las ecuaciones diferenciales básicas asociadas a este modelo, tanto en su forma original como en términos logarítmicos, discutiendo los supuestos que lo sustentan como la eficiencia del mercado, la continuidad de precios y la constancia de la </w:t>
      </w:r>
      <w:r w:rsidR="00AF6617" w:rsidRPr="00693ABC">
        <w:rPr>
          <w:rFonts w:asciiTheme="minorBidi" w:hAnsiTheme="minorBidi"/>
        </w:rPr>
        <w:t>volatilidad,</w:t>
      </w:r>
      <w:r w:rsidRPr="00693ABC">
        <w:rPr>
          <w:rFonts w:asciiTheme="minorBidi" w:hAnsiTheme="minorBidi"/>
        </w:rPr>
        <w:t xml:space="preserve"> así como sus limitaciones frente al comportamiento real de los activos.</w:t>
      </w:r>
    </w:p>
    <w:p w14:paraId="34B910B8" w14:textId="77777777" w:rsidR="00693ABC" w:rsidRPr="00693ABC" w:rsidRDefault="00693ABC" w:rsidP="00725229">
      <w:pPr>
        <w:jc w:val="both"/>
        <w:rPr>
          <w:rFonts w:asciiTheme="minorBidi" w:hAnsiTheme="minorBidi"/>
        </w:rPr>
      </w:pPr>
      <w:r w:rsidRPr="00693ABC">
        <w:rPr>
          <w:rFonts w:asciiTheme="minorBidi" w:hAnsiTheme="minorBidi"/>
        </w:rPr>
        <w:t>Esta entrega permite avanzar hacia un marco más robusto para la medición del riesgo financiero.</w:t>
      </w:r>
    </w:p>
    <w:p w14:paraId="5EBB34C8" w14:textId="77777777" w:rsidR="00850B44" w:rsidRDefault="00850B44" w:rsidP="00850B44"/>
    <w:p w14:paraId="3A16F6D5" w14:textId="77777777" w:rsidR="00850B44" w:rsidRDefault="00850B44" w:rsidP="00850B44"/>
    <w:p w14:paraId="421C4105" w14:textId="77777777" w:rsidR="00725229" w:rsidRDefault="00725229" w:rsidP="00850B44"/>
    <w:p w14:paraId="34B4024B" w14:textId="77777777" w:rsidR="00725229" w:rsidRDefault="00725229" w:rsidP="00850B44"/>
    <w:p w14:paraId="4E6E7EF2" w14:textId="77777777" w:rsidR="00725229" w:rsidRDefault="00725229" w:rsidP="00850B44"/>
    <w:p w14:paraId="38D909D0" w14:textId="77777777" w:rsidR="00725229" w:rsidRDefault="00725229" w:rsidP="00850B44"/>
    <w:p w14:paraId="6AB5B99E" w14:textId="77777777" w:rsidR="00725229" w:rsidRDefault="00725229" w:rsidP="00850B44"/>
    <w:p w14:paraId="2458B793" w14:textId="77777777" w:rsidR="00725229" w:rsidRDefault="00725229" w:rsidP="00850B44"/>
    <w:p w14:paraId="770B32FB" w14:textId="77777777" w:rsidR="00725229" w:rsidRDefault="00725229" w:rsidP="00850B44"/>
    <w:p w14:paraId="26F51F12" w14:textId="77777777" w:rsidR="00725229" w:rsidRPr="00850B44" w:rsidRDefault="00725229" w:rsidP="00850B44"/>
    <w:p w14:paraId="309683DE" w14:textId="72EBCC46" w:rsidR="00850B44" w:rsidRDefault="00850B44" w:rsidP="00850B44">
      <w:pPr>
        <w:pStyle w:val="Ttulo2"/>
      </w:pPr>
      <w:bookmarkStart w:id="1" w:name="_Toc211253854"/>
      <w:r>
        <w:lastRenderedPageBreak/>
        <w:t>Objetivo</w:t>
      </w:r>
      <w:bookmarkEnd w:id="1"/>
    </w:p>
    <w:p w14:paraId="263AA896" w14:textId="28ACADD7"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Estimar los rendimientos porcentuales diarios de los activos individuales y del portafolio en su conjunto, a partir de los precios históricos.</w:t>
      </w:r>
    </w:p>
    <w:p w14:paraId="5D5AD31F" w14:textId="0839750C"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Calcular la volatilidad de cada activo y del portafolio, utilizando la desviación estándar muestral y su versión anualizada.</w:t>
      </w:r>
    </w:p>
    <w:p w14:paraId="52A6EABC" w14:textId="266F56F3"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Evaluar la normalidad de los precios, logaritmos de precios y rendimientos mediante pruebas estadísticas como Jarque-Bera, Kolmogorov-Smirnov y Shapiro-Wilk.</w:t>
      </w:r>
    </w:p>
    <w:p w14:paraId="461A41DC" w14:textId="745C7C09"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Complementar las pruebas de normalidad con análisis visual a través de gráficos de cuantiles (QQ-</w:t>
      </w:r>
      <w:proofErr w:type="spellStart"/>
      <w:r w:rsidRPr="00097E62">
        <w:rPr>
          <w:rFonts w:asciiTheme="minorBidi" w:hAnsiTheme="minorBidi"/>
        </w:rPr>
        <w:t>plots</w:t>
      </w:r>
      <w:proofErr w:type="spellEnd"/>
      <w:r w:rsidRPr="00097E62">
        <w:rPr>
          <w:rFonts w:asciiTheme="minorBidi" w:hAnsiTheme="minorBidi"/>
        </w:rPr>
        <w:t>).</w:t>
      </w:r>
    </w:p>
    <w:p w14:paraId="322D0EFF" w14:textId="320A5E71"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Aplicar un modelo teórico basado en el movimiento browniano geométrico para describir la evolución estocástica de los precios de los activos.</w:t>
      </w:r>
    </w:p>
    <w:p w14:paraId="2BE46671" w14:textId="5C23E430" w:rsidR="00455EFA"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Analizar los supuestos del modelo y discutir sus limitaciones frente a los datos reales.</w:t>
      </w:r>
    </w:p>
    <w:p w14:paraId="660086E7" w14:textId="743ACB59" w:rsidR="00850B44" w:rsidRPr="00097E62" w:rsidRDefault="00455EFA" w:rsidP="00455EFA">
      <w:pPr>
        <w:pStyle w:val="Prrafodelista"/>
        <w:numPr>
          <w:ilvl w:val="0"/>
          <w:numId w:val="1"/>
        </w:numPr>
        <w:jc w:val="both"/>
        <w:rPr>
          <w:rFonts w:asciiTheme="minorBidi" w:hAnsiTheme="minorBidi"/>
        </w:rPr>
      </w:pPr>
      <w:r w:rsidRPr="00097E62">
        <w:rPr>
          <w:rFonts w:asciiTheme="minorBidi" w:hAnsiTheme="minorBidi"/>
        </w:rPr>
        <w:t>Proporcionar una base teórica y empírica sólida para avanzar en la comprensión del riesgo financiero asociado al portafolio.</w:t>
      </w:r>
    </w:p>
    <w:p w14:paraId="7E20CA57" w14:textId="77777777" w:rsidR="00850B44" w:rsidRPr="00850B44" w:rsidRDefault="00850B44" w:rsidP="00850B44"/>
    <w:p w14:paraId="71658B57" w14:textId="00CBDEF2" w:rsidR="00850B44" w:rsidRDefault="00850B44" w:rsidP="00850B44">
      <w:pPr>
        <w:pStyle w:val="Ttulo2"/>
      </w:pPr>
      <w:bookmarkStart w:id="2" w:name="_Toc211253855"/>
      <w:r>
        <w:t>Preguntas de Investigación</w:t>
      </w:r>
      <w:bookmarkEnd w:id="2"/>
    </w:p>
    <w:p w14:paraId="429B1CB0" w14:textId="748D4A62"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¿Cuál es el comportamiento de los rendimientos diarios de cada activo y del portafolio en su conjunto? ¿Qué diferencias se observan entre los activos en términos de rendimiento promedio y volatilidad?</w:t>
      </w:r>
    </w:p>
    <w:p w14:paraId="53A869D2" w14:textId="37F2E58A"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¿Cómo varía la estimación de la volatilidad al utilizar diferentes escalas temporales (diaria vs anualizada)? ¿Qué implicaciones tiene esto para la evaluación del riesgo?</w:t>
      </w:r>
    </w:p>
    <w:p w14:paraId="7EF08DFA" w14:textId="7C1D5A8D"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¿Siguen los precios, los logaritmos de precios y los rendimientos una distribución normal? ¿Qué resultados arrojan las pruebas estadísticas aplicadas y cómo se interpretan?</w:t>
      </w:r>
    </w:p>
    <w:p w14:paraId="6D83B737" w14:textId="2CF8871D"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¿Qué información adicional aportan los gráficos QQ-plot sobre la adecuación de los datos a una distribución normal? ¿Existen evidencias claras de asimetrías o colas pesadas?</w:t>
      </w:r>
    </w:p>
    <w:p w14:paraId="71189B82" w14:textId="45FEA33B"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¿Hasta qué punto el modelo de movimiento browniano geométrico representa adecuadamente el comportamiento observado de los precios? ¿Qué tan realistas son sus supuestos cuando se contrastan con los datos?</w:t>
      </w:r>
    </w:p>
    <w:p w14:paraId="5812C508" w14:textId="0D031AED" w:rsidR="00097E62" w:rsidRPr="00097E62" w:rsidRDefault="00097E62" w:rsidP="00097E62">
      <w:pPr>
        <w:pStyle w:val="Prrafodelista"/>
        <w:numPr>
          <w:ilvl w:val="0"/>
          <w:numId w:val="1"/>
        </w:numPr>
        <w:jc w:val="both"/>
        <w:rPr>
          <w:rFonts w:asciiTheme="minorBidi" w:hAnsiTheme="minorBidi"/>
        </w:rPr>
      </w:pPr>
      <w:r w:rsidRPr="00097E62">
        <w:rPr>
          <w:rFonts w:asciiTheme="minorBidi" w:hAnsiTheme="minorBidi"/>
        </w:rPr>
        <w:t>¿Qué limitaciones presenta el uso de este modelo en la práctica financiera y qué alternativas podrían considerarse para capturar mejor la dinámica de los precios?</w:t>
      </w:r>
    </w:p>
    <w:p w14:paraId="1223A5F8" w14:textId="77777777" w:rsidR="00850B44" w:rsidRDefault="00850B44" w:rsidP="00850B44"/>
    <w:p w14:paraId="0430C665" w14:textId="2963475A" w:rsidR="00850B44" w:rsidRDefault="00850B44" w:rsidP="00850B44">
      <w:pPr>
        <w:pStyle w:val="Ttulo2"/>
      </w:pPr>
      <w:bookmarkStart w:id="3" w:name="_Toc211253856"/>
      <w:r>
        <w:lastRenderedPageBreak/>
        <w:t>Metodología</w:t>
      </w:r>
      <w:bookmarkEnd w:id="3"/>
    </w:p>
    <w:p w14:paraId="20B0185B" w14:textId="60991B24" w:rsidR="00850B44" w:rsidRDefault="00AF6617" w:rsidP="00850B44">
      <w:proofErr w:type="spellStart"/>
      <w:r>
        <w:t>alex</w:t>
      </w:r>
      <w:proofErr w:type="spellEnd"/>
    </w:p>
    <w:p w14:paraId="1D292500" w14:textId="1644BD2F" w:rsidR="00425E14" w:rsidRDefault="00A67B3F" w:rsidP="00425E14">
      <w:pPr>
        <w:pStyle w:val="Ttulo2"/>
      </w:pPr>
      <w:r>
        <w:t xml:space="preserve">Rebalanceo </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EF6DF3" w14:paraId="30407612" w14:textId="77777777" w:rsidTr="00EF6DF3">
        <w:tc>
          <w:tcPr>
            <w:tcW w:w="1471" w:type="dxa"/>
          </w:tcPr>
          <w:p w14:paraId="4030D420" w14:textId="77777777" w:rsidR="00EF6DF3" w:rsidRDefault="00EF6DF3" w:rsidP="00850B44"/>
        </w:tc>
        <w:tc>
          <w:tcPr>
            <w:tcW w:w="1471" w:type="dxa"/>
          </w:tcPr>
          <w:p w14:paraId="2C46B18F" w14:textId="18B22E3B" w:rsidR="00EF6DF3" w:rsidRDefault="00EF6DF3" w:rsidP="00850B44">
            <w:r>
              <w:t>WM</w:t>
            </w:r>
          </w:p>
        </w:tc>
        <w:tc>
          <w:tcPr>
            <w:tcW w:w="1471" w:type="dxa"/>
          </w:tcPr>
          <w:p w14:paraId="2F167DF0" w14:textId="6A490F0D" w:rsidR="00EF6DF3" w:rsidRDefault="00EF6DF3" w:rsidP="00850B44">
            <w:r>
              <w:t>PG</w:t>
            </w:r>
          </w:p>
        </w:tc>
        <w:tc>
          <w:tcPr>
            <w:tcW w:w="1471" w:type="dxa"/>
          </w:tcPr>
          <w:p w14:paraId="0CEA2281" w14:textId="1C117F12" w:rsidR="00EF6DF3" w:rsidRDefault="00EF6DF3" w:rsidP="00850B44">
            <w:r>
              <w:t>ADP</w:t>
            </w:r>
          </w:p>
        </w:tc>
        <w:tc>
          <w:tcPr>
            <w:tcW w:w="1472" w:type="dxa"/>
          </w:tcPr>
          <w:p w14:paraId="0D3A58D4" w14:textId="7A5FD29A" w:rsidR="00EF6DF3" w:rsidRDefault="00EF6DF3" w:rsidP="00850B44">
            <w:r>
              <w:t>LMT</w:t>
            </w:r>
          </w:p>
        </w:tc>
        <w:tc>
          <w:tcPr>
            <w:tcW w:w="1472" w:type="dxa"/>
          </w:tcPr>
          <w:p w14:paraId="126E65B4" w14:textId="0DBA7935" w:rsidR="00EF6DF3" w:rsidRDefault="00EF6DF3" w:rsidP="00850B44">
            <w:r>
              <w:t>TXN</w:t>
            </w:r>
          </w:p>
        </w:tc>
      </w:tr>
      <w:tr w:rsidR="00EF6DF3" w14:paraId="6001B93D" w14:textId="77777777" w:rsidTr="00EF6DF3">
        <w:tc>
          <w:tcPr>
            <w:tcW w:w="1471" w:type="dxa"/>
          </w:tcPr>
          <w:p w14:paraId="33FE558D" w14:textId="2C965E1A" w:rsidR="00EF6DF3" w:rsidRDefault="00EF6DF3" w:rsidP="00850B44">
            <w:r>
              <w:t>Entrega 1</w:t>
            </w:r>
          </w:p>
        </w:tc>
        <w:tc>
          <w:tcPr>
            <w:tcW w:w="1471" w:type="dxa"/>
          </w:tcPr>
          <w:p w14:paraId="3F24C0DD" w14:textId="38311D4E" w:rsidR="00EF6DF3" w:rsidRDefault="00FF2288" w:rsidP="00850B44">
            <w:r>
              <w:t>39.96%</w:t>
            </w:r>
          </w:p>
        </w:tc>
        <w:tc>
          <w:tcPr>
            <w:tcW w:w="1471" w:type="dxa"/>
          </w:tcPr>
          <w:p w14:paraId="0007B26F" w14:textId="3694126F" w:rsidR="00EF6DF3" w:rsidRDefault="00FF2288" w:rsidP="00850B44">
            <w:r>
              <w:t>21.49%</w:t>
            </w:r>
          </w:p>
        </w:tc>
        <w:tc>
          <w:tcPr>
            <w:tcW w:w="1471" w:type="dxa"/>
          </w:tcPr>
          <w:p w14:paraId="4254FF20" w14:textId="6052FBC2" w:rsidR="00EF6DF3" w:rsidRDefault="002363DC" w:rsidP="00850B44">
            <w:r>
              <w:t>22.87%</w:t>
            </w:r>
          </w:p>
        </w:tc>
        <w:tc>
          <w:tcPr>
            <w:tcW w:w="1472" w:type="dxa"/>
          </w:tcPr>
          <w:p w14:paraId="51CC4E4F" w14:textId="6FB7D339" w:rsidR="00EF6DF3" w:rsidRDefault="009F6DFE" w:rsidP="00850B44">
            <w:r>
              <w:t>8.09%</w:t>
            </w:r>
          </w:p>
        </w:tc>
        <w:tc>
          <w:tcPr>
            <w:tcW w:w="1472" w:type="dxa"/>
          </w:tcPr>
          <w:p w14:paraId="25E51274" w14:textId="0BF8279A" w:rsidR="00340031" w:rsidRDefault="002363DC" w:rsidP="00850B44">
            <w:r>
              <w:t>7.58%</w:t>
            </w:r>
          </w:p>
        </w:tc>
      </w:tr>
      <w:tr w:rsidR="00340031" w14:paraId="1E450B12" w14:textId="77777777" w:rsidTr="00EF6DF3">
        <w:tc>
          <w:tcPr>
            <w:tcW w:w="1471" w:type="dxa"/>
          </w:tcPr>
          <w:p w14:paraId="3D2C55D7" w14:textId="610649C7" w:rsidR="00340031" w:rsidRDefault="00340031" w:rsidP="00340031">
            <w:r>
              <w:t>Entrega 3</w:t>
            </w:r>
          </w:p>
        </w:tc>
        <w:tc>
          <w:tcPr>
            <w:tcW w:w="1471" w:type="dxa"/>
          </w:tcPr>
          <w:p w14:paraId="68E5FC88" w14:textId="07F348B3" w:rsidR="00340031" w:rsidRDefault="00340031" w:rsidP="00340031">
            <w:r>
              <w:t>10%</w:t>
            </w:r>
          </w:p>
        </w:tc>
        <w:tc>
          <w:tcPr>
            <w:tcW w:w="1471" w:type="dxa"/>
          </w:tcPr>
          <w:p w14:paraId="5A15EF08" w14:textId="1B38AB22" w:rsidR="00340031" w:rsidRDefault="00340031" w:rsidP="00340031">
            <w:r>
              <w:t>60%</w:t>
            </w:r>
          </w:p>
        </w:tc>
        <w:tc>
          <w:tcPr>
            <w:tcW w:w="1471" w:type="dxa"/>
          </w:tcPr>
          <w:p w14:paraId="167FE8E4" w14:textId="680A025A" w:rsidR="00340031" w:rsidRDefault="00340031" w:rsidP="00340031">
            <w:r>
              <w:t>5%</w:t>
            </w:r>
          </w:p>
        </w:tc>
        <w:tc>
          <w:tcPr>
            <w:tcW w:w="1472" w:type="dxa"/>
          </w:tcPr>
          <w:p w14:paraId="44162448" w14:textId="63093014" w:rsidR="00340031" w:rsidRDefault="00340031" w:rsidP="00340031">
            <w:r>
              <w:t>20%</w:t>
            </w:r>
          </w:p>
        </w:tc>
        <w:tc>
          <w:tcPr>
            <w:tcW w:w="1472" w:type="dxa"/>
          </w:tcPr>
          <w:p w14:paraId="207AB380" w14:textId="728652FE" w:rsidR="00340031" w:rsidRDefault="00340031" w:rsidP="00340031">
            <w:r>
              <w:t>5%</w:t>
            </w:r>
          </w:p>
        </w:tc>
      </w:tr>
      <w:tr w:rsidR="009F6DFE" w14:paraId="47C127AA" w14:textId="77777777" w:rsidTr="00EF6DF3">
        <w:tc>
          <w:tcPr>
            <w:tcW w:w="1471" w:type="dxa"/>
          </w:tcPr>
          <w:p w14:paraId="7F6C5188" w14:textId="77777777" w:rsidR="009F6DFE" w:rsidRDefault="009F6DFE" w:rsidP="00340031"/>
        </w:tc>
        <w:tc>
          <w:tcPr>
            <w:tcW w:w="1471" w:type="dxa"/>
          </w:tcPr>
          <w:p w14:paraId="7980C610" w14:textId="77777777" w:rsidR="009F6DFE" w:rsidRDefault="009F6DFE" w:rsidP="00340031"/>
        </w:tc>
        <w:tc>
          <w:tcPr>
            <w:tcW w:w="1471" w:type="dxa"/>
          </w:tcPr>
          <w:p w14:paraId="5C3B5729" w14:textId="77777777" w:rsidR="009F6DFE" w:rsidRDefault="009F6DFE" w:rsidP="00340031"/>
        </w:tc>
        <w:tc>
          <w:tcPr>
            <w:tcW w:w="1471" w:type="dxa"/>
          </w:tcPr>
          <w:p w14:paraId="6B8BA9C4" w14:textId="77777777" w:rsidR="009F6DFE" w:rsidRDefault="009F6DFE" w:rsidP="00340031"/>
        </w:tc>
        <w:tc>
          <w:tcPr>
            <w:tcW w:w="1472" w:type="dxa"/>
          </w:tcPr>
          <w:p w14:paraId="67FCB74A" w14:textId="77777777" w:rsidR="009F6DFE" w:rsidRDefault="009F6DFE" w:rsidP="00340031"/>
        </w:tc>
        <w:tc>
          <w:tcPr>
            <w:tcW w:w="1472" w:type="dxa"/>
          </w:tcPr>
          <w:p w14:paraId="65109215" w14:textId="77777777" w:rsidR="009F6DFE" w:rsidRDefault="009F6DFE" w:rsidP="00340031"/>
        </w:tc>
      </w:tr>
    </w:tbl>
    <w:p w14:paraId="29FEB248" w14:textId="43E598C0" w:rsidR="00850B44" w:rsidRDefault="00850B44" w:rsidP="00850B44">
      <w:pPr>
        <w:pStyle w:val="Ttulo2"/>
      </w:pPr>
      <w:bookmarkStart w:id="4" w:name="_Toc211253857"/>
      <w:r>
        <w:t>Estimación de rendimientos</w:t>
      </w:r>
      <w:bookmarkEnd w:id="4"/>
    </w:p>
    <w:p w14:paraId="0E5D385C" w14:textId="2E60DFD9" w:rsidR="00850B44" w:rsidRDefault="004D3476" w:rsidP="004D3476">
      <w:pPr>
        <w:jc w:val="center"/>
      </w:pPr>
      <w:r w:rsidRPr="004D3476">
        <w:rPr>
          <w:noProof/>
        </w:rPr>
        <w:drawing>
          <wp:inline distT="0" distB="0" distL="0" distR="0" wp14:anchorId="557860EC" wp14:editId="537FB05E">
            <wp:extent cx="3772227" cy="1333616"/>
            <wp:effectExtent l="0" t="0" r="0" b="0"/>
            <wp:docPr id="13244529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45292" name="Imagen 1" descr="Tabla&#10;&#10;El contenido generado por IA puede ser incorrecto."/>
                    <pic:cNvPicPr/>
                  </pic:nvPicPr>
                  <pic:blipFill>
                    <a:blip r:embed="rId7"/>
                    <a:stretch>
                      <a:fillRect/>
                    </a:stretch>
                  </pic:blipFill>
                  <pic:spPr>
                    <a:xfrm>
                      <a:off x="0" y="0"/>
                      <a:ext cx="3772227" cy="1333616"/>
                    </a:xfrm>
                    <a:prstGeom prst="rect">
                      <a:avLst/>
                    </a:prstGeom>
                  </pic:spPr>
                </pic:pic>
              </a:graphicData>
            </a:graphic>
          </wp:inline>
        </w:drawing>
      </w:r>
    </w:p>
    <w:p w14:paraId="19A800D6" w14:textId="77777777" w:rsidR="000C7EC8" w:rsidRPr="000C7EC8" w:rsidRDefault="000C7EC8" w:rsidP="000C7EC8">
      <w:pPr>
        <w:jc w:val="both"/>
        <w:rPr>
          <w:rFonts w:asciiTheme="minorBidi" w:hAnsiTheme="minorBidi"/>
        </w:rPr>
      </w:pPr>
      <w:r w:rsidRPr="000C7EC8">
        <w:rPr>
          <w:rFonts w:asciiTheme="minorBidi" w:hAnsiTheme="minorBidi"/>
        </w:rPr>
        <w:t xml:space="preserve">A partir de los precios históricos diarios, se estimaron los rendimientos porcentuales y la volatilidad de cada activo que compone el portafolio: WM (Waste Management), PG (Procter &amp; Gamble), ADP, LMT (Lockheed Martin) y TXN (Texas Instruments). Los rendimientos fueron anualizados para facilitar su interpretación financiera y comparación con </w:t>
      </w:r>
      <w:proofErr w:type="spellStart"/>
      <w:r w:rsidRPr="000C7EC8">
        <w:rPr>
          <w:rFonts w:asciiTheme="minorBidi" w:hAnsiTheme="minorBidi"/>
        </w:rPr>
        <w:t>benchmarks</w:t>
      </w:r>
      <w:proofErr w:type="spellEnd"/>
      <w:r w:rsidRPr="000C7EC8">
        <w:rPr>
          <w:rFonts w:asciiTheme="minorBidi" w:hAnsiTheme="minorBidi"/>
        </w:rPr>
        <w:t xml:space="preserve"> o expectativas del mercado.</w:t>
      </w:r>
    </w:p>
    <w:p w14:paraId="5D34D447" w14:textId="77777777" w:rsidR="000C7EC8" w:rsidRPr="000C7EC8" w:rsidRDefault="000C7EC8" w:rsidP="000C7EC8">
      <w:pPr>
        <w:jc w:val="both"/>
        <w:rPr>
          <w:rFonts w:asciiTheme="minorBidi" w:hAnsiTheme="minorBidi"/>
        </w:rPr>
      </w:pPr>
      <w:r w:rsidRPr="000C7EC8">
        <w:rPr>
          <w:rFonts w:asciiTheme="minorBidi" w:hAnsiTheme="minorBidi"/>
        </w:rPr>
        <w:t>El análisis muestra que WM fue el activo con el mayor rendimiento anual promedio, con un 14.42%, seguido por ADP con 10.34% y TXN con 6.76%. Estos activos presentaron un desempeño superior en términos de rentabilidad esperada. En contraste, PG y LMT mostraron rendimientos anuales más modestos, de 3.69% y 2.42%, respectivamente, lo que sugiere un perfil más conservador.</w:t>
      </w:r>
    </w:p>
    <w:p w14:paraId="4EC08D05" w14:textId="77777777" w:rsidR="000C7EC8" w:rsidRPr="000C7EC8" w:rsidRDefault="000C7EC8" w:rsidP="000C7EC8">
      <w:pPr>
        <w:jc w:val="both"/>
        <w:rPr>
          <w:rFonts w:asciiTheme="minorBidi" w:hAnsiTheme="minorBidi"/>
        </w:rPr>
      </w:pPr>
      <w:r w:rsidRPr="000C7EC8">
        <w:rPr>
          <w:rFonts w:asciiTheme="minorBidi" w:hAnsiTheme="minorBidi"/>
        </w:rPr>
        <w:t>Respecto a la volatilidad, que representa la magnitud de las fluctuaciones del precio y, por lo tanto, el riesgo asumido, TXN se destacó como el activo más volátil con un 31.50% anual, mientras que PG fue el más estable con una volatilidad anual de 16.37%. Esto implica que, aunque TXN ofreció rendimientos aceptables, lo hizo a costa de un mayor riesgo.</w:t>
      </w:r>
    </w:p>
    <w:p w14:paraId="4BEEE1DE" w14:textId="77777777" w:rsidR="000C7EC8" w:rsidRPr="000C7EC8" w:rsidRDefault="000C7EC8" w:rsidP="000C7EC8">
      <w:pPr>
        <w:jc w:val="both"/>
        <w:rPr>
          <w:rFonts w:asciiTheme="minorBidi" w:hAnsiTheme="minorBidi"/>
        </w:rPr>
      </w:pPr>
      <w:r w:rsidRPr="000C7EC8">
        <w:rPr>
          <w:rFonts w:asciiTheme="minorBidi" w:hAnsiTheme="minorBidi"/>
        </w:rPr>
        <w:t>En términos de la relación riesgo-retorno, WM y ADP lograron combinaciones eficientes: rendimientos elevados con una volatilidad relativamente contenida. Por el contrario, LMT presentó tanto bajo rendimiento como alta volatilidad relativa, lo que indica un perfil menos atractivo dentro del conjunto analizado.</w:t>
      </w:r>
    </w:p>
    <w:p w14:paraId="265BCE74" w14:textId="77777777" w:rsidR="000C7EC8" w:rsidRPr="000C7EC8" w:rsidRDefault="000C7EC8" w:rsidP="000C7EC8">
      <w:pPr>
        <w:jc w:val="both"/>
        <w:rPr>
          <w:rFonts w:asciiTheme="minorBidi" w:hAnsiTheme="minorBidi"/>
        </w:rPr>
      </w:pPr>
      <w:r w:rsidRPr="000C7EC8">
        <w:rPr>
          <w:rFonts w:asciiTheme="minorBidi" w:hAnsiTheme="minorBidi"/>
        </w:rPr>
        <w:lastRenderedPageBreak/>
        <w:t>Finalmente, al evaluar el portafolio en su conjunto, se observó un rendimiento anual esperado de 11.4% y una volatilidad anual de 13.6%. Esta combinación se traduce en el mayor ratio de Sharpe entre las configuraciones analizadas, indicando que el portafolio ofrece un balance eficiente entre riesgo y rentabilidad en comparación con sus componentes individuales.</w:t>
      </w:r>
    </w:p>
    <w:p w14:paraId="69C63787" w14:textId="0926061E" w:rsidR="006B385C" w:rsidRPr="006B385C" w:rsidRDefault="00850B44" w:rsidP="003E6BAA">
      <w:pPr>
        <w:pStyle w:val="Ttulo2"/>
      </w:pPr>
      <w:bookmarkStart w:id="5" w:name="_Toc211253858"/>
      <w:r>
        <w:t>Pruebas de normalidad</w:t>
      </w:r>
      <w:bookmarkEnd w:id="5"/>
    </w:p>
    <w:p w14:paraId="2C9706DB" w14:textId="6A2ED261" w:rsidR="006B385C" w:rsidRPr="006B385C" w:rsidRDefault="006B385C" w:rsidP="006B385C">
      <w:pPr>
        <w:pStyle w:val="Prrafodelista"/>
        <w:numPr>
          <w:ilvl w:val="0"/>
          <w:numId w:val="3"/>
        </w:numPr>
        <w:rPr>
          <w:rFonts w:asciiTheme="minorBidi" w:hAnsiTheme="minorBidi"/>
          <w:b/>
          <w:bCs/>
        </w:rPr>
      </w:pPr>
      <w:r w:rsidRPr="00541A04">
        <w:rPr>
          <w:noProof/>
        </w:rPr>
        <w:drawing>
          <wp:anchor distT="0" distB="0" distL="114300" distR="114300" simplePos="0" relativeHeight="251658240" behindDoc="1" locked="0" layoutInCell="1" allowOverlap="1" wp14:anchorId="77D07295" wp14:editId="2149CF3F">
            <wp:simplePos x="0" y="0"/>
            <wp:positionH relativeFrom="margin">
              <wp:align>center</wp:align>
            </wp:positionH>
            <wp:positionV relativeFrom="paragraph">
              <wp:posOffset>315005</wp:posOffset>
            </wp:positionV>
            <wp:extent cx="6541241" cy="2771775"/>
            <wp:effectExtent l="0" t="0" r="0" b="0"/>
            <wp:wrapTight wrapText="bothSides">
              <wp:wrapPolygon edited="0">
                <wp:start x="0" y="0"/>
                <wp:lineTo x="0" y="21377"/>
                <wp:lineTo x="21514" y="21377"/>
                <wp:lineTo x="21514" y="0"/>
                <wp:lineTo x="0" y="0"/>
              </wp:wrapPolygon>
            </wp:wrapTight>
            <wp:docPr id="128593895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938951" name="Imagen 1" descr="Gráfic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6541241" cy="2771775"/>
                    </a:xfrm>
                    <a:prstGeom prst="rect">
                      <a:avLst/>
                    </a:prstGeom>
                  </pic:spPr>
                </pic:pic>
              </a:graphicData>
            </a:graphic>
          </wp:anchor>
        </w:drawing>
      </w:r>
      <w:r w:rsidRPr="006B385C">
        <w:rPr>
          <w:rFonts w:asciiTheme="minorBidi" w:hAnsiTheme="minorBidi"/>
          <w:b/>
          <w:bCs/>
        </w:rPr>
        <w:t>LM</w:t>
      </w:r>
    </w:p>
    <w:p w14:paraId="6760F317" w14:textId="59ECBD81" w:rsidR="00850B44" w:rsidRDefault="00850B44" w:rsidP="006B385C">
      <w:pPr>
        <w:jc w:val="center"/>
      </w:pPr>
    </w:p>
    <w:p w14:paraId="3FD6E834" w14:textId="77777777" w:rsidR="006B385C" w:rsidRDefault="006B385C" w:rsidP="006B385C">
      <w:pPr>
        <w:jc w:val="center"/>
      </w:pPr>
    </w:p>
    <w:p w14:paraId="737FD946" w14:textId="77777777" w:rsidR="006B385C" w:rsidRDefault="006B385C" w:rsidP="006B385C">
      <w:pPr>
        <w:jc w:val="center"/>
      </w:pPr>
    </w:p>
    <w:p w14:paraId="5E971C4A" w14:textId="6F66D9B1" w:rsidR="006B385C" w:rsidRPr="006B385C" w:rsidRDefault="006B385C" w:rsidP="006B385C">
      <w:pPr>
        <w:pStyle w:val="Prrafodelista"/>
        <w:numPr>
          <w:ilvl w:val="0"/>
          <w:numId w:val="3"/>
        </w:numPr>
        <w:rPr>
          <w:rFonts w:asciiTheme="minorBidi" w:hAnsiTheme="minorBidi"/>
          <w:b/>
          <w:bCs/>
        </w:rPr>
      </w:pPr>
      <w:r w:rsidRPr="00BB72CD">
        <w:rPr>
          <w:noProof/>
        </w:rPr>
        <w:lastRenderedPageBreak/>
        <w:drawing>
          <wp:anchor distT="0" distB="0" distL="114300" distR="114300" simplePos="0" relativeHeight="251659264" behindDoc="1" locked="0" layoutInCell="1" allowOverlap="1" wp14:anchorId="0421A8FA" wp14:editId="0D1CC61E">
            <wp:simplePos x="0" y="0"/>
            <wp:positionH relativeFrom="margin">
              <wp:align>center</wp:align>
            </wp:positionH>
            <wp:positionV relativeFrom="paragraph">
              <wp:posOffset>387985</wp:posOffset>
            </wp:positionV>
            <wp:extent cx="6487160" cy="2762250"/>
            <wp:effectExtent l="0" t="0" r="8890" b="0"/>
            <wp:wrapTight wrapText="bothSides">
              <wp:wrapPolygon edited="0">
                <wp:start x="0" y="0"/>
                <wp:lineTo x="0" y="21451"/>
                <wp:lineTo x="21566" y="21451"/>
                <wp:lineTo x="21566" y="0"/>
                <wp:lineTo x="0" y="0"/>
              </wp:wrapPolygon>
            </wp:wrapTight>
            <wp:docPr id="1011836837"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36837" name="Imagen 1" descr="Gráfico&#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6487160" cy="2762250"/>
                    </a:xfrm>
                    <a:prstGeom prst="rect">
                      <a:avLst/>
                    </a:prstGeom>
                  </pic:spPr>
                </pic:pic>
              </a:graphicData>
            </a:graphic>
            <wp14:sizeRelH relativeFrom="margin">
              <wp14:pctWidth>0</wp14:pctWidth>
            </wp14:sizeRelH>
            <wp14:sizeRelV relativeFrom="margin">
              <wp14:pctHeight>0</wp14:pctHeight>
            </wp14:sizeRelV>
          </wp:anchor>
        </w:drawing>
      </w:r>
      <w:r w:rsidRPr="006B385C">
        <w:rPr>
          <w:rFonts w:asciiTheme="minorBidi" w:hAnsiTheme="minorBidi"/>
          <w:b/>
          <w:bCs/>
        </w:rPr>
        <w:t>PG</w:t>
      </w:r>
    </w:p>
    <w:p w14:paraId="1D62488C" w14:textId="2541FBD5" w:rsidR="00BB72CD" w:rsidRDefault="00BB72CD" w:rsidP="00850B44"/>
    <w:p w14:paraId="50550A00" w14:textId="77777777" w:rsidR="006B385C" w:rsidRDefault="006B385C" w:rsidP="00850B44"/>
    <w:p w14:paraId="273D83E7" w14:textId="35144376" w:rsidR="006B385C" w:rsidRPr="00456EB9" w:rsidRDefault="00456EB9" w:rsidP="00456EB9">
      <w:pPr>
        <w:pStyle w:val="Prrafodelista"/>
        <w:numPr>
          <w:ilvl w:val="0"/>
          <w:numId w:val="3"/>
        </w:numPr>
        <w:rPr>
          <w:rFonts w:asciiTheme="minorBidi" w:hAnsiTheme="minorBidi"/>
          <w:b/>
          <w:bCs/>
        </w:rPr>
      </w:pPr>
      <w:r w:rsidRPr="00BB72CD">
        <w:rPr>
          <w:noProof/>
        </w:rPr>
        <w:drawing>
          <wp:anchor distT="0" distB="0" distL="114300" distR="114300" simplePos="0" relativeHeight="251660288" behindDoc="1" locked="0" layoutInCell="1" allowOverlap="1" wp14:anchorId="79685AEB" wp14:editId="1E35DFB4">
            <wp:simplePos x="0" y="0"/>
            <wp:positionH relativeFrom="margin">
              <wp:align>center</wp:align>
            </wp:positionH>
            <wp:positionV relativeFrom="paragraph">
              <wp:posOffset>459740</wp:posOffset>
            </wp:positionV>
            <wp:extent cx="6360795" cy="2695575"/>
            <wp:effectExtent l="0" t="0" r="1905" b="9525"/>
            <wp:wrapTight wrapText="bothSides">
              <wp:wrapPolygon edited="0">
                <wp:start x="0" y="0"/>
                <wp:lineTo x="0" y="21524"/>
                <wp:lineTo x="21542" y="21524"/>
                <wp:lineTo x="21542" y="0"/>
                <wp:lineTo x="0" y="0"/>
              </wp:wrapPolygon>
            </wp:wrapTight>
            <wp:docPr id="1143297276"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297276" name="Imagen 1" descr="Gráfico, Gráfico de líneas&#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6360795" cy="2695575"/>
                    </a:xfrm>
                    <a:prstGeom prst="rect">
                      <a:avLst/>
                    </a:prstGeom>
                  </pic:spPr>
                </pic:pic>
              </a:graphicData>
            </a:graphic>
            <wp14:sizeRelH relativeFrom="margin">
              <wp14:pctWidth>0</wp14:pctWidth>
            </wp14:sizeRelH>
            <wp14:sizeRelV relativeFrom="margin">
              <wp14:pctHeight>0</wp14:pctHeight>
            </wp14:sizeRelV>
          </wp:anchor>
        </w:drawing>
      </w:r>
      <w:r w:rsidRPr="00456EB9">
        <w:rPr>
          <w:rFonts w:asciiTheme="minorBidi" w:hAnsiTheme="minorBidi"/>
          <w:b/>
          <w:bCs/>
        </w:rPr>
        <w:t>ADP</w:t>
      </w:r>
    </w:p>
    <w:p w14:paraId="5A690068" w14:textId="1D50853D" w:rsidR="00BB72CD" w:rsidRDefault="00BB72CD" w:rsidP="00850B44"/>
    <w:p w14:paraId="249ACC1A" w14:textId="77777777" w:rsidR="00456EB9" w:rsidRDefault="00456EB9" w:rsidP="00850B44"/>
    <w:p w14:paraId="236E9692" w14:textId="77777777" w:rsidR="00456EB9" w:rsidRDefault="00456EB9" w:rsidP="00850B44"/>
    <w:p w14:paraId="3A4DB6D6" w14:textId="619BC934" w:rsidR="00456EB9" w:rsidRPr="00456EB9" w:rsidRDefault="00456EB9" w:rsidP="00456EB9">
      <w:pPr>
        <w:pStyle w:val="Prrafodelista"/>
        <w:numPr>
          <w:ilvl w:val="0"/>
          <w:numId w:val="4"/>
        </w:numPr>
        <w:rPr>
          <w:rFonts w:asciiTheme="minorBidi" w:hAnsiTheme="minorBidi"/>
          <w:b/>
          <w:bCs/>
        </w:rPr>
      </w:pPr>
      <w:r w:rsidRPr="006C18CF">
        <w:rPr>
          <w:noProof/>
        </w:rPr>
        <w:lastRenderedPageBreak/>
        <w:drawing>
          <wp:anchor distT="0" distB="0" distL="114300" distR="114300" simplePos="0" relativeHeight="251661312" behindDoc="1" locked="0" layoutInCell="1" allowOverlap="1" wp14:anchorId="497EBAF0" wp14:editId="1480A716">
            <wp:simplePos x="0" y="0"/>
            <wp:positionH relativeFrom="margin">
              <wp:posOffset>-271780</wp:posOffset>
            </wp:positionH>
            <wp:positionV relativeFrom="paragraph">
              <wp:posOffset>393700</wp:posOffset>
            </wp:positionV>
            <wp:extent cx="6156325" cy="2619375"/>
            <wp:effectExtent l="0" t="0" r="0" b="9525"/>
            <wp:wrapTight wrapText="bothSides">
              <wp:wrapPolygon edited="0">
                <wp:start x="0" y="0"/>
                <wp:lineTo x="0" y="21521"/>
                <wp:lineTo x="21522" y="21521"/>
                <wp:lineTo x="21522" y="0"/>
                <wp:lineTo x="0" y="0"/>
              </wp:wrapPolygon>
            </wp:wrapTight>
            <wp:docPr id="43647622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76223" name="Imagen 1" descr="Gráfico, Gráfico de líneas&#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156325" cy="2619375"/>
                    </a:xfrm>
                    <a:prstGeom prst="rect">
                      <a:avLst/>
                    </a:prstGeom>
                  </pic:spPr>
                </pic:pic>
              </a:graphicData>
            </a:graphic>
            <wp14:sizeRelH relativeFrom="margin">
              <wp14:pctWidth>0</wp14:pctWidth>
            </wp14:sizeRelH>
            <wp14:sizeRelV relativeFrom="margin">
              <wp14:pctHeight>0</wp14:pctHeight>
            </wp14:sizeRelV>
          </wp:anchor>
        </w:drawing>
      </w:r>
      <w:r w:rsidRPr="00456EB9">
        <w:rPr>
          <w:rFonts w:asciiTheme="minorBidi" w:hAnsiTheme="minorBidi"/>
          <w:b/>
          <w:bCs/>
        </w:rPr>
        <w:t>LMT</w:t>
      </w:r>
    </w:p>
    <w:p w14:paraId="75D3666F" w14:textId="1BA9F153" w:rsidR="006C18CF" w:rsidRDefault="006C18CF" w:rsidP="00850B44"/>
    <w:p w14:paraId="7BE5DCF9" w14:textId="77777777" w:rsidR="00456EB9" w:rsidRDefault="00456EB9" w:rsidP="00850B44"/>
    <w:p w14:paraId="434BF054" w14:textId="6392BE8D" w:rsidR="00456EB9" w:rsidRPr="001365A5" w:rsidRDefault="00456EB9" w:rsidP="001365A5">
      <w:pPr>
        <w:pStyle w:val="Prrafodelista"/>
        <w:numPr>
          <w:ilvl w:val="0"/>
          <w:numId w:val="4"/>
        </w:numPr>
        <w:rPr>
          <w:rFonts w:asciiTheme="minorBidi" w:hAnsiTheme="minorBidi"/>
          <w:b/>
          <w:bCs/>
        </w:rPr>
      </w:pPr>
      <w:r w:rsidRPr="001365A5">
        <w:rPr>
          <w:rFonts w:asciiTheme="minorBidi" w:hAnsiTheme="minorBidi"/>
          <w:b/>
          <w:bCs/>
        </w:rPr>
        <w:t>TXN</w:t>
      </w:r>
    </w:p>
    <w:p w14:paraId="6E9A4248" w14:textId="2D52C4A7" w:rsidR="006C18CF" w:rsidRDefault="006C18CF" w:rsidP="00850B44">
      <w:r w:rsidRPr="006C18CF">
        <w:rPr>
          <w:noProof/>
        </w:rPr>
        <w:drawing>
          <wp:inline distT="0" distB="0" distL="0" distR="0" wp14:anchorId="5B4F09B7" wp14:editId="19848F23">
            <wp:extent cx="5612130" cy="2396490"/>
            <wp:effectExtent l="0" t="0" r="7620" b="3810"/>
            <wp:docPr id="1872612467"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12467" name="Imagen 1" descr="Gráfico, Gráfico de líneas&#10;&#10;El contenido generado por IA puede ser incorrecto."/>
                    <pic:cNvPicPr/>
                  </pic:nvPicPr>
                  <pic:blipFill>
                    <a:blip r:embed="rId12"/>
                    <a:stretch>
                      <a:fillRect/>
                    </a:stretch>
                  </pic:blipFill>
                  <pic:spPr>
                    <a:xfrm>
                      <a:off x="0" y="0"/>
                      <a:ext cx="5612130" cy="2396490"/>
                    </a:xfrm>
                    <a:prstGeom prst="rect">
                      <a:avLst/>
                    </a:prstGeom>
                  </pic:spPr>
                </pic:pic>
              </a:graphicData>
            </a:graphic>
          </wp:inline>
        </w:drawing>
      </w:r>
    </w:p>
    <w:p w14:paraId="79D8E60F" w14:textId="77777777" w:rsidR="001365A5" w:rsidRPr="001365A5" w:rsidRDefault="001365A5" w:rsidP="001365A5">
      <w:pPr>
        <w:jc w:val="both"/>
        <w:rPr>
          <w:rFonts w:asciiTheme="minorBidi" w:hAnsiTheme="minorBidi"/>
        </w:rPr>
      </w:pPr>
      <w:r w:rsidRPr="001365A5">
        <w:rPr>
          <w:rFonts w:asciiTheme="minorBidi" w:hAnsiTheme="minorBidi"/>
        </w:rPr>
        <w:t>Se aplicaron tres pruebas estadísticas comúnmente utilizadas para evaluar la normalidad de una serie de datos: Jarque-Bera, Shapiro-Wilk y Kolmogorov-Smirnov. Estas se realizaron sobre los rendimientos diarios, los precios y los logaritmos de los precios de cada activo, tanto de forma individual como sobre el portafolio consolidado.</w:t>
      </w:r>
    </w:p>
    <w:p w14:paraId="10FEB4EE" w14:textId="74309059" w:rsidR="001365A5" w:rsidRPr="001365A5" w:rsidRDefault="001365A5" w:rsidP="001365A5">
      <w:pPr>
        <w:jc w:val="both"/>
        <w:rPr>
          <w:rFonts w:asciiTheme="minorBidi" w:hAnsiTheme="minorBidi"/>
        </w:rPr>
      </w:pPr>
      <w:r w:rsidRPr="001365A5">
        <w:rPr>
          <w:rFonts w:asciiTheme="minorBidi" w:hAnsiTheme="minorBidi"/>
        </w:rPr>
        <w:t xml:space="preserve">En todos los casos, los valores p obtenidos fueron inferiores al umbral de significancia del 5%, lo que implica el rechazo de la hipótesis nula de normalidad. </w:t>
      </w:r>
      <w:r w:rsidRPr="001365A5">
        <w:rPr>
          <w:rFonts w:asciiTheme="minorBidi" w:hAnsiTheme="minorBidi"/>
        </w:rPr>
        <w:lastRenderedPageBreak/>
        <w:t>Es decir, las pruebas indican de forma consistente que ninguna de las series analizadas</w:t>
      </w:r>
      <w:r>
        <w:rPr>
          <w:rFonts w:asciiTheme="minorBidi" w:hAnsiTheme="minorBidi"/>
        </w:rPr>
        <w:t xml:space="preserve"> </w:t>
      </w:r>
      <w:r w:rsidRPr="001365A5">
        <w:rPr>
          <w:rFonts w:asciiTheme="minorBidi" w:hAnsiTheme="minorBidi"/>
        </w:rPr>
        <w:t>ni los rendimientos, ni los precios, ni sus transformaciones logarítmicas siguen una distribución normal.</w:t>
      </w:r>
    </w:p>
    <w:p w14:paraId="166FBC18" w14:textId="77777777" w:rsidR="001365A5" w:rsidRPr="001365A5" w:rsidRDefault="001365A5" w:rsidP="001365A5">
      <w:pPr>
        <w:jc w:val="both"/>
        <w:rPr>
          <w:rFonts w:asciiTheme="minorBidi" w:hAnsiTheme="minorBidi"/>
        </w:rPr>
      </w:pPr>
      <w:r w:rsidRPr="001365A5">
        <w:rPr>
          <w:rFonts w:asciiTheme="minorBidi" w:hAnsiTheme="minorBidi"/>
        </w:rPr>
        <w:t>Este resultado fue respaldado por los QQ-</w:t>
      </w:r>
      <w:proofErr w:type="spellStart"/>
      <w:r w:rsidRPr="001365A5">
        <w:rPr>
          <w:rFonts w:asciiTheme="minorBidi" w:hAnsiTheme="minorBidi"/>
        </w:rPr>
        <w:t>plots</w:t>
      </w:r>
      <w:proofErr w:type="spellEnd"/>
      <w:r w:rsidRPr="001365A5">
        <w:rPr>
          <w:rFonts w:asciiTheme="minorBidi" w:hAnsiTheme="minorBidi"/>
        </w:rPr>
        <w:t>, que mostraron desviaciones claras en las colas respecto a la línea de referencia. Particularmente, se observaron colas más gruesas y mayor presencia de valores extremos, lo cual es un indicio característico de distribuciones con curtosis elevada, como suele encontrarse en datos financieros reales.</w:t>
      </w:r>
    </w:p>
    <w:p w14:paraId="578FAFF2" w14:textId="77777777" w:rsidR="001365A5" w:rsidRDefault="001365A5" w:rsidP="001365A5">
      <w:pPr>
        <w:jc w:val="both"/>
        <w:rPr>
          <w:rFonts w:asciiTheme="minorBidi" w:hAnsiTheme="minorBidi"/>
        </w:rPr>
      </w:pPr>
      <w:r w:rsidRPr="001365A5">
        <w:rPr>
          <w:rFonts w:asciiTheme="minorBidi" w:hAnsiTheme="minorBidi"/>
        </w:rPr>
        <w:t>Este comportamiento es coherente con lo reportado en la literatura financiera: los rendimientos de activos financieros suelen presentar distribuciones leptocúrticas, es decir, con más probabilidad de eventos extremos que la predicha por una distribución normal. Esta característica tiene implicaciones importantes para el análisis de riesgo, ya que modelos que asumen normalidad tienden a subestimar la probabilidad de pérdidas significativas.</w:t>
      </w:r>
    </w:p>
    <w:p w14:paraId="4F72A45D" w14:textId="77777777" w:rsidR="00B725E6" w:rsidRDefault="00B725E6" w:rsidP="001365A5">
      <w:pPr>
        <w:jc w:val="both"/>
        <w:rPr>
          <w:rFonts w:asciiTheme="minorBidi" w:hAnsiTheme="minorBidi"/>
        </w:rPr>
      </w:pPr>
    </w:p>
    <w:p w14:paraId="50E0315C" w14:textId="77777777" w:rsidR="00B725E6" w:rsidRDefault="00B725E6" w:rsidP="001365A5">
      <w:pPr>
        <w:jc w:val="both"/>
        <w:rPr>
          <w:rFonts w:asciiTheme="minorBidi" w:hAnsiTheme="minorBidi"/>
        </w:rPr>
      </w:pPr>
    </w:p>
    <w:p w14:paraId="532FFAF1" w14:textId="12F31734" w:rsidR="00277D59" w:rsidRPr="00277D59" w:rsidRDefault="00277D59" w:rsidP="00277D59">
      <w:pPr>
        <w:pStyle w:val="Prrafodelista"/>
        <w:numPr>
          <w:ilvl w:val="0"/>
          <w:numId w:val="5"/>
        </w:numPr>
        <w:jc w:val="both"/>
        <w:rPr>
          <w:rFonts w:asciiTheme="minorBidi" w:hAnsiTheme="minorBidi"/>
          <w:b/>
          <w:bCs/>
        </w:rPr>
      </w:pPr>
      <w:r w:rsidRPr="00277D59">
        <w:rPr>
          <w:rFonts w:asciiTheme="minorBidi" w:hAnsiTheme="minorBidi"/>
          <w:b/>
          <w:bCs/>
        </w:rPr>
        <w:t>Portafolio</w:t>
      </w:r>
    </w:p>
    <w:p w14:paraId="7E59E748" w14:textId="2D14238D" w:rsidR="00B725E6" w:rsidRDefault="009B488E" w:rsidP="00277D59">
      <w:pPr>
        <w:jc w:val="center"/>
        <w:rPr>
          <w:rFonts w:asciiTheme="minorBidi" w:hAnsiTheme="minorBidi"/>
        </w:rPr>
      </w:pPr>
      <w:r w:rsidRPr="009B488E">
        <w:rPr>
          <w:rFonts w:asciiTheme="minorBidi" w:hAnsiTheme="minorBidi"/>
          <w:noProof/>
        </w:rPr>
        <w:drawing>
          <wp:inline distT="0" distB="0" distL="0" distR="0" wp14:anchorId="78A4A5C5" wp14:editId="3F13C0D0">
            <wp:extent cx="3179925" cy="2486025"/>
            <wp:effectExtent l="0" t="0" r="1905" b="0"/>
            <wp:docPr id="48714596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45963" name="Imagen 1" descr="Gráfico, Gráfico de líneas&#10;&#10;El contenido generado por IA puede ser incorrecto."/>
                    <pic:cNvPicPr/>
                  </pic:nvPicPr>
                  <pic:blipFill>
                    <a:blip r:embed="rId13"/>
                    <a:stretch>
                      <a:fillRect/>
                    </a:stretch>
                  </pic:blipFill>
                  <pic:spPr>
                    <a:xfrm>
                      <a:off x="0" y="0"/>
                      <a:ext cx="3224111" cy="2520569"/>
                    </a:xfrm>
                    <a:prstGeom prst="rect">
                      <a:avLst/>
                    </a:prstGeom>
                  </pic:spPr>
                </pic:pic>
              </a:graphicData>
            </a:graphic>
          </wp:inline>
        </w:drawing>
      </w:r>
    </w:p>
    <w:p w14:paraId="49F0F907" w14:textId="39CB6D85" w:rsidR="009B488E" w:rsidRDefault="009B488E" w:rsidP="00277D59">
      <w:pPr>
        <w:jc w:val="center"/>
        <w:rPr>
          <w:rFonts w:asciiTheme="minorBidi" w:hAnsiTheme="minorBidi"/>
        </w:rPr>
      </w:pPr>
      <w:r w:rsidRPr="009B488E">
        <w:rPr>
          <w:rFonts w:asciiTheme="minorBidi" w:hAnsiTheme="minorBidi"/>
          <w:noProof/>
        </w:rPr>
        <w:lastRenderedPageBreak/>
        <w:drawing>
          <wp:inline distT="0" distB="0" distL="0" distR="0" wp14:anchorId="4C35558B" wp14:editId="7F66DA6A">
            <wp:extent cx="3136899" cy="2533650"/>
            <wp:effectExtent l="0" t="0" r="6985" b="0"/>
            <wp:docPr id="1517563248"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563248" name="Imagen 1" descr="Gráfico, Gráfico de líneas&#10;&#10;El contenido generado por IA puede ser incorrecto."/>
                    <pic:cNvPicPr/>
                  </pic:nvPicPr>
                  <pic:blipFill>
                    <a:blip r:embed="rId14"/>
                    <a:stretch>
                      <a:fillRect/>
                    </a:stretch>
                  </pic:blipFill>
                  <pic:spPr>
                    <a:xfrm>
                      <a:off x="0" y="0"/>
                      <a:ext cx="3143818" cy="2539239"/>
                    </a:xfrm>
                    <a:prstGeom prst="rect">
                      <a:avLst/>
                    </a:prstGeom>
                  </pic:spPr>
                </pic:pic>
              </a:graphicData>
            </a:graphic>
          </wp:inline>
        </w:drawing>
      </w:r>
    </w:p>
    <w:p w14:paraId="1CAEEBFC" w14:textId="5B7E3C05" w:rsidR="00277D59" w:rsidRPr="001365A5" w:rsidRDefault="00277D59" w:rsidP="00277D59">
      <w:pPr>
        <w:jc w:val="center"/>
        <w:rPr>
          <w:rFonts w:asciiTheme="minorBidi" w:hAnsiTheme="minorBidi"/>
        </w:rPr>
      </w:pPr>
      <w:r w:rsidRPr="00277D59">
        <w:rPr>
          <w:rFonts w:asciiTheme="minorBidi" w:hAnsiTheme="minorBidi"/>
          <w:noProof/>
        </w:rPr>
        <w:drawing>
          <wp:inline distT="0" distB="0" distL="0" distR="0" wp14:anchorId="14D18055" wp14:editId="205A07DB">
            <wp:extent cx="3378200" cy="2581667"/>
            <wp:effectExtent l="0" t="0" r="0" b="9525"/>
            <wp:docPr id="803185244"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85244" name="Imagen 1" descr="Gráfico, Gráfico de líneas&#10;&#10;El contenido generado por IA puede ser incorrecto."/>
                    <pic:cNvPicPr/>
                  </pic:nvPicPr>
                  <pic:blipFill>
                    <a:blip r:embed="rId15"/>
                    <a:stretch>
                      <a:fillRect/>
                    </a:stretch>
                  </pic:blipFill>
                  <pic:spPr>
                    <a:xfrm>
                      <a:off x="0" y="0"/>
                      <a:ext cx="3396259" cy="2595468"/>
                    </a:xfrm>
                    <a:prstGeom prst="rect">
                      <a:avLst/>
                    </a:prstGeom>
                  </pic:spPr>
                </pic:pic>
              </a:graphicData>
            </a:graphic>
          </wp:inline>
        </w:drawing>
      </w:r>
    </w:p>
    <w:p w14:paraId="31E75D94" w14:textId="33597060" w:rsidR="006C18CF" w:rsidRDefault="00504CE8" w:rsidP="00850B44">
      <w:r w:rsidRPr="00504CE8">
        <w:rPr>
          <w:noProof/>
        </w:rPr>
        <w:drawing>
          <wp:inline distT="0" distB="0" distL="0" distR="0" wp14:anchorId="0938D51E" wp14:editId="2F416577">
            <wp:extent cx="3718882" cy="1188823"/>
            <wp:effectExtent l="0" t="0" r="0" b="0"/>
            <wp:docPr id="1232407365"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407365" name="Imagen 1" descr="Texto, Carta&#10;&#10;El contenido generado por IA puede ser incorrecto."/>
                    <pic:cNvPicPr/>
                  </pic:nvPicPr>
                  <pic:blipFill>
                    <a:blip r:embed="rId16"/>
                    <a:stretch>
                      <a:fillRect/>
                    </a:stretch>
                  </pic:blipFill>
                  <pic:spPr>
                    <a:xfrm>
                      <a:off x="0" y="0"/>
                      <a:ext cx="3718882" cy="1188823"/>
                    </a:xfrm>
                    <a:prstGeom prst="rect">
                      <a:avLst/>
                    </a:prstGeom>
                  </pic:spPr>
                </pic:pic>
              </a:graphicData>
            </a:graphic>
          </wp:inline>
        </w:drawing>
      </w:r>
    </w:p>
    <w:p w14:paraId="68A521A0" w14:textId="77777777" w:rsidR="00850B44" w:rsidRDefault="00850B44" w:rsidP="00850B44"/>
    <w:p w14:paraId="15DBD8B6" w14:textId="77777777" w:rsidR="00AF6617" w:rsidRDefault="00AF6617" w:rsidP="00850B44"/>
    <w:p w14:paraId="0B1A9EB5" w14:textId="77777777" w:rsidR="00AF6617" w:rsidRDefault="00AF6617" w:rsidP="00850B44"/>
    <w:p w14:paraId="4A046025" w14:textId="77777777" w:rsidR="00AF6617" w:rsidRDefault="00AF6617" w:rsidP="00850B44"/>
    <w:p w14:paraId="38B890B4" w14:textId="77777777" w:rsidR="00AF6617" w:rsidRDefault="00AF6617" w:rsidP="00850B44"/>
    <w:p w14:paraId="1193030A" w14:textId="71006961" w:rsidR="00AF6617" w:rsidRDefault="00A559CF" w:rsidP="00A559CF">
      <w:pPr>
        <w:pStyle w:val="Ttulo2"/>
      </w:pPr>
      <w:r w:rsidRPr="00A559CF">
        <w:lastRenderedPageBreak/>
        <w:t>Modelado teórico usando las ecuaciones diferenciales básicas</w:t>
      </w:r>
    </w:p>
    <w:p w14:paraId="754956DF" w14:textId="77777777" w:rsidR="00ED4358" w:rsidRDefault="00ED4358" w:rsidP="00ED4358">
      <w:pPr>
        <w:pStyle w:val="Ttulo4"/>
      </w:pPr>
      <w:r>
        <w:rPr>
          <w:rStyle w:val="Textoennegrita"/>
          <w:b w:val="0"/>
          <w:bCs w:val="0"/>
        </w:rPr>
        <w:t>Concepto general</w:t>
      </w:r>
    </w:p>
    <w:p w14:paraId="1996AEE9" w14:textId="77777777" w:rsidR="00ED4358" w:rsidRDefault="00ED4358" w:rsidP="00ED4358">
      <w:pPr>
        <w:pStyle w:val="NormalWeb"/>
      </w:pPr>
      <w:r>
        <w:t xml:space="preserve">El </w:t>
      </w:r>
      <w:r>
        <w:rPr>
          <w:rStyle w:val="Textoennegrita"/>
          <w:rFonts w:eastAsiaTheme="majorEastAsia"/>
        </w:rPr>
        <w:t>Movimiento Browniano Geométrico (GBM)</w:t>
      </w:r>
      <w:r>
        <w:t xml:space="preserve"> es un modelo matemático que describe la evolución de los precios de los activos financieros a lo largo del tiempo. Se basa en la idea de que los </w:t>
      </w:r>
      <w:r>
        <w:rPr>
          <w:rStyle w:val="Textoennegrita"/>
          <w:rFonts w:eastAsiaTheme="majorEastAsia"/>
        </w:rPr>
        <w:t>rendimientos logarítmicos</w:t>
      </w:r>
      <w:r>
        <w:t xml:space="preserve"> de los precios siguen un comportamiento aleatorio con distribución normal y varianza constante.</w:t>
      </w:r>
    </w:p>
    <w:p w14:paraId="44C0EAE6" w14:textId="77777777" w:rsidR="00ED4358" w:rsidRDefault="00ED4358" w:rsidP="00ED4358">
      <w:pPr>
        <w:pStyle w:val="NormalWeb"/>
      </w:pPr>
      <w:r>
        <w:t>La ecuación diferencial estocástica (EDE) del modelo es:</w:t>
      </w:r>
    </w:p>
    <w:p w14:paraId="70EEA51B" w14:textId="08FA9113" w:rsidR="0072422C" w:rsidRPr="0072422C" w:rsidRDefault="00ED36AA" w:rsidP="00ED4358">
      <w:pPr>
        <w:pStyle w:val="NormalWeb"/>
        <w:rPr>
          <w:lang w:val="en-US"/>
        </w:rPr>
      </w:pPr>
      <m:oMathPara>
        <m:oMath>
          <m:sSub>
            <m:sSubPr>
              <m:ctrlPr>
                <w:rPr>
                  <w:rFonts w:ascii="Cambria Math" w:hAnsi="Cambria Math"/>
                  <w:lang w:val="en-US"/>
                </w:rPr>
              </m:ctrlPr>
            </m:sSubPr>
            <m:e>
              <m:r>
                <m:rPr>
                  <m:sty m:val="p"/>
                </m:rPr>
                <w:rPr>
                  <w:rFonts w:ascii="Cambria Math" w:hAnsi="Cambria Math"/>
                  <w:lang w:val="en-US"/>
                </w:rPr>
                <m:t>dS</m:t>
              </m:r>
            </m:e>
            <m:sub>
              <m:r>
                <m:rPr>
                  <m:sty m:val="p"/>
                </m:rPr>
                <w:rPr>
                  <w:rFonts w:ascii="Cambria Math" w:hAnsi="Cambria Math"/>
                  <w:lang w:val="en-US"/>
                </w:rPr>
                <m:t>t</m:t>
              </m:r>
            </m:sub>
          </m:sSub>
          <m:r>
            <m:rPr>
              <m:sty m:val="p"/>
            </m:rPr>
            <w:rPr>
              <w:rFonts w:ascii="Cambria Math" w:hAnsi="Cambria Math"/>
              <w:lang w:val="en-US"/>
            </w:rPr>
            <m:t>= μ</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t</m:t>
              </m:r>
            </m:sub>
          </m:sSub>
          <m:r>
            <m:rPr>
              <m:sty m:val="p"/>
            </m:rPr>
            <w:rPr>
              <w:rFonts w:ascii="Cambria Math" w:hAnsi="Cambria Math"/>
              <w:lang w:val="en-US"/>
            </w:rPr>
            <m:t>dt + σ</m:t>
          </m:r>
          <m:sSub>
            <m:sSubPr>
              <m:ctrlPr>
                <w:rPr>
                  <w:rFonts w:ascii="Cambria Math" w:hAnsi="Cambria Math"/>
                  <w:lang w:val="en-US"/>
                </w:rPr>
              </m:ctrlPr>
            </m:sSubPr>
            <m:e>
              <m:r>
                <m:rPr>
                  <m:sty m:val="p"/>
                </m:rPr>
                <w:rPr>
                  <w:rFonts w:ascii="Cambria Math" w:hAnsi="Cambria Math"/>
                  <w:lang w:val="en-US"/>
                </w:rPr>
                <m:t>S</m:t>
              </m:r>
            </m:e>
            <m:sub>
              <m:r>
                <m:rPr>
                  <m:sty m:val="p"/>
                </m:rPr>
                <w:rPr>
                  <w:rFonts w:ascii="Cambria Math" w:hAnsi="Cambria Math"/>
                  <w:lang w:val="en-US"/>
                </w:rPr>
                <m:t>t</m:t>
              </m:r>
            </m:sub>
          </m:sSub>
          <m:r>
            <m:rPr>
              <m:sty m:val="p"/>
            </m:rPr>
            <w:rPr>
              <w:rFonts w:ascii="Cambria Math" w:hAnsi="Cambria Math"/>
              <w:lang w:val="en-US"/>
            </w:rPr>
            <m:t xml:space="preserve"> </m:t>
          </m:r>
          <m:sSub>
            <m:sSubPr>
              <m:ctrlPr>
                <w:rPr>
                  <w:rFonts w:ascii="Cambria Math" w:hAnsi="Cambria Math"/>
                  <w:lang w:val="en-US"/>
                </w:rPr>
              </m:ctrlPr>
            </m:sSubPr>
            <m:e>
              <m:r>
                <m:rPr>
                  <m:sty m:val="p"/>
                </m:rPr>
                <w:rPr>
                  <w:rFonts w:ascii="Cambria Math" w:hAnsi="Cambria Math"/>
                  <w:lang w:val="en-US"/>
                </w:rPr>
                <m:t>dW</m:t>
              </m:r>
            </m:e>
            <m:sub>
              <m:r>
                <m:rPr>
                  <m:sty m:val="p"/>
                </m:rPr>
                <w:rPr>
                  <w:rFonts w:ascii="Cambria Math" w:hAnsi="Cambria Math"/>
                  <w:lang w:val="en-US"/>
                </w:rPr>
                <m:t>t</m:t>
              </m:r>
            </m:sub>
          </m:sSub>
        </m:oMath>
      </m:oMathPara>
    </w:p>
    <w:p w14:paraId="7F94BAF9" w14:textId="77777777" w:rsidR="00ED4358" w:rsidRDefault="00ED4358" w:rsidP="00ED4358">
      <w:pPr>
        <w:pStyle w:val="NormalWeb"/>
      </w:pPr>
      <w:r>
        <w:t>donde:</w:t>
      </w:r>
    </w:p>
    <w:p w14:paraId="07D5D5DA" w14:textId="4835881A" w:rsidR="00ED4358" w:rsidRDefault="00ED4358" w:rsidP="00ED4358">
      <w:pPr>
        <w:numPr>
          <w:ilvl w:val="0"/>
          <w:numId w:val="6"/>
        </w:numPr>
        <w:spacing w:before="100" w:beforeAutospacing="1" w:after="100" w:afterAutospacing="1" w:line="240" w:lineRule="auto"/>
      </w:pPr>
      <w:proofErr w:type="spellStart"/>
      <w:r>
        <w:t>S_t</w:t>
      </w:r>
      <w:proofErr w:type="spellEnd"/>
      <w:r>
        <w:t>: precio del activo en el tiempo $t$</w:t>
      </w:r>
    </w:p>
    <w:p w14:paraId="3179B52F" w14:textId="12B3B2F8" w:rsidR="00ED4358" w:rsidRDefault="00ED4358" w:rsidP="00ED4358">
      <w:pPr>
        <w:numPr>
          <w:ilvl w:val="0"/>
          <w:numId w:val="6"/>
        </w:numPr>
        <w:spacing w:before="100" w:beforeAutospacing="1" w:after="100" w:afterAutospacing="1" w:line="240" w:lineRule="auto"/>
      </w:pPr>
      <w:r>
        <w:t>mu: rendimiento esperado (media del crecimiento)</w:t>
      </w:r>
    </w:p>
    <w:p w14:paraId="25288D44" w14:textId="3CC9475D" w:rsidR="00ED4358" w:rsidRDefault="00ED4358" w:rsidP="00ED4358">
      <w:pPr>
        <w:numPr>
          <w:ilvl w:val="0"/>
          <w:numId w:val="6"/>
        </w:numPr>
        <w:spacing w:before="100" w:beforeAutospacing="1" w:after="100" w:afterAutospacing="1" w:line="240" w:lineRule="auto"/>
      </w:pPr>
      <w:r>
        <w:t>sigma: volatilidad del activo (desviación estándar de los rendimientos)</w:t>
      </w:r>
    </w:p>
    <w:p w14:paraId="1FC01E3B" w14:textId="1BAE3E9E" w:rsidR="00ED4358" w:rsidRDefault="00ED4358" w:rsidP="00ED4358">
      <w:pPr>
        <w:numPr>
          <w:ilvl w:val="0"/>
          <w:numId w:val="6"/>
        </w:numPr>
        <w:spacing w:before="100" w:beforeAutospacing="1" w:after="100" w:afterAutospacing="1" w:line="240" w:lineRule="auto"/>
      </w:pPr>
      <w:proofErr w:type="spellStart"/>
      <w:r>
        <w:t>dWt</w:t>
      </w:r>
      <w:proofErr w:type="spellEnd"/>
      <w:r>
        <w:t xml:space="preserve">: incremento de un </w:t>
      </w:r>
      <w:r>
        <w:rPr>
          <w:rStyle w:val="Textoennegrita"/>
        </w:rPr>
        <w:t>movimiento browniano estándar</w:t>
      </w:r>
      <w:r>
        <w:t xml:space="preserve"> o proceso de Wiener</w:t>
      </w:r>
    </w:p>
    <w:p w14:paraId="28547D93" w14:textId="77777777" w:rsidR="00ED4358" w:rsidRDefault="00ED4358" w:rsidP="00ED4358">
      <w:pPr>
        <w:pStyle w:val="Ttulo4"/>
      </w:pPr>
      <w:r>
        <w:rPr>
          <w:rStyle w:val="Textoennegrita"/>
          <w:b w:val="0"/>
          <w:bCs w:val="0"/>
        </w:rPr>
        <w:t>Solución de la ecuación</w:t>
      </w:r>
    </w:p>
    <w:p w14:paraId="4C623676" w14:textId="77777777" w:rsidR="00ED4358" w:rsidRDefault="00ED4358" w:rsidP="00ED4358">
      <w:pPr>
        <w:pStyle w:val="NormalWeb"/>
      </w:pPr>
      <w:r>
        <w:t>La solución analítica del GBM es:</w:t>
      </w:r>
    </w:p>
    <w:p w14:paraId="0D65A4C0" w14:textId="5838E1E0" w:rsidR="00123B10" w:rsidRPr="00123B10" w:rsidRDefault="00ED36AA" w:rsidP="00ED4358">
      <w:pPr>
        <w:pStyle w:val="NormalWeb"/>
      </w:pPr>
      <m:oMathPara>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sSup>
            <m:sSupPr>
              <m:ctrlPr>
                <w:rPr>
                  <w:rFonts w:ascii="Cambria Math" w:hAnsi="Cambria Math"/>
                </w:rPr>
              </m:ctrlPr>
            </m:sSupPr>
            <m:e>
              <m:r>
                <m:rPr>
                  <m:sty m:val="p"/>
                </m:rPr>
                <w:rPr>
                  <w:rFonts w:ascii="Cambria Math" w:hAnsi="Cambria Math"/>
                </w:rPr>
                <m:t>e</m:t>
              </m:r>
            </m:e>
            <m:sup>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μ-</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m:rPr>
                      <m:sty m:val="p"/>
                    </m:rPr>
                    <w:rPr>
                      <w:rFonts w:ascii="Cambria Math" w:hAnsi="Cambria Math"/>
                    </w:rPr>
                    <m:t>t + σ</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e>
              </m:d>
            </m:sup>
          </m:sSup>
        </m:oMath>
      </m:oMathPara>
    </w:p>
    <w:p w14:paraId="41756A6B" w14:textId="77777777" w:rsidR="00ED4358" w:rsidRDefault="00ED4358" w:rsidP="00ED4358">
      <w:pPr>
        <w:pStyle w:val="NormalWeb"/>
      </w:pPr>
      <w:r>
        <w:t>y, tomando logaritmos:</w:t>
      </w:r>
    </w:p>
    <w:p w14:paraId="19D7895E" w14:textId="529CF626" w:rsidR="007513C3" w:rsidRPr="007513C3" w:rsidRDefault="007513C3" w:rsidP="00ED4358">
      <w:pPr>
        <w:pStyle w:val="NormalWeb"/>
      </w:pPr>
      <m:oMathPara>
        <m:oMath>
          <m:r>
            <m:rPr>
              <m:sty m:val="p"/>
            </m:rPr>
            <w:rPr>
              <w:rFonts w:ascii="Cambria Math" w:hAnsi="Cambria Math"/>
            </w:rPr>
            <m:t xml:space="preserve">ln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r>
            <m:rPr>
              <m:sty m:val="p"/>
            </m:rPr>
            <w:rPr>
              <w:rFonts w:ascii="Cambria Math" w:hAnsi="Cambria Math"/>
            </w:rPr>
            <m:t xml:space="preserve">= ln </m:t>
          </m:r>
          <m:sSub>
            <m:sSubPr>
              <m:ctrlPr>
                <w:rPr>
                  <w:rFonts w:ascii="Cambria Math" w:hAnsi="Cambria Math"/>
                </w:rPr>
              </m:ctrlPr>
            </m:sSubPr>
            <m:e>
              <m:r>
                <m:rPr>
                  <m:sty m:val="p"/>
                </m:rPr>
                <w:rPr>
                  <w:rFonts w:ascii="Cambria Math" w:hAnsi="Cambria Math"/>
                </w:rPr>
                <m:t>S</m:t>
              </m:r>
            </m:e>
            <m:sub>
              <m:r>
                <m:rPr>
                  <m:sty m:val="p"/>
                </m:rPr>
                <w:rPr>
                  <w:rFonts w:ascii="Cambria Math" w:hAnsi="Cambria Math"/>
                </w:rPr>
                <m:t>0</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μ-</m:t>
              </m:r>
              <m:f>
                <m:fPr>
                  <m:ctrlPr>
                    <w:rPr>
                      <w:rFonts w:ascii="Cambria Math" w:hAnsi="Cambria Math"/>
                      <w:i/>
                      <w:lang w:val="en-US"/>
                    </w:rPr>
                  </m:ctrlPr>
                </m:fPr>
                <m:num>
                  <m:r>
                    <m:rPr>
                      <m:sty m:val="p"/>
                    </m:rPr>
                    <w:rPr>
                      <w:rFonts w:ascii="Cambria Math" w:hAnsi="Cambria Math"/>
                    </w:rPr>
                    <m:t>1</m:t>
                  </m:r>
                  <m:ctrlPr>
                    <w:rPr>
                      <w:rFonts w:ascii="Cambria Math" w:hAnsi="Cambria Math"/>
                    </w:rPr>
                  </m:ctrlPr>
                </m:num>
                <m:den>
                  <m:r>
                    <w:rPr>
                      <w:rFonts w:ascii="Cambria Math" w:hAnsi="Cambria Math"/>
                      <w:lang w:val="en-US"/>
                    </w:rPr>
                    <m:t>2</m:t>
                  </m:r>
                </m:den>
              </m:f>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e>
          </m:d>
          <m:r>
            <m:rPr>
              <m:sty m:val="p"/>
            </m:rPr>
            <w:rPr>
              <w:rFonts w:ascii="Cambria Math" w:hAnsi="Cambria Math"/>
            </w:rPr>
            <m:t>t + σ</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t</m:t>
              </m:r>
            </m:sub>
          </m:sSub>
        </m:oMath>
      </m:oMathPara>
    </w:p>
    <w:p w14:paraId="6956A3C5" w14:textId="77777777" w:rsidR="00ED4358" w:rsidRDefault="00ED4358" w:rsidP="00ED4358">
      <w:pPr>
        <w:pStyle w:val="NormalWeb"/>
      </w:pPr>
      <w:r>
        <w:t>Esto implica que:</w:t>
      </w:r>
    </w:p>
    <w:p w14:paraId="3BD5A2FE" w14:textId="7B490138" w:rsidR="00ED4358" w:rsidRDefault="00ED4358" w:rsidP="00ED4358">
      <w:pPr>
        <w:numPr>
          <w:ilvl w:val="0"/>
          <w:numId w:val="7"/>
        </w:numPr>
        <w:spacing w:before="100" w:beforeAutospacing="1" w:after="100" w:afterAutospacing="1" w:line="240" w:lineRule="auto"/>
      </w:pPr>
      <w:r>
        <w:t xml:space="preserve">Los </w:t>
      </w:r>
      <w:r>
        <w:rPr>
          <w:rStyle w:val="Textoennegrita"/>
        </w:rPr>
        <w:t>log-precios</w:t>
      </w:r>
      <w:r>
        <w:t xml:space="preserve"> </w:t>
      </w:r>
      <w:proofErr w:type="spellStart"/>
      <w:r>
        <w:t>ln</w:t>
      </w:r>
      <w:r w:rsidR="00060F15">
        <w:t>St</w:t>
      </w:r>
      <w:proofErr w:type="spellEnd"/>
      <w:r>
        <w:t xml:space="preserve"> se distribuyen de forma </w:t>
      </w:r>
      <w:r>
        <w:rPr>
          <w:rStyle w:val="Textoennegrita"/>
        </w:rPr>
        <w:t>normal</w:t>
      </w:r>
      <w:r>
        <w:t>.</w:t>
      </w:r>
    </w:p>
    <w:p w14:paraId="0DDACFBB" w14:textId="2F94A312" w:rsidR="00ED4358" w:rsidRDefault="00ED4358" w:rsidP="00ED4358">
      <w:pPr>
        <w:numPr>
          <w:ilvl w:val="0"/>
          <w:numId w:val="7"/>
        </w:numPr>
        <w:spacing w:before="100" w:beforeAutospacing="1" w:after="100" w:afterAutospacing="1" w:line="240" w:lineRule="auto"/>
      </w:pPr>
      <w:r>
        <w:t xml:space="preserve">Los </w:t>
      </w:r>
      <w:r>
        <w:rPr>
          <w:rStyle w:val="Textoennegrita"/>
        </w:rPr>
        <w:t>precios</w:t>
      </w:r>
      <w:r>
        <w:t xml:space="preserve"> </w:t>
      </w:r>
      <w:proofErr w:type="spellStart"/>
      <w:r w:rsidR="00966F15">
        <w:t>St</w:t>
      </w:r>
      <w:proofErr w:type="spellEnd"/>
      <w:r>
        <w:t xml:space="preserve"> siguen una </w:t>
      </w:r>
      <w:r>
        <w:rPr>
          <w:rStyle w:val="Textoennegrita"/>
        </w:rPr>
        <w:t>distribución log-normal</w:t>
      </w:r>
      <w:r>
        <w:t>.</w:t>
      </w:r>
    </w:p>
    <w:p w14:paraId="1E5FEA2A" w14:textId="77777777" w:rsidR="00ED4358" w:rsidRDefault="00ED4358" w:rsidP="00ED4358">
      <w:pPr>
        <w:pStyle w:val="NormalWeb"/>
      </w:pPr>
      <w:r>
        <w:t xml:space="preserve">Por ello, el GBM se considera la base del modelo de </w:t>
      </w:r>
      <w:r>
        <w:rPr>
          <w:rStyle w:val="Textoennegrita"/>
          <w:rFonts w:eastAsiaTheme="majorEastAsia"/>
        </w:rPr>
        <w:t>Black-Scholes</w:t>
      </w:r>
      <w:r>
        <w:t xml:space="preserve"> y de muchas otras herramientas financieras.</w:t>
      </w:r>
    </w:p>
    <w:p w14:paraId="60A70DB2" w14:textId="77777777" w:rsidR="00ED4358" w:rsidRDefault="00ED4358" w:rsidP="00ED4358">
      <w:pPr>
        <w:pStyle w:val="Ttulo4"/>
      </w:pPr>
      <w:r>
        <w:rPr>
          <w:rStyle w:val="Textoennegrita"/>
          <w:b w:val="0"/>
          <w:bCs w:val="0"/>
        </w:rPr>
        <w:t>Supuestos principales del modelo</w:t>
      </w:r>
    </w:p>
    <w:p w14:paraId="03C54799" w14:textId="77777777" w:rsidR="00ED4358" w:rsidRDefault="00ED4358" w:rsidP="00ED4358">
      <w:pPr>
        <w:numPr>
          <w:ilvl w:val="0"/>
          <w:numId w:val="8"/>
        </w:numPr>
        <w:spacing w:before="100" w:beforeAutospacing="1" w:after="100" w:afterAutospacing="1" w:line="240" w:lineRule="auto"/>
      </w:pPr>
      <w:r>
        <w:t xml:space="preserve">Los </w:t>
      </w:r>
      <w:r>
        <w:rPr>
          <w:rStyle w:val="Textoennegrita"/>
        </w:rPr>
        <w:t>rendimientos logarítmicos son normales e independientes</w:t>
      </w:r>
      <w:r>
        <w:t>.</w:t>
      </w:r>
    </w:p>
    <w:p w14:paraId="42587B91" w14:textId="6706D0F3" w:rsidR="00ED4358" w:rsidRDefault="00ED4358" w:rsidP="00ED4358">
      <w:pPr>
        <w:numPr>
          <w:ilvl w:val="0"/>
          <w:numId w:val="8"/>
        </w:numPr>
        <w:spacing w:before="100" w:beforeAutospacing="1" w:after="100" w:afterAutospacing="1" w:line="240" w:lineRule="auto"/>
      </w:pPr>
      <w:r>
        <w:t xml:space="preserve">La </w:t>
      </w:r>
      <w:r>
        <w:rPr>
          <w:rStyle w:val="Textoennegrita"/>
        </w:rPr>
        <w:t>volatilidad sigma</w:t>
      </w:r>
      <w:r>
        <w:t xml:space="preserve"> y el </w:t>
      </w:r>
      <w:r>
        <w:rPr>
          <w:rStyle w:val="Textoennegrita"/>
        </w:rPr>
        <w:t>rendimiento esperado mu</w:t>
      </w:r>
      <w:r>
        <w:t xml:space="preserve"> son constantes en el tiempo.</w:t>
      </w:r>
    </w:p>
    <w:p w14:paraId="57895259" w14:textId="661833F2" w:rsidR="00ED4358" w:rsidRDefault="00ED4358" w:rsidP="00ED4358">
      <w:pPr>
        <w:numPr>
          <w:ilvl w:val="0"/>
          <w:numId w:val="8"/>
        </w:numPr>
        <w:spacing w:before="100" w:beforeAutospacing="1" w:after="100" w:afterAutospacing="1" w:line="240" w:lineRule="auto"/>
      </w:pPr>
      <w:r>
        <w:t xml:space="preserve">Los </w:t>
      </w:r>
      <w:r>
        <w:rPr>
          <w:rStyle w:val="Textoennegrita"/>
        </w:rPr>
        <w:t>precios no pueden ser negativos</w:t>
      </w:r>
      <w:r>
        <w:t xml:space="preserve"> (siempre </w:t>
      </w:r>
      <w:proofErr w:type="spellStart"/>
      <w:r>
        <w:t>St</w:t>
      </w:r>
      <w:proofErr w:type="spellEnd"/>
      <w:r>
        <w:t xml:space="preserve"> &gt; 0).</w:t>
      </w:r>
    </w:p>
    <w:p w14:paraId="4A291705" w14:textId="77777777" w:rsidR="00ED4358" w:rsidRDefault="00ED4358" w:rsidP="00ED4358">
      <w:pPr>
        <w:numPr>
          <w:ilvl w:val="0"/>
          <w:numId w:val="8"/>
        </w:numPr>
        <w:spacing w:before="100" w:beforeAutospacing="1" w:after="100" w:afterAutospacing="1" w:line="240" w:lineRule="auto"/>
      </w:pPr>
      <w:r>
        <w:lastRenderedPageBreak/>
        <w:t xml:space="preserve">No existen </w:t>
      </w:r>
      <w:r>
        <w:rPr>
          <w:rStyle w:val="Textoennegrita"/>
        </w:rPr>
        <w:t>costos de transacción ni impuestos</w:t>
      </w:r>
      <w:r>
        <w:t>.</w:t>
      </w:r>
    </w:p>
    <w:p w14:paraId="2564E9DE" w14:textId="77777777" w:rsidR="00ED4358" w:rsidRDefault="00ED4358" w:rsidP="00ED4358">
      <w:pPr>
        <w:numPr>
          <w:ilvl w:val="0"/>
          <w:numId w:val="8"/>
        </w:numPr>
        <w:spacing w:before="100" w:beforeAutospacing="1" w:after="100" w:afterAutospacing="1" w:line="240" w:lineRule="auto"/>
      </w:pPr>
      <w:r>
        <w:t xml:space="preserve">No se incluyen </w:t>
      </w:r>
      <w:r>
        <w:rPr>
          <w:rStyle w:val="Textoennegrita"/>
        </w:rPr>
        <w:t>saltos o cambios bruscos</w:t>
      </w:r>
      <w:r>
        <w:t xml:space="preserve"> en los precios.</w:t>
      </w:r>
    </w:p>
    <w:p w14:paraId="2B6CB554" w14:textId="77777777" w:rsidR="00ED4358" w:rsidRDefault="00ED4358" w:rsidP="00ED4358">
      <w:pPr>
        <w:pStyle w:val="Ttulo4"/>
      </w:pPr>
      <w:r>
        <w:rPr>
          <w:rStyle w:val="Textoennegrita"/>
          <w:b w:val="0"/>
          <w:bCs w:val="0"/>
        </w:rPr>
        <w:t>Limitaciones del modelo</w:t>
      </w:r>
    </w:p>
    <w:p w14:paraId="04751C87" w14:textId="77777777" w:rsidR="00ED4358" w:rsidRDefault="00ED4358" w:rsidP="00ED4358">
      <w:pPr>
        <w:pStyle w:val="NormalWeb"/>
      </w:pPr>
      <w:r>
        <w:t>Aunque el GBM es muy utilizado, presenta limitaciones frente a datos reales:</w:t>
      </w:r>
    </w:p>
    <w:p w14:paraId="1BD425B0" w14:textId="77777777" w:rsidR="00ED4358" w:rsidRDefault="00ED4358" w:rsidP="00ED4358">
      <w:pPr>
        <w:numPr>
          <w:ilvl w:val="0"/>
          <w:numId w:val="9"/>
        </w:numPr>
        <w:spacing w:before="100" w:beforeAutospacing="1" w:after="100" w:afterAutospacing="1" w:line="240" w:lineRule="auto"/>
      </w:pPr>
      <w:r>
        <w:t xml:space="preserve">Los </w:t>
      </w:r>
      <w:r>
        <w:rPr>
          <w:rStyle w:val="Textoennegrita"/>
        </w:rPr>
        <w:t>rendimientos no son perfectamente normales</w:t>
      </w:r>
      <w:r>
        <w:t>, como mostraron las pruebas de normalidad (p-</w:t>
      </w:r>
      <w:proofErr w:type="spellStart"/>
      <w:r>
        <w:t>values</w:t>
      </w:r>
      <w:proofErr w:type="spellEnd"/>
      <w:r>
        <w:t xml:space="preserve"> &lt; 0.05).</w:t>
      </w:r>
    </w:p>
    <w:p w14:paraId="34B67EB8" w14:textId="77777777" w:rsidR="00ED4358" w:rsidRDefault="00ED4358" w:rsidP="00ED4358">
      <w:pPr>
        <w:numPr>
          <w:ilvl w:val="0"/>
          <w:numId w:val="9"/>
        </w:numPr>
        <w:spacing w:before="100" w:beforeAutospacing="1" w:after="100" w:afterAutospacing="1" w:line="240" w:lineRule="auto"/>
      </w:pPr>
      <w:r>
        <w:t xml:space="preserve">La </w:t>
      </w:r>
      <w:r>
        <w:rPr>
          <w:rStyle w:val="Textoennegrita"/>
        </w:rPr>
        <w:t>volatilidad varía con el tiempo</w:t>
      </w:r>
      <w:r>
        <w:t>, en contra del supuesto de constancia.</w:t>
      </w:r>
    </w:p>
    <w:p w14:paraId="58283202" w14:textId="77777777" w:rsidR="00ED4358" w:rsidRDefault="00ED4358" w:rsidP="00ED4358">
      <w:pPr>
        <w:numPr>
          <w:ilvl w:val="0"/>
          <w:numId w:val="9"/>
        </w:numPr>
        <w:spacing w:before="100" w:beforeAutospacing="1" w:after="100" w:afterAutospacing="1" w:line="240" w:lineRule="auto"/>
      </w:pPr>
      <w:r>
        <w:t xml:space="preserve">No captura </w:t>
      </w:r>
      <w:r>
        <w:rPr>
          <w:rStyle w:val="Textoennegrita"/>
        </w:rPr>
        <w:t>eventos extremos o caídas repentinas</w:t>
      </w:r>
      <w:r>
        <w:t xml:space="preserve"> del mercado (colas gruesas).</w:t>
      </w:r>
    </w:p>
    <w:p w14:paraId="1913566A" w14:textId="77777777" w:rsidR="00ED4358" w:rsidRDefault="00ED4358" w:rsidP="00ED4358">
      <w:pPr>
        <w:numPr>
          <w:ilvl w:val="0"/>
          <w:numId w:val="9"/>
        </w:numPr>
        <w:spacing w:before="100" w:beforeAutospacing="1" w:after="100" w:afterAutospacing="1" w:line="240" w:lineRule="auto"/>
      </w:pPr>
      <w:r>
        <w:t>Asume independencia temporal, cuando en realidad puede haber autocorrelación.</w:t>
      </w:r>
    </w:p>
    <w:p w14:paraId="15E6D243" w14:textId="77777777" w:rsidR="00ED4358" w:rsidRDefault="00ED4358" w:rsidP="00ED4358">
      <w:pPr>
        <w:pStyle w:val="NormalWeb"/>
      </w:pPr>
      <w:r>
        <w:t xml:space="preserve">Por ello, el GBM se usa como una </w:t>
      </w:r>
      <w:r>
        <w:rPr>
          <w:rStyle w:val="Textoennegrita"/>
          <w:rFonts w:eastAsiaTheme="majorEastAsia"/>
        </w:rPr>
        <w:t>primera aproximación teórica</w:t>
      </w:r>
      <w:r>
        <w:t>, útil para simulaciones y valoraciones básicas, pero no refleja toda la complejidad del mercado real.</w:t>
      </w:r>
    </w:p>
    <w:p w14:paraId="531D1F31" w14:textId="77777777" w:rsidR="00ED4358" w:rsidRDefault="00ED4358" w:rsidP="00ED4358">
      <w:pPr>
        <w:pStyle w:val="Ttulo4"/>
      </w:pPr>
      <w:r>
        <w:rPr>
          <w:rStyle w:val="Textoennegrita"/>
          <w:b w:val="0"/>
          <w:bCs w:val="0"/>
        </w:rPr>
        <w:t>Interpretación sencilla</w:t>
      </w:r>
    </w:p>
    <w:p w14:paraId="1F428640" w14:textId="0ED741F9" w:rsidR="00ED4358" w:rsidRDefault="00ED4358" w:rsidP="00ED4358">
      <w:pPr>
        <w:pStyle w:val="NormalWeb"/>
      </w:pPr>
      <w:r>
        <w:t xml:space="preserve">El GBM describe cómo los precios pueden </w:t>
      </w:r>
      <w:r>
        <w:rPr>
          <w:rStyle w:val="Textoennegrita"/>
          <w:rFonts w:eastAsiaTheme="majorEastAsia"/>
        </w:rPr>
        <w:t>crecer de forma exponencial</w:t>
      </w:r>
      <w:r>
        <w:t xml:space="preserve"> con fluctuaciones aleatorias. El parámetro mu controla la </w:t>
      </w:r>
      <w:r>
        <w:rPr>
          <w:rStyle w:val="Textoennegrita"/>
          <w:rFonts w:eastAsiaTheme="majorEastAsia"/>
        </w:rPr>
        <w:t>tendencia promedio de crecimiento</w:t>
      </w:r>
      <w:r>
        <w:t xml:space="preserve">, mientras que sigma determina la </w:t>
      </w:r>
      <w:r>
        <w:rPr>
          <w:rStyle w:val="Textoennegrita"/>
          <w:rFonts w:eastAsiaTheme="majorEastAsia"/>
        </w:rPr>
        <w:t>magnitud de las oscilaciones</w:t>
      </w:r>
      <w:r>
        <w:t>.</w:t>
      </w:r>
    </w:p>
    <w:p w14:paraId="56250ADB" w14:textId="77777777" w:rsidR="00ED4358" w:rsidRDefault="00ED4358" w:rsidP="00ED4358">
      <w:pPr>
        <w:pStyle w:val="NormalWeb"/>
      </w:pPr>
      <w:r>
        <w:t>En simulaciones, este modelo permite visualizar trayectorias de precios bajo un escenario idealizado, aunque en la realidad los rendimientos presentan mayor variabilidad y comportamientos no normales.</w:t>
      </w:r>
    </w:p>
    <w:p w14:paraId="4000C79C" w14:textId="25962E29" w:rsidR="00850B44" w:rsidRDefault="002C024E" w:rsidP="00850B44">
      <w:r w:rsidRPr="002C024E">
        <w:rPr>
          <w:noProof/>
        </w:rPr>
        <w:drawing>
          <wp:inline distT="0" distB="0" distL="0" distR="0" wp14:anchorId="0D75AC1F" wp14:editId="106A4A7F">
            <wp:extent cx="4609875" cy="3110805"/>
            <wp:effectExtent l="0" t="0" r="635" b="0"/>
            <wp:docPr id="1987549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49084" name=""/>
                    <pic:cNvPicPr/>
                  </pic:nvPicPr>
                  <pic:blipFill>
                    <a:blip r:embed="rId17"/>
                    <a:stretch>
                      <a:fillRect/>
                    </a:stretch>
                  </pic:blipFill>
                  <pic:spPr>
                    <a:xfrm>
                      <a:off x="0" y="0"/>
                      <a:ext cx="4615138" cy="3114357"/>
                    </a:xfrm>
                    <a:prstGeom prst="rect">
                      <a:avLst/>
                    </a:prstGeom>
                  </pic:spPr>
                </pic:pic>
              </a:graphicData>
            </a:graphic>
          </wp:inline>
        </w:drawing>
      </w:r>
    </w:p>
    <w:p w14:paraId="245DB167" w14:textId="239C25EB" w:rsidR="00B33E26" w:rsidRPr="00850B44" w:rsidRDefault="00B33E26" w:rsidP="00850B44">
      <w:r w:rsidRPr="00B33E26">
        <w:rPr>
          <w:noProof/>
        </w:rPr>
        <w:lastRenderedPageBreak/>
        <w:drawing>
          <wp:inline distT="0" distB="0" distL="0" distR="0" wp14:anchorId="38676EBB" wp14:editId="7D8D9997">
            <wp:extent cx="4874997" cy="2969788"/>
            <wp:effectExtent l="0" t="0" r="1905" b="2540"/>
            <wp:docPr id="687528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28478" name=""/>
                    <pic:cNvPicPr/>
                  </pic:nvPicPr>
                  <pic:blipFill>
                    <a:blip r:embed="rId18"/>
                    <a:stretch>
                      <a:fillRect/>
                    </a:stretch>
                  </pic:blipFill>
                  <pic:spPr>
                    <a:xfrm>
                      <a:off x="0" y="0"/>
                      <a:ext cx="4878606" cy="2971986"/>
                    </a:xfrm>
                    <a:prstGeom prst="rect">
                      <a:avLst/>
                    </a:prstGeom>
                  </pic:spPr>
                </pic:pic>
              </a:graphicData>
            </a:graphic>
          </wp:inline>
        </w:drawing>
      </w:r>
    </w:p>
    <w:p w14:paraId="40711A15" w14:textId="1410086C" w:rsidR="00850B44" w:rsidRDefault="00850B44" w:rsidP="00850B44">
      <w:pPr>
        <w:pStyle w:val="Ttulo2"/>
      </w:pPr>
      <w:bookmarkStart w:id="6" w:name="_Toc211253860"/>
      <w:r>
        <w:t>Conclusiones</w:t>
      </w:r>
      <w:bookmarkEnd w:id="6"/>
    </w:p>
    <w:p w14:paraId="75AE4531" w14:textId="38DF41AE" w:rsidR="00850B44" w:rsidRDefault="00AF6617" w:rsidP="00850B44">
      <w:proofErr w:type="spellStart"/>
      <w:r>
        <w:t>alex</w:t>
      </w:r>
      <w:proofErr w:type="spellEnd"/>
    </w:p>
    <w:p w14:paraId="0006DFF6" w14:textId="77777777" w:rsidR="00850B44" w:rsidRPr="00850B44" w:rsidRDefault="00850B44" w:rsidP="00850B44"/>
    <w:p w14:paraId="50C3EAD8" w14:textId="5A542B6C" w:rsidR="00850B44" w:rsidRDefault="00850B44" w:rsidP="00850B44">
      <w:pPr>
        <w:pStyle w:val="Ttulo2"/>
      </w:pPr>
      <w:bookmarkStart w:id="7" w:name="_Toc211253861"/>
      <w:r>
        <w:t>Anexos</w:t>
      </w:r>
      <w:bookmarkEnd w:id="7"/>
    </w:p>
    <w:p w14:paraId="213F167A" w14:textId="1912D50C" w:rsidR="00850B44" w:rsidRDefault="00AF6617" w:rsidP="00850B44">
      <w:proofErr w:type="spellStart"/>
      <w:r>
        <w:t>alex</w:t>
      </w:r>
      <w:proofErr w:type="spellEnd"/>
    </w:p>
    <w:p w14:paraId="2A09CF87" w14:textId="77777777" w:rsidR="00850B44" w:rsidRPr="00850B44" w:rsidRDefault="00850B44" w:rsidP="00850B44"/>
    <w:p w14:paraId="68FD501D" w14:textId="50354E7C" w:rsidR="00850B44" w:rsidRDefault="00850B44" w:rsidP="00850B44">
      <w:pPr>
        <w:pStyle w:val="Ttulo2"/>
      </w:pPr>
      <w:bookmarkStart w:id="8" w:name="_Toc211253862"/>
      <w:r>
        <w:t>Referencias</w:t>
      </w:r>
      <w:bookmarkEnd w:id="8"/>
    </w:p>
    <w:p w14:paraId="2C2D18D0" w14:textId="42C9E6C8" w:rsidR="00850B44" w:rsidRDefault="00AF6617" w:rsidP="00850B44">
      <w:proofErr w:type="spellStart"/>
      <w:r>
        <w:t>alex</w:t>
      </w:r>
      <w:proofErr w:type="spellEnd"/>
    </w:p>
    <w:p w14:paraId="63E9B63F" w14:textId="77777777" w:rsidR="00850B44" w:rsidRPr="00AF6617" w:rsidRDefault="00850B44" w:rsidP="00850B44">
      <w:pPr>
        <w:rPr>
          <w:u w:val="single"/>
        </w:rPr>
      </w:pPr>
    </w:p>
    <w:sectPr w:rsidR="00850B44" w:rsidRPr="00AF66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A0F3D"/>
    <w:multiLevelType w:val="hybridMultilevel"/>
    <w:tmpl w:val="AD5404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044DF2"/>
    <w:multiLevelType w:val="hybridMultilevel"/>
    <w:tmpl w:val="766CA7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C92326"/>
    <w:multiLevelType w:val="hybridMultilevel"/>
    <w:tmpl w:val="52F27F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1616C20"/>
    <w:multiLevelType w:val="multilevel"/>
    <w:tmpl w:val="9114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23088"/>
    <w:multiLevelType w:val="multilevel"/>
    <w:tmpl w:val="23AE1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97BB6"/>
    <w:multiLevelType w:val="multilevel"/>
    <w:tmpl w:val="AA98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604CF"/>
    <w:multiLevelType w:val="hybridMultilevel"/>
    <w:tmpl w:val="0130D8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EE13F6"/>
    <w:multiLevelType w:val="hybridMultilevel"/>
    <w:tmpl w:val="D20A53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E96046E"/>
    <w:multiLevelType w:val="multilevel"/>
    <w:tmpl w:val="5A4E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165359">
    <w:abstractNumId w:val="0"/>
  </w:num>
  <w:num w:numId="2" w16cid:durableId="1126123813">
    <w:abstractNumId w:val="7"/>
  </w:num>
  <w:num w:numId="3" w16cid:durableId="1612277616">
    <w:abstractNumId w:val="1"/>
  </w:num>
  <w:num w:numId="4" w16cid:durableId="1671327419">
    <w:abstractNumId w:val="6"/>
  </w:num>
  <w:num w:numId="5" w16cid:durableId="1541547177">
    <w:abstractNumId w:val="2"/>
  </w:num>
  <w:num w:numId="6" w16cid:durableId="746073734">
    <w:abstractNumId w:val="5"/>
  </w:num>
  <w:num w:numId="7" w16cid:durableId="497188109">
    <w:abstractNumId w:val="8"/>
  </w:num>
  <w:num w:numId="8" w16cid:durableId="728915313">
    <w:abstractNumId w:val="4"/>
  </w:num>
  <w:num w:numId="9" w16cid:durableId="1112549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44"/>
    <w:rsid w:val="00060F15"/>
    <w:rsid w:val="00097E62"/>
    <w:rsid w:val="000C7EC8"/>
    <w:rsid w:val="00123B10"/>
    <w:rsid w:val="001365A5"/>
    <w:rsid w:val="001E5B1E"/>
    <w:rsid w:val="002363DC"/>
    <w:rsid w:val="00251DCE"/>
    <w:rsid w:val="00277D59"/>
    <w:rsid w:val="002C024E"/>
    <w:rsid w:val="00340031"/>
    <w:rsid w:val="00340843"/>
    <w:rsid w:val="003841D0"/>
    <w:rsid w:val="003D5287"/>
    <w:rsid w:val="003E6BAA"/>
    <w:rsid w:val="003F5282"/>
    <w:rsid w:val="00425E14"/>
    <w:rsid w:val="00455EFA"/>
    <w:rsid w:val="00456EB9"/>
    <w:rsid w:val="004C231F"/>
    <w:rsid w:val="004D3476"/>
    <w:rsid w:val="00504CE8"/>
    <w:rsid w:val="00541A04"/>
    <w:rsid w:val="005B3771"/>
    <w:rsid w:val="0060588B"/>
    <w:rsid w:val="00657408"/>
    <w:rsid w:val="00693ABC"/>
    <w:rsid w:val="006B385C"/>
    <w:rsid w:val="006C18CF"/>
    <w:rsid w:val="00716545"/>
    <w:rsid w:val="0072422C"/>
    <w:rsid w:val="00725229"/>
    <w:rsid w:val="007513C3"/>
    <w:rsid w:val="00756314"/>
    <w:rsid w:val="007B1EC8"/>
    <w:rsid w:val="008119D8"/>
    <w:rsid w:val="00820ED1"/>
    <w:rsid w:val="00850B44"/>
    <w:rsid w:val="00883670"/>
    <w:rsid w:val="0092507F"/>
    <w:rsid w:val="00966F15"/>
    <w:rsid w:val="009B488E"/>
    <w:rsid w:val="009C4A78"/>
    <w:rsid w:val="009F6DFE"/>
    <w:rsid w:val="00A266A8"/>
    <w:rsid w:val="00A559CF"/>
    <w:rsid w:val="00A67B3F"/>
    <w:rsid w:val="00AF6617"/>
    <w:rsid w:val="00B33E26"/>
    <w:rsid w:val="00B725E6"/>
    <w:rsid w:val="00B74193"/>
    <w:rsid w:val="00BB72CD"/>
    <w:rsid w:val="00CA4386"/>
    <w:rsid w:val="00CE0B0C"/>
    <w:rsid w:val="00E72879"/>
    <w:rsid w:val="00ED36AA"/>
    <w:rsid w:val="00ED4358"/>
    <w:rsid w:val="00EF6DF3"/>
    <w:rsid w:val="00F123DC"/>
    <w:rsid w:val="00FF2288"/>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DCF07"/>
  <w15:chartTrackingRefBased/>
  <w15:docId w15:val="{C16AD3B6-A7EC-459B-991F-11E44320B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B44"/>
  </w:style>
  <w:style w:type="paragraph" w:styleId="Ttulo1">
    <w:name w:val="heading 1"/>
    <w:basedOn w:val="Normal"/>
    <w:next w:val="Normal"/>
    <w:link w:val="Ttulo1Car"/>
    <w:uiPriority w:val="9"/>
    <w:qFormat/>
    <w:rsid w:val="00850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50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50B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50B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50B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50B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50B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50B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50B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B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50B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50B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50B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50B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50B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50B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50B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50B44"/>
    <w:rPr>
      <w:rFonts w:eastAsiaTheme="majorEastAsia" w:cstheme="majorBidi"/>
      <w:color w:val="272727" w:themeColor="text1" w:themeTint="D8"/>
    </w:rPr>
  </w:style>
  <w:style w:type="paragraph" w:styleId="Ttulo">
    <w:name w:val="Title"/>
    <w:basedOn w:val="Normal"/>
    <w:next w:val="Normal"/>
    <w:link w:val="TtuloCar"/>
    <w:uiPriority w:val="10"/>
    <w:qFormat/>
    <w:rsid w:val="00850B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0B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50B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50B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50B44"/>
    <w:pPr>
      <w:spacing w:before="160"/>
      <w:jc w:val="center"/>
    </w:pPr>
    <w:rPr>
      <w:i/>
      <w:iCs/>
      <w:color w:val="404040" w:themeColor="text1" w:themeTint="BF"/>
    </w:rPr>
  </w:style>
  <w:style w:type="character" w:customStyle="1" w:styleId="CitaCar">
    <w:name w:val="Cita Car"/>
    <w:basedOn w:val="Fuentedeprrafopredeter"/>
    <w:link w:val="Cita"/>
    <w:uiPriority w:val="29"/>
    <w:rsid w:val="00850B44"/>
    <w:rPr>
      <w:i/>
      <w:iCs/>
      <w:color w:val="404040" w:themeColor="text1" w:themeTint="BF"/>
    </w:rPr>
  </w:style>
  <w:style w:type="paragraph" w:styleId="Prrafodelista">
    <w:name w:val="List Paragraph"/>
    <w:basedOn w:val="Normal"/>
    <w:uiPriority w:val="34"/>
    <w:qFormat/>
    <w:rsid w:val="00850B44"/>
    <w:pPr>
      <w:ind w:left="720"/>
      <w:contextualSpacing/>
    </w:pPr>
  </w:style>
  <w:style w:type="character" w:styleId="nfasisintenso">
    <w:name w:val="Intense Emphasis"/>
    <w:basedOn w:val="Fuentedeprrafopredeter"/>
    <w:uiPriority w:val="21"/>
    <w:qFormat/>
    <w:rsid w:val="00850B44"/>
    <w:rPr>
      <w:i/>
      <w:iCs/>
      <w:color w:val="0F4761" w:themeColor="accent1" w:themeShade="BF"/>
    </w:rPr>
  </w:style>
  <w:style w:type="paragraph" w:styleId="Citadestacada">
    <w:name w:val="Intense Quote"/>
    <w:basedOn w:val="Normal"/>
    <w:next w:val="Normal"/>
    <w:link w:val="CitadestacadaCar"/>
    <w:uiPriority w:val="30"/>
    <w:qFormat/>
    <w:rsid w:val="00850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50B44"/>
    <w:rPr>
      <w:i/>
      <w:iCs/>
      <w:color w:val="0F4761" w:themeColor="accent1" w:themeShade="BF"/>
    </w:rPr>
  </w:style>
  <w:style w:type="character" w:styleId="Referenciaintensa">
    <w:name w:val="Intense Reference"/>
    <w:basedOn w:val="Fuentedeprrafopredeter"/>
    <w:uiPriority w:val="32"/>
    <w:qFormat/>
    <w:rsid w:val="00850B44"/>
    <w:rPr>
      <w:b/>
      <w:bCs/>
      <w:smallCaps/>
      <w:color w:val="0F4761" w:themeColor="accent1" w:themeShade="BF"/>
      <w:spacing w:val="5"/>
    </w:rPr>
  </w:style>
  <w:style w:type="paragraph" w:styleId="TtuloTDC">
    <w:name w:val="TOC Heading"/>
    <w:basedOn w:val="Ttulo1"/>
    <w:next w:val="Normal"/>
    <w:uiPriority w:val="39"/>
    <w:unhideWhenUsed/>
    <w:qFormat/>
    <w:rsid w:val="00850B44"/>
    <w:pPr>
      <w:spacing w:before="240" w:after="0" w:line="259" w:lineRule="auto"/>
      <w:outlineLvl w:val="9"/>
    </w:pPr>
    <w:rPr>
      <w:kern w:val="0"/>
      <w:sz w:val="32"/>
      <w:szCs w:val="32"/>
      <w14:ligatures w14:val="none"/>
    </w:rPr>
  </w:style>
  <w:style w:type="paragraph" w:styleId="TDC2">
    <w:name w:val="toc 2"/>
    <w:basedOn w:val="Normal"/>
    <w:next w:val="Normal"/>
    <w:autoRedefine/>
    <w:uiPriority w:val="39"/>
    <w:unhideWhenUsed/>
    <w:rsid w:val="00850B44"/>
    <w:pPr>
      <w:spacing w:after="100"/>
      <w:ind w:left="240"/>
    </w:pPr>
  </w:style>
  <w:style w:type="character" w:styleId="Hipervnculo">
    <w:name w:val="Hyperlink"/>
    <w:basedOn w:val="Fuentedeprrafopredeter"/>
    <w:uiPriority w:val="99"/>
    <w:unhideWhenUsed/>
    <w:rsid w:val="00850B44"/>
    <w:rPr>
      <w:color w:val="467886" w:themeColor="hyperlink"/>
      <w:u w:val="single"/>
    </w:rPr>
  </w:style>
  <w:style w:type="table" w:styleId="Tablaconcuadrcula">
    <w:name w:val="Table Grid"/>
    <w:basedOn w:val="Tablanormal"/>
    <w:uiPriority w:val="39"/>
    <w:rsid w:val="00EF6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ED4358"/>
    <w:rPr>
      <w:b/>
      <w:bCs/>
    </w:rPr>
  </w:style>
  <w:style w:type="paragraph" w:styleId="NormalWeb">
    <w:name w:val="Normal (Web)"/>
    <w:basedOn w:val="Normal"/>
    <w:uiPriority w:val="99"/>
    <w:semiHidden/>
    <w:unhideWhenUsed/>
    <w:rsid w:val="00ED4358"/>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delmarcadordeposicin">
    <w:name w:val="Placeholder Text"/>
    <w:basedOn w:val="Fuentedeprrafopredeter"/>
    <w:uiPriority w:val="99"/>
    <w:semiHidden/>
    <w:rsid w:val="00123B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68518-CF90-4DC1-B506-59BFA94AD5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1644</Words>
  <Characters>9046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RAMIREZ VALADEZ, JUAN ALVARO</dc:creator>
  <cp:keywords/>
  <dc:description/>
  <cp:lastModifiedBy>GARCIA GARCIA, JESUS ALEJANDRO</cp:lastModifiedBy>
  <cp:revision>2</cp:revision>
  <dcterms:created xsi:type="dcterms:W3CDTF">2025-10-15T20:43:00Z</dcterms:created>
  <dcterms:modified xsi:type="dcterms:W3CDTF">2025-10-15T20:43:00Z</dcterms:modified>
</cp:coreProperties>
</file>