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E50" w:rsidRDefault="00DA314F"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C66855" wp14:editId="5A9D5CD8">
                <wp:simplePos x="0" y="0"/>
                <wp:positionH relativeFrom="margin">
                  <wp:posOffset>434340</wp:posOffset>
                </wp:positionH>
                <wp:positionV relativeFrom="paragraph">
                  <wp:posOffset>0</wp:posOffset>
                </wp:positionV>
                <wp:extent cx="4733290" cy="838200"/>
                <wp:effectExtent l="0" t="0" r="10160" b="19050"/>
                <wp:wrapTight wrapText="bothSides">
                  <wp:wrapPolygon edited="0">
                    <wp:start x="261" y="0"/>
                    <wp:lineTo x="0" y="1473"/>
                    <wp:lineTo x="0" y="20127"/>
                    <wp:lineTo x="261" y="21600"/>
                    <wp:lineTo x="21386" y="21600"/>
                    <wp:lineTo x="21559" y="20127"/>
                    <wp:lineTo x="21559" y="1473"/>
                    <wp:lineTo x="21299" y="0"/>
                    <wp:lineTo x="261" y="0"/>
                  </wp:wrapPolygon>
                </wp:wrapTight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290" cy="838200"/>
                          <a:chOff x="0" y="0"/>
                          <a:chExt cx="4733290" cy="1025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472059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0590" h="1019175">
                                <a:moveTo>
                                  <a:pt x="0" y="169925"/>
                                </a:moveTo>
                                <a:lnTo>
                                  <a:pt x="6069" y="124751"/>
                                </a:lnTo>
                                <a:lnTo>
                                  <a:pt x="23198" y="84158"/>
                                </a:lnTo>
                                <a:lnTo>
                                  <a:pt x="49768" y="49768"/>
                                </a:lnTo>
                                <a:lnTo>
                                  <a:pt x="84158" y="23198"/>
                                </a:lnTo>
                                <a:lnTo>
                                  <a:pt x="124751" y="6069"/>
                                </a:lnTo>
                                <a:lnTo>
                                  <a:pt x="169925" y="0"/>
                                </a:lnTo>
                                <a:lnTo>
                                  <a:pt x="4550664" y="0"/>
                                </a:lnTo>
                                <a:lnTo>
                                  <a:pt x="4595838" y="6069"/>
                                </a:lnTo>
                                <a:lnTo>
                                  <a:pt x="4636431" y="23198"/>
                                </a:lnTo>
                                <a:lnTo>
                                  <a:pt x="4670821" y="49768"/>
                                </a:lnTo>
                                <a:lnTo>
                                  <a:pt x="4697391" y="84158"/>
                                </a:lnTo>
                                <a:lnTo>
                                  <a:pt x="4714520" y="124751"/>
                                </a:lnTo>
                                <a:lnTo>
                                  <a:pt x="4720590" y="169925"/>
                                </a:lnTo>
                                <a:lnTo>
                                  <a:pt x="4720590" y="849376"/>
                                </a:lnTo>
                                <a:lnTo>
                                  <a:pt x="4714520" y="894497"/>
                                </a:lnTo>
                                <a:lnTo>
                                  <a:pt x="4697391" y="935053"/>
                                </a:lnTo>
                                <a:lnTo>
                                  <a:pt x="4670821" y="969422"/>
                                </a:lnTo>
                                <a:lnTo>
                                  <a:pt x="4636431" y="995981"/>
                                </a:lnTo>
                                <a:lnTo>
                                  <a:pt x="4595838" y="1013106"/>
                                </a:lnTo>
                                <a:lnTo>
                                  <a:pt x="4550664" y="1019175"/>
                                </a:lnTo>
                                <a:lnTo>
                                  <a:pt x="169925" y="1019175"/>
                                </a:lnTo>
                                <a:lnTo>
                                  <a:pt x="124751" y="1013106"/>
                                </a:lnTo>
                                <a:lnTo>
                                  <a:pt x="84158" y="995981"/>
                                </a:lnTo>
                                <a:lnTo>
                                  <a:pt x="49768" y="969422"/>
                                </a:lnTo>
                                <a:lnTo>
                                  <a:pt x="23198" y="935053"/>
                                </a:lnTo>
                                <a:lnTo>
                                  <a:pt x="6069" y="894497"/>
                                </a:lnTo>
                                <a:lnTo>
                                  <a:pt x="0" y="849376"/>
                                </a:lnTo>
                                <a:lnTo>
                                  <a:pt x="0" y="1699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733290" cy="94394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314F" w:rsidRDefault="00DA314F" w:rsidP="00DA314F">
                              <w:pPr>
                                <w:spacing w:before="172" w:line="219" w:lineRule="exact"/>
                                <w:ind w:left="2445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 xml:space="preserve"> BIEN DE BAJA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E52DD3">
                                <w:rPr>
                                  <w:rFonts w:ascii="Calibri"/>
                                  <w:b/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="00E52DD3">
                                <w:rPr>
                                  <w:rFonts w:ascii="Calibri"/>
                                  <w:b/>
                                  <w:sz w:val="18"/>
                                </w:rPr>
                                <w:t>numero_acta</w:t>
                              </w:r>
                              <w:proofErr w:type="spellEnd"/>
                              <w:r w:rsidR="00E52DD3">
                                <w:rPr>
                                  <w:rFonts w:ascii="Calibri"/>
                                  <w:b/>
                                  <w:sz w:val="18"/>
                                </w:rPr>
                                <w:t>}}</w:t>
                              </w:r>
                            </w:p>
                            <w:p w:rsidR="00DA314F" w:rsidRDefault="00DA314F" w:rsidP="00DA314F">
                              <w:pPr>
                                <w:ind w:left="241" w:right="239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</w:pPr>
                              <w:r w:rsidRPr="00DA314F">
                                <w:rPr>
                                  <w:rStyle w:val="citation-21"/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>ACTA DE CONSTATACIÓN FÍSICA Y EGRESO DEFINI</w:t>
                              </w:r>
                              <w:r w:rsidR="006F7957">
                                <w:rPr>
                                  <w:rStyle w:val="citation-21"/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TIVO DE BIENES ENTRE EL CUSTODIO </w:t>
                              </w:r>
                              <w:r w:rsidRPr="00DA314F">
                                <w:rPr>
                                  <w:rStyle w:val="citation-21"/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>DE LA FACULTAD DE JURISPRUDENCIA, CIENCIAS SOCIALES Y POLÍTICAS Y LA UNIDAD DE CONTROL DE INVENTARIOS</w:t>
                              </w:r>
                              <w:r>
                                <w:rPr>
                                  <w:rStyle w:val="citation-21"/>
                                  <w:b/>
                                  <w:bCs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C66855" id="Group 2" o:spid="_x0000_s1026" style="position:absolute;margin-left:34.2pt;margin-top:0;width:372.7pt;height:66pt;z-index:-251658240;mso-position-horizontal-relative:margin;mso-height-relative:margin" coordsize="47332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">
                <v:shape id="Graphic 3" o:spid="_x0000_s1027" style="position:absolute;left:63;top:63;width:47206;height:10192;visibility:visible;mso-wrap-style:square;v-text-anchor:top" coordsize="472059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" path="m,169925l6069,124751,23198,84158,49768,49768,84158,23198,124751,6069,169925,,4550664,r45174,6069l4636431,23198r34390,26570l4697391,84158r17129,40593l4720590,169925r,679451l4714520,894497r-17129,40556l4670821,969422r-34390,26559l4595838,1013106r-45174,6069l169925,1019175r-45174,-6069l84158,995981,49768,969422,23198,935053,6069,894497,,849376,,169925xe" filled="f" strokecolor="#2e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47332;height:9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DA314F" w:rsidRDefault="00DA314F" w:rsidP="00DA314F">
                        <w:pPr>
                          <w:spacing w:before="172" w:line="219" w:lineRule="exact"/>
                          <w:ind w:left="2445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 xml:space="preserve"> BIEN DE BAJA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 w:rsidR="00E52DD3">
                          <w:rPr>
                            <w:rFonts w:ascii="Calibri"/>
                            <w:b/>
                            <w:sz w:val="18"/>
                          </w:rPr>
                          <w:t>{{</w:t>
                        </w:r>
                        <w:proofErr w:type="spellStart"/>
                        <w:r w:rsidR="00E52DD3">
                          <w:rPr>
                            <w:rFonts w:ascii="Calibri"/>
                            <w:b/>
                            <w:sz w:val="18"/>
                          </w:rPr>
                          <w:t>numero_acta</w:t>
                        </w:r>
                        <w:proofErr w:type="spellEnd"/>
                        <w:r w:rsidR="00E52DD3">
                          <w:rPr>
                            <w:rFonts w:ascii="Calibri"/>
                            <w:b/>
                            <w:sz w:val="18"/>
                          </w:rPr>
                          <w:t>}}</w:t>
                        </w:r>
                      </w:p>
                      <w:p w:rsidR="00DA314F" w:rsidRDefault="00DA314F" w:rsidP="00DA314F">
                        <w:pPr>
                          <w:ind w:left="241" w:right="239"/>
                          <w:jc w:val="both"/>
                          <w:rPr>
                            <w:rFonts w:ascii="Calibri" w:hAnsi="Calibri"/>
                            <w:b/>
                            <w:sz w:val="18"/>
                          </w:rPr>
                        </w:pPr>
                        <w:r w:rsidRPr="00DA314F">
                          <w:rPr>
                            <w:rStyle w:val="citation-21"/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t>ACTA DE CONSTATACIÓN FÍSICA Y EGRESO DEFINI</w:t>
                        </w:r>
                        <w:r w:rsidR="006F7957">
                          <w:rPr>
                            <w:rStyle w:val="citation-21"/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t xml:space="preserve">TIVO DE BIENES ENTRE EL CUSTODIO </w:t>
                        </w:r>
                        <w:r w:rsidRPr="00DA314F">
                          <w:rPr>
                            <w:rStyle w:val="citation-21"/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t>DE LA FACULTAD DE JURISPRUDENCIA, CIENCIAS SOCIALES Y POLÍTICAS Y LA UNIDAD DE CONTROL DE INVENTARIOS</w:t>
                        </w:r>
                        <w:r>
                          <w:rPr>
                            <w:rStyle w:val="citation-21"/>
                            <w:b/>
                            <w:bCs/>
                          </w:rPr>
                          <w:t>.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:rsidR="00E01E50" w:rsidRPr="00E01E50" w:rsidRDefault="00E01E50" w:rsidP="00E01E50"/>
    <w:p w:rsidR="00E01E50" w:rsidRPr="00E01E50" w:rsidRDefault="00E01E50" w:rsidP="00E01E50"/>
    <w:p w:rsidR="00E01E50" w:rsidRDefault="00E01E50" w:rsidP="00E01E50">
      <w:pPr>
        <w:pStyle w:val="NormalWeb"/>
        <w:rPr>
          <w:rFonts w:ascii="Microsoft Sans Serif" w:eastAsia="Microsoft Sans Serif" w:hAnsi="Microsoft Sans Serif" w:cs="Microsoft Sans Serif"/>
          <w:sz w:val="22"/>
          <w:szCs w:val="22"/>
          <w:lang w:val="es-ES"/>
        </w:rPr>
      </w:pPr>
    </w:p>
    <w:p w:rsidR="00B7211D" w:rsidRPr="00B7211D" w:rsidRDefault="00B7211D" w:rsidP="00B7211D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 w:rsidRPr="00B7211D">
        <w:rPr>
          <w:rFonts w:ascii="Arial" w:hAnsi="Arial" w:cs="Arial"/>
          <w:sz w:val="20"/>
          <w:szCs w:val="20"/>
          <w:lang w:val="es-MX"/>
        </w:rPr>
        <w:t xml:space="preserve">En la ciudad de Guayaquil, a los </w:t>
      </w:r>
      <w:r w:rsidR="00E52DD3"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="00E52DD3">
        <w:rPr>
          <w:rFonts w:ascii="Arial" w:hAnsi="Arial" w:cs="Arial"/>
          <w:sz w:val="20"/>
          <w:szCs w:val="20"/>
          <w:lang w:val="es-MX"/>
        </w:rPr>
        <w:t>fecha_emision</w:t>
      </w:r>
      <w:proofErr w:type="spellEnd"/>
      <w:r w:rsidR="00E52DD3">
        <w:rPr>
          <w:rFonts w:ascii="Arial" w:hAnsi="Arial" w:cs="Arial"/>
          <w:sz w:val="20"/>
          <w:szCs w:val="20"/>
          <w:lang w:val="es-MX"/>
        </w:rPr>
        <w:t>}}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, se </w:t>
      </w:r>
      <w:r>
        <w:rPr>
          <w:rFonts w:ascii="Arial" w:hAnsi="Arial" w:cs="Arial"/>
          <w:sz w:val="20"/>
          <w:szCs w:val="20"/>
          <w:lang w:val="es-MX"/>
        </w:rPr>
        <w:t>procede a levantar la presente acta de b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aja </w:t>
      </w:r>
      <w:r>
        <w:rPr>
          <w:rFonts w:ascii="Arial" w:hAnsi="Arial" w:cs="Arial"/>
          <w:sz w:val="20"/>
          <w:szCs w:val="20"/>
          <w:lang w:val="es-MX"/>
        </w:rPr>
        <w:t>de b</w:t>
      </w:r>
      <w:r w:rsidR="00E52DD3">
        <w:rPr>
          <w:rFonts w:ascii="Arial" w:hAnsi="Arial" w:cs="Arial"/>
          <w:sz w:val="20"/>
          <w:szCs w:val="20"/>
          <w:lang w:val="es-MX"/>
        </w:rPr>
        <w:t>ienes, con la comparecencia de {{</w:t>
      </w:r>
      <w:proofErr w:type="spellStart"/>
      <w:r w:rsidR="006F7957">
        <w:rPr>
          <w:rFonts w:ascii="Arial" w:hAnsi="Arial" w:cs="Arial"/>
          <w:sz w:val="20"/>
          <w:szCs w:val="20"/>
          <w:lang w:val="es-MX"/>
        </w:rPr>
        <w:t>entregado_por</w:t>
      </w:r>
      <w:proofErr w:type="spellEnd"/>
      <w:r w:rsidR="00E52DD3">
        <w:rPr>
          <w:rFonts w:ascii="Arial" w:hAnsi="Arial" w:cs="Arial"/>
          <w:sz w:val="20"/>
          <w:szCs w:val="20"/>
          <w:lang w:val="es-MX"/>
        </w:rPr>
        <w:t>}}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, en su calidad de </w:t>
      </w:r>
      <w:r w:rsidR="006F7957">
        <w:rPr>
          <w:rFonts w:ascii="Arial" w:hAnsi="Arial" w:cs="Arial"/>
          <w:b/>
          <w:bCs/>
          <w:sz w:val="20"/>
          <w:szCs w:val="20"/>
          <w:lang w:val="es-MX"/>
        </w:rPr>
        <w:t>CUSTODIO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 de </w:t>
      </w:r>
      <w:r w:rsidRPr="00B7211D">
        <w:rPr>
          <w:rFonts w:ascii="Arial" w:hAnsi="Arial" w:cs="Arial"/>
          <w:b/>
          <w:sz w:val="20"/>
          <w:szCs w:val="20"/>
          <w:lang w:val="es-MX"/>
        </w:rPr>
        <w:t>la Facultad de Jurisprudencia, Ciencias Sociales y Políticas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, y el </w:t>
      </w:r>
      <w:r w:rsidR="00E52DD3"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="00E52DD3">
        <w:rPr>
          <w:rFonts w:ascii="Arial" w:hAnsi="Arial" w:cs="Arial"/>
          <w:sz w:val="20"/>
          <w:szCs w:val="20"/>
          <w:lang w:val="es-MX"/>
        </w:rPr>
        <w:t>nombre_delegado</w:t>
      </w:r>
      <w:proofErr w:type="spellEnd"/>
      <w:r w:rsidR="00E52DD3">
        <w:rPr>
          <w:rFonts w:ascii="Arial" w:hAnsi="Arial" w:cs="Arial"/>
          <w:sz w:val="20"/>
          <w:szCs w:val="20"/>
          <w:lang w:val="es-MX"/>
        </w:rPr>
        <w:t xml:space="preserve">}} 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delegado de la </w:t>
      </w:r>
      <w:r w:rsidRPr="00B7211D">
        <w:rPr>
          <w:rFonts w:ascii="Arial" w:hAnsi="Arial" w:cs="Arial"/>
          <w:b/>
          <w:sz w:val="20"/>
          <w:szCs w:val="20"/>
          <w:lang w:val="es-MX"/>
        </w:rPr>
        <w:t>Unidad de Bienes e Inventarios</w:t>
      </w:r>
      <w:r w:rsidRPr="00B7211D">
        <w:rPr>
          <w:rFonts w:ascii="Arial" w:hAnsi="Arial" w:cs="Arial"/>
          <w:sz w:val="20"/>
          <w:szCs w:val="20"/>
          <w:lang w:val="es-MX"/>
        </w:rPr>
        <w:t>, quien actúa como veedor del proceso de desincorporación.</w:t>
      </w:r>
    </w:p>
    <w:p w:rsidR="00E01E50" w:rsidRPr="00B7211D" w:rsidRDefault="00E01E50" w:rsidP="00B7211D">
      <w:pPr>
        <w:pStyle w:val="NormalWeb"/>
        <w:jc w:val="both"/>
        <w:rPr>
          <w:rFonts w:ascii="Arial" w:hAnsi="Arial" w:cs="Arial"/>
          <w:sz w:val="20"/>
          <w:lang w:val="es-MX"/>
        </w:rPr>
      </w:pPr>
      <w:r w:rsidRPr="00B7211D">
        <w:rPr>
          <w:rFonts w:ascii="Arial" w:hAnsi="Arial" w:cs="Arial"/>
          <w:b/>
          <w:bCs/>
          <w:sz w:val="20"/>
          <w:lang w:val="es-MX"/>
        </w:rPr>
        <w:t>PRIMERA. - ANTECEDENTES.</w:t>
      </w:r>
      <w:r w:rsidRPr="00B7211D">
        <w:rPr>
          <w:rFonts w:ascii="Arial" w:hAnsi="Arial" w:cs="Arial"/>
          <w:sz w:val="20"/>
          <w:lang w:val="es-MX"/>
        </w:rPr>
        <w:t xml:space="preserve"> Debido al estado de obsolescencia y cumplimiento de la vida útil de los activos asignados al </w:t>
      </w:r>
      <w:r w:rsidRPr="00B7211D">
        <w:rPr>
          <w:rFonts w:ascii="Arial" w:hAnsi="Arial" w:cs="Arial"/>
          <w:b/>
          <w:bCs/>
          <w:sz w:val="20"/>
          <w:lang w:val="es-MX"/>
        </w:rPr>
        <w:t>Consultorio Jurídico</w:t>
      </w:r>
      <w:r w:rsidRPr="00B7211D">
        <w:rPr>
          <w:rFonts w:ascii="Arial" w:hAnsi="Arial" w:cs="Arial"/>
          <w:sz w:val="20"/>
          <w:lang w:val="es-MX"/>
        </w:rPr>
        <w:t>, se procede a su desincorporación física y contable para liberar el espacio y actualizar los registros de la Facultad.</w:t>
      </w:r>
    </w:p>
    <w:p w:rsidR="00B7211D" w:rsidRDefault="00E01E50" w:rsidP="00B7211D">
      <w:pPr>
        <w:pStyle w:val="NormalWeb"/>
        <w:jc w:val="both"/>
        <w:rPr>
          <w:rFonts w:ascii="Arial" w:hAnsi="Arial" w:cs="Arial"/>
          <w:b/>
          <w:bCs/>
          <w:sz w:val="20"/>
          <w:lang w:val="es-MX"/>
        </w:rPr>
      </w:pPr>
      <w:r w:rsidRPr="00B7211D">
        <w:rPr>
          <w:rFonts w:ascii="Arial" w:hAnsi="Arial" w:cs="Arial"/>
          <w:b/>
          <w:bCs/>
          <w:sz w:val="20"/>
          <w:lang w:val="es-MX"/>
        </w:rPr>
        <w:t xml:space="preserve">SEGUNDA. - BASE LEGAL </w:t>
      </w:r>
    </w:p>
    <w:p w:rsidR="00E01E50" w:rsidRPr="00B7211D" w:rsidRDefault="00E01E50" w:rsidP="00B7211D">
      <w:pPr>
        <w:pStyle w:val="NormalWeb"/>
        <w:jc w:val="both"/>
        <w:rPr>
          <w:rFonts w:ascii="Arial" w:hAnsi="Arial" w:cs="Arial"/>
          <w:b/>
          <w:sz w:val="20"/>
          <w:lang w:val="es-MX"/>
        </w:rPr>
      </w:pPr>
      <w:r w:rsidRPr="00B7211D">
        <w:rPr>
          <w:rFonts w:ascii="Arial" w:hAnsi="Arial" w:cs="Arial"/>
          <w:b/>
          <w:sz w:val="20"/>
          <w:lang w:val="es-MX"/>
        </w:rPr>
        <w:t>En cumplimiento al Reglamento General Sustitutivo para la Administración, Utilización, Manejo y Control de los Bienes e Inventarios del Sector Público, aplicamos:</w:t>
      </w:r>
    </w:p>
    <w:p w:rsidR="00DE5AD1" w:rsidRDefault="00DE5AD1" w:rsidP="00DE5AD1">
      <w:pPr>
        <w:pStyle w:val="NormalWeb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Art. 79.- </w:t>
      </w:r>
      <w:r w:rsidRPr="00DE5AD1">
        <w:rPr>
          <w:rFonts w:ascii="Arial MT" w:hAnsi="Arial MT" w:cs="Microsoft Sans Serif"/>
          <w:b/>
          <w:bCs/>
          <w:sz w:val="20"/>
          <w:lang w:val="es-MX"/>
        </w:rPr>
        <w:t>Procedimientos que podrán realizarse para el egreso y baja de bienes o inventarios inservibles, obsoletos o que hubieran dejado de usarse</w:t>
      </w:r>
      <w:r>
        <w:rPr>
          <w:rFonts w:ascii="Arial MT" w:hAnsi="Arial MT" w:cs="Microsoft Sans Serif"/>
          <w:bCs/>
          <w:sz w:val="20"/>
          <w:lang w:val="es-MX"/>
        </w:rPr>
        <w:t>.</w:t>
      </w:r>
      <w:r w:rsidRPr="00DE5AD1">
        <w:rPr>
          <w:rFonts w:ascii="Arial MT" w:hAnsi="Arial MT" w:cs="Microsoft Sans Serif"/>
          <w:bCs/>
          <w:sz w:val="20"/>
          <w:lang w:val="es-MX"/>
        </w:rPr>
        <w:t xml:space="preserve"> Las entidades u organismos señalados en el artículo 1 del presente Reglamento podrán utilizar los siguientes procedimientos para el egreso y baja de bienes o inventarios inservibles, obsoletos o que hubieran dejado de usarse:</w:t>
      </w:r>
    </w:p>
    <w:p w:rsidR="00DE5AD1" w:rsidRDefault="00E52DD3" w:rsidP="00E52DD3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>
        <w:rPr>
          <w:rFonts w:ascii="Arial MT" w:hAnsi="Arial MT" w:cs="Microsoft Sans Serif"/>
          <w:bCs/>
          <w:sz w:val="20"/>
          <w:lang w:val="es-MX"/>
        </w:rPr>
        <w:t xml:space="preserve">a) </w:t>
      </w:r>
      <w:r w:rsidR="00DE5AD1" w:rsidRPr="00DE5AD1">
        <w:rPr>
          <w:rFonts w:ascii="Arial MT" w:hAnsi="Arial MT" w:cs="Microsoft Sans Serif"/>
          <w:bCs/>
          <w:sz w:val="20"/>
          <w:lang w:val="es-MX"/>
        </w:rPr>
        <w:t xml:space="preserve">Remate </w:t>
      </w:r>
    </w:p>
    <w:p w:rsidR="00DE5AD1" w:rsidRDefault="00DE5AD1" w:rsidP="00DE5AD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De bienes muebles en sobre cerrado;</w:t>
      </w:r>
    </w:p>
    <w:p w:rsidR="00DE5AD1" w:rsidRDefault="00DE5AD1" w:rsidP="00DE5AD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De Inmuebles;</w:t>
      </w:r>
    </w:p>
    <w:p w:rsidR="00DE5AD1" w:rsidRDefault="00DE5AD1" w:rsidP="00DE5AD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De instalaciones industriales </w:t>
      </w:r>
    </w:p>
    <w:p w:rsidR="00A67B49" w:rsidRPr="00E52DD3" w:rsidRDefault="00DE5AD1" w:rsidP="00E52DD3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De bienes muebles en línea o por medios electrónicos </w:t>
      </w:r>
    </w:p>
    <w:p w:rsidR="00E52DD3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b) Venta de Bienes Muebles</w:t>
      </w:r>
    </w:p>
    <w:p w:rsidR="00E52DD3" w:rsidRDefault="00DE5AD1" w:rsidP="00DE5AD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Venta una vez agotado el procedimiento de remate</w:t>
      </w:r>
      <w:r w:rsidR="00E52DD3">
        <w:rPr>
          <w:rFonts w:ascii="Arial MT" w:hAnsi="Arial MT" w:cs="Microsoft Sans Serif"/>
          <w:bCs/>
          <w:sz w:val="20"/>
          <w:lang w:val="es-MX"/>
        </w:rPr>
        <w:t>.</w:t>
      </w:r>
      <w:r w:rsidRPr="00DE5AD1">
        <w:rPr>
          <w:rFonts w:ascii="Arial MT" w:hAnsi="Arial MT" w:cs="Microsoft Sans Serif"/>
          <w:bCs/>
          <w:sz w:val="20"/>
          <w:lang w:val="es-MX"/>
        </w:rPr>
        <w:t xml:space="preserve"> </w:t>
      </w:r>
    </w:p>
    <w:p w:rsidR="00DE5AD1" w:rsidRPr="00E52DD3" w:rsidRDefault="00DE5AD1" w:rsidP="00DE5AD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E52DD3">
        <w:rPr>
          <w:rFonts w:ascii="Arial MT" w:hAnsi="Arial MT" w:cs="Microsoft Sans Serif"/>
          <w:bCs/>
          <w:sz w:val="20"/>
          <w:lang w:val="es-MX"/>
        </w:rPr>
        <w:t>Venta directa sin procedimiento previo de remate</w:t>
      </w:r>
      <w:r w:rsidR="00E52DD3">
        <w:rPr>
          <w:rFonts w:ascii="Arial MT" w:hAnsi="Arial MT" w:cs="Microsoft Sans Serif"/>
          <w:bCs/>
          <w:sz w:val="20"/>
          <w:lang w:val="es-MX"/>
        </w:rPr>
        <w:t>.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c) Permuta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d) Transferencia Gratuita 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e) Chatarrización</w:t>
      </w:r>
    </w:p>
    <w:p w:rsidR="00E52DD3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f) Reciclaje de Residuos 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g) Destrucción </w:t>
      </w:r>
    </w:p>
    <w:p w:rsidR="00DE5AD1" w:rsidRPr="00DE5AD1" w:rsidRDefault="00E52DD3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>
        <w:rPr>
          <w:rFonts w:ascii="Arial MT" w:hAnsi="Arial MT" w:cs="Microsoft Sans Serif"/>
          <w:bCs/>
          <w:sz w:val="20"/>
          <w:lang w:val="es-MX"/>
        </w:rPr>
        <w:t>h) Baja</w:t>
      </w:r>
    </w:p>
    <w:p w:rsidR="00DE5AD1" w:rsidRPr="00DE5AD1" w:rsidRDefault="00DE5AD1" w:rsidP="00DE5AD1">
      <w:pPr>
        <w:pStyle w:val="NormalWeb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Art. 80.- </w:t>
      </w:r>
      <w:r w:rsidRPr="00DE5AD1">
        <w:rPr>
          <w:rFonts w:ascii="Arial MT" w:hAnsi="Arial MT" w:cs="Microsoft Sans Serif"/>
          <w:b/>
          <w:bCs/>
          <w:sz w:val="20"/>
          <w:lang w:val="es-MX"/>
        </w:rPr>
        <w:t>Inspección técnica de verificación de estado</w:t>
      </w:r>
      <w:r>
        <w:rPr>
          <w:rFonts w:ascii="Arial MT" w:hAnsi="Arial MT" w:cs="Microsoft Sans Serif"/>
          <w:bCs/>
          <w:sz w:val="20"/>
          <w:lang w:val="es-MX"/>
        </w:rPr>
        <w:t>.</w:t>
      </w:r>
      <w:r w:rsidRPr="00DE5AD1">
        <w:rPr>
          <w:rFonts w:ascii="Arial MT" w:hAnsi="Arial MT" w:cs="Microsoft Sans Serif"/>
          <w:bCs/>
          <w:sz w:val="20"/>
          <w:lang w:val="es-MX"/>
        </w:rPr>
        <w:t xml:space="preserve"> Sobre la base de los resultados de la constatación física efectuada, en cuyas conclusiones se determine la existencia de bienes o inventarios inservibles, obsoletos o que hubieren dejado de usarse, se informará al titular de la entidad u organismo, o su delegado para que autorice el correspondiente proceso de egreso o baja. Cuando se trate de equipos informáticos, eléctricos, electrónicos, maquinaria y/o vehículos, se adjuntará el respectivo informe técnico, elaborado por la unidad correspondiente considerando la naturaleza del bien.</w:t>
      </w:r>
    </w:p>
    <w:p w:rsidR="00707DB8" w:rsidRDefault="00707DB8" w:rsidP="00B7211D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 w:rsidRPr="00707DB8">
        <w:rPr>
          <w:rFonts w:ascii="Arial MT" w:hAnsi="Arial MT" w:cs="Microsoft Sans Serif"/>
          <w:sz w:val="20"/>
          <w:lang w:val="es-ES"/>
        </w:rPr>
        <w:t xml:space="preserve">Art. 134.- </w:t>
      </w:r>
      <w:r w:rsidRPr="00707DB8">
        <w:rPr>
          <w:rFonts w:ascii="Arial MT" w:hAnsi="Arial MT" w:cs="Microsoft Sans Serif"/>
          <w:b/>
          <w:sz w:val="20"/>
          <w:lang w:val="es-ES"/>
        </w:rPr>
        <w:t>Procedencia</w:t>
      </w:r>
      <w:r w:rsidRPr="00707DB8">
        <w:rPr>
          <w:rFonts w:ascii="Arial MT" w:hAnsi="Arial MT" w:cs="Microsoft Sans Serif"/>
          <w:sz w:val="20"/>
          <w:lang w:val="es-ES"/>
        </w:rPr>
        <w:t xml:space="preserve">. Si los bienes fueren declarados inservibles u obsoletos o fuera de uso, mediante el informe técnico que justifique que la operación o mantenimiento resulte oneroso para la entidad y cuya venta o transferencia gratuita no fuere posible o conveniente de conformidad a las disposiciones del presente Reglamento, se recomienda someter a proceso de chatarrización. </w:t>
      </w:r>
    </w:p>
    <w:p w:rsidR="00707DB8" w:rsidRDefault="00707DB8" w:rsidP="00B7211D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 w:rsidRPr="00707DB8">
        <w:rPr>
          <w:rFonts w:ascii="Arial MT" w:hAnsi="Arial MT" w:cs="Microsoft Sans Serif"/>
          <w:sz w:val="20"/>
          <w:lang w:val="es-ES"/>
        </w:rPr>
        <w:lastRenderedPageBreak/>
        <w:t xml:space="preserve">Los bienes sujetos a chatarrización serán principalmente los vehículos, equipo caminero, de transporte, aeronaves, naves, buques, aparejos, equipos, tuberías, fierros, equipos informáticos y todos los demás bienes susceptibles de chatarrización, de tal manera que aquellos queden convertidos irreversiblemente en materia prima, a través de un proceso técnico de desintegración o desmantelamiento total. </w:t>
      </w:r>
    </w:p>
    <w:p w:rsidR="00707DB8" w:rsidRDefault="00707DB8" w:rsidP="00B7211D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 w:rsidRPr="00707DB8">
        <w:rPr>
          <w:rFonts w:ascii="Arial MT" w:hAnsi="Arial MT" w:cs="Microsoft Sans Serif"/>
          <w:sz w:val="20"/>
          <w:lang w:val="es-ES"/>
        </w:rPr>
        <w:t>Las entidades u organismos comprendidos en el artículo 1 del presente Reglamento entregarán a la empresa de chatarrización calificada para el efecto por el ente rector de la industria y producción, los bienes a ser procesados; la empresa de chatarrización emitirá el certificado de haber recibido los bienes sujetos a chatarrización el mismo que deberá estar suscrito por el representante legal de la empresa y por el Guardalmacén, o quien haga sus veces, de la entidad u organismo.</w:t>
      </w:r>
    </w:p>
    <w:p w:rsidR="00DE5AD1" w:rsidRDefault="00DE5AD1" w:rsidP="00DE5AD1">
      <w:pPr>
        <w:pStyle w:val="NormalWeb"/>
        <w:jc w:val="both"/>
        <w:rPr>
          <w:rFonts w:ascii="Arial MT" w:hAnsi="Arial MT" w:cs="Microsoft Sans Serif"/>
          <w:sz w:val="20"/>
          <w:lang w:val="es-MX"/>
        </w:rPr>
      </w:pPr>
      <w:r>
        <w:rPr>
          <w:rFonts w:ascii="Arial MT" w:hAnsi="Arial MT" w:cs="Microsoft Sans Serif"/>
          <w:sz w:val="20"/>
          <w:lang w:val="es-MX"/>
        </w:rPr>
        <w:t xml:space="preserve">Art. 141.- </w:t>
      </w:r>
      <w:r w:rsidRPr="00DE5AD1">
        <w:rPr>
          <w:rFonts w:ascii="Arial MT" w:hAnsi="Arial MT" w:cs="Microsoft Sans Serif"/>
          <w:b/>
          <w:sz w:val="20"/>
          <w:lang w:val="es-MX"/>
        </w:rPr>
        <w:t>Procedencia.</w:t>
      </w:r>
      <w:r w:rsidRPr="00DE5AD1">
        <w:rPr>
          <w:rFonts w:ascii="Arial MT" w:hAnsi="Arial MT" w:cs="Microsoft Sans Serif"/>
          <w:sz w:val="20"/>
          <w:lang w:val="es-MX"/>
        </w:rPr>
        <w:t xml:space="preserve"> Si los bienes fueren inservibles, esto es, que no sean susceptibles de utilización conforme el artículo 80 de este Reglamento, y en el caso de que no hubiere interesados en la compra ni fuere conveniente la entrega de éstos en forma gratuita, se procederá a su destrucción de acuerdo con las normas ambientales vigentes. Los bienes declarados inservibles u obsoletos que justifiquen la imposibilidad de someterlos al proceso de chatarrización, serán sometidos al proceso de destrucción, especialmente los mobiliarios de madera, tapices de cuero, sintéticos, tejidos de textil y otros.</w:t>
      </w:r>
    </w:p>
    <w:p w:rsidR="00DE5AD1" w:rsidRPr="00DE5AD1" w:rsidRDefault="00DE5AD1" w:rsidP="00DE5AD1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>
        <w:rPr>
          <w:rFonts w:ascii="Arial MT" w:hAnsi="Arial MT" w:cs="Microsoft Sans Serif"/>
          <w:sz w:val="20"/>
          <w:lang w:val="es-ES"/>
        </w:rPr>
        <w:t xml:space="preserve">Art. 143.- </w:t>
      </w:r>
      <w:r w:rsidRPr="00DE5AD1">
        <w:rPr>
          <w:rFonts w:ascii="Arial MT" w:hAnsi="Arial MT" w:cs="Microsoft Sans Serif"/>
          <w:b/>
          <w:sz w:val="20"/>
          <w:lang w:val="es-ES"/>
        </w:rPr>
        <w:t>Procedencia.</w:t>
      </w:r>
      <w:r w:rsidRPr="00DE5AD1">
        <w:rPr>
          <w:rFonts w:ascii="Arial MT" w:hAnsi="Arial MT" w:cs="Microsoft Sans Serif"/>
          <w:sz w:val="20"/>
          <w:lang w:val="es-ES"/>
        </w:rPr>
        <w:t xml:space="preserve"> Los bienes que dejaren de existir físicamente por alguna de las siguientes causas: robo, hurto, abigeato, caso fortuito o fuerza mayor, se podrán excluir de los registros institucionales.</w:t>
      </w:r>
    </w:p>
    <w:p w:rsidR="00656C4B" w:rsidRDefault="00E01E50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  <w:r w:rsidRPr="00E01E50">
        <w:rPr>
          <w:rFonts w:ascii="Microsoft Sans Serif" w:hAnsi="Microsoft Sans Serif" w:cs="Microsoft Sans Serif"/>
          <w:b/>
          <w:bCs/>
          <w:sz w:val="20"/>
          <w:lang w:val="es-MX"/>
        </w:rPr>
        <w:t>TERCERA. - DESCRIPCIÓN DE LOS BIENES A DAR DE BAJA.</w:t>
      </w:r>
      <w:r w:rsidRPr="00E01E50">
        <w:rPr>
          <w:rFonts w:ascii="Microsoft Sans Serif" w:hAnsi="Microsoft Sans Serif" w:cs="Microsoft Sans Serif"/>
          <w:sz w:val="20"/>
          <w:lang w:val="es-MX"/>
        </w:rPr>
        <w:t xml:space="preserve"> Los bienes que se detallan a continuación dejan de ser parte del inventario activo:</w:t>
      </w:r>
    </w:p>
    <w:p w:rsidR="006F7957" w:rsidRDefault="006F7957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  <w:proofErr w:type="gramStart"/>
      <w:r>
        <w:rPr>
          <w:rFonts w:ascii="Microsoft Sans Serif" w:hAnsi="Microsoft Sans Serif" w:cs="Microsoft Sans Serif"/>
          <w:sz w:val="20"/>
          <w:lang w:val="es-MX"/>
        </w:rPr>
        <w:t xml:space="preserve">{{ </w:t>
      </w:r>
      <w:proofErr w:type="spellStart"/>
      <w:r>
        <w:rPr>
          <w:rFonts w:ascii="Microsoft Sans Serif" w:hAnsi="Microsoft Sans Serif" w:cs="Microsoft Sans Serif"/>
          <w:sz w:val="20"/>
          <w:lang w:val="es-MX"/>
        </w:rPr>
        <w:t>tabla</w:t>
      </w:r>
      <w:proofErr w:type="gramEnd"/>
      <w:r>
        <w:rPr>
          <w:rFonts w:ascii="Microsoft Sans Serif" w:hAnsi="Microsoft Sans Serif" w:cs="Microsoft Sans Serif"/>
          <w:sz w:val="20"/>
          <w:lang w:val="es-MX"/>
        </w:rPr>
        <w:t>_dinamica</w:t>
      </w:r>
      <w:proofErr w:type="spellEnd"/>
      <w:r>
        <w:rPr>
          <w:rFonts w:ascii="Microsoft Sans Serif" w:hAnsi="Microsoft Sans Serif" w:cs="Microsoft Sans Serif"/>
          <w:sz w:val="20"/>
          <w:lang w:val="es-MX"/>
        </w:rPr>
        <w:t xml:space="preserve"> }}</w:t>
      </w:r>
    </w:p>
    <w:p w:rsidR="00D71203" w:rsidRPr="00D71203" w:rsidRDefault="00D71203" w:rsidP="00D71203">
      <w:pPr>
        <w:pStyle w:val="NormalWeb"/>
        <w:rPr>
          <w:rFonts w:ascii="Arial" w:hAnsi="Arial" w:cs="Arial"/>
          <w:sz w:val="20"/>
          <w:lang w:val="es-MX"/>
        </w:rPr>
      </w:pPr>
      <w:r w:rsidRPr="00D71203">
        <w:rPr>
          <w:rFonts w:ascii="Arial" w:hAnsi="Arial" w:cs="Arial"/>
          <w:b/>
          <w:bCs/>
          <w:sz w:val="20"/>
          <w:lang w:val="es-MX"/>
        </w:rPr>
        <w:t>CUARTA. - CONSTANCIA DE EGRESO.</w:t>
      </w:r>
      <w:r w:rsidRPr="00D71203">
        <w:rPr>
          <w:rFonts w:ascii="Arial" w:hAnsi="Arial" w:cs="Arial"/>
          <w:sz w:val="20"/>
          <w:lang w:val="es-MX"/>
        </w:rPr>
        <w:t xml:space="preserve"> Con la firma de este documento, el </w:t>
      </w:r>
      <w:r w:rsidR="006F7957">
        <w:rPr>
          <w:rFonts w:ascii="Arial" w:hAnsi="Arial" w:cs="Arial"/>
          <w:sz w:val="20"/>
          <w:lang w:val="es-MX"/>
        </w:rPr>
        <w:t>{{</w:t>
      </w:r>
      <w:proofErr w:type="spellStart"/>
      <w:r w:rsidR="006F7957">
        <w:rPr>
          <w:rFonts w:ascii="Arial" w:hAnsi="Arial" w:cs="Arial"/>
          <w:sz w:val="20"/>
          <w:lang w:val="es-MX"/>
        </w:rPr>
        <w:t>entregado_por</w:t>
      </w:r>
      <w:proofErr w:type="spellEnd"/>
      <w:r w:rsidR="006F7957">
        <w:rPr>
          <w:rFonts w:ascii="Arial" w:hAnsi="Arial" w:cs="Arial"/>
          <w:sz w:val="20"/>
          <w:lang w:val="es-MX"/>
        </w:rPr>
        <w:t xml:space="preserve">}} </w:t>
      </w:r>
      <w:r w:rsidRPr="00D71203">
        <w:rPr>
          <w:rFonts w:ascii="Arial" w:hAnsi="Arial" w:cs="Arial"/>
          <w:sz w:val="20"/>
          <w:lang w:val="es-MX"/>
        </w:rPr>
        <w:t>queda liberado de la custodia y responsabilidad administrativa de los bienes antes descritos. Los bienes físicos son entregados a la Unidad de Inventarios para su posterior proceso de chatarrización o destrucción conforme a la ley.</w:t>
      </w:r>
    </w:p>
    <w:p w:rsidR="00D71203" w:rsidRDefault="00D71203" w:rsidP="00D71203">
      <w:pPr>
        <w:pStyle w:val="NormalWeb"/>
        <w:rPr>
          <w:rFonts w:ascii="Arial" w:hAnsi="Arial" w:cs="Arial"/>
          <w:sz w:val="20"/>
          <w:lang w:val="es-MX"/>
        </w:rPr>
      </w:pPr>
      <w:r w:rsidRPr="00D71203">
        <w:rPr>
          <w:rFonts w:ascii="Arial" w:hAnsi="Arial" w:cs="Arial"/>
          <w:b/>
          <w:bCs/>
          <w:sz w:val="20"/>
          <w:lang w:val="es-MX"/>
        </w:rPr>
        <w:t>QUINTA. - ACEPTACIÓN.</w:t>
      </w:r>
      <w:r w:rsidRPr="00D71203">
        <w:rPr>
          <w:rFonts w:ascii="Arial" w:hAnsi="Arial" w:cs="Arial"/>
          <w:sz w:val="20"/>
          <w:lang w:val="es-MX"/>
        </w:rPr>
        <w:t xml:space="preserve"> En fe de lo actuado, firman la presente acta:</w:t>
      </w:r>
    </w:p>
    <w:p w:rsidR="00506CE2" w:rsidRDefault="00506CE2" w:rsidP="00D71203">
      <w:pPr>
        <w:pStyle w:val="NormalWeb"/>
        <w:rPr>
          <w:rFonts w:ascii="Arial" w:hAnsi="Arial" w:cs="Arial"/>
          <w:sz w:val="20"/>
          <w:lang w:val="es-MX"/>
        </w:rPr>
      </w:pPr>
    </w:p>
    <w:p w:rsidR="00506CE2" w:rsidRDefault="00506CE2" w:rsidP="00D71203">
      <w:pPr>
        <w:pStyle w:val="NormalWeb"/>
        <w:rPr>
          <w:rFonts w:ascii="Arial" w:hAnsi="Arial" w:cs="Arial"/>
          <w:sz w:val="20"/>
          <w:lang w:val="es-MX"/>
        </w:rPr>
      </w:pPr>
    </w:p>
    <w:p w:rsidR="00506CE2" w:rsidRPr="00D71203" w:rsidRDefault="00506CE2" w:rsidP="00D71203">
      <w:pPr>
        <w:pStyle w:val="NormalWeb"/>
        <w:rPr>
          <w:rFonts w:ascii="Arial" w:hAnsi="Arial" w:cs="Arial"/>
          <w:sz w:val="20"/>
          <w:lang w:val="es-MX"/>
        </w:rPr>
      </w:pPr>
    </w:p>
    <w:tbl>
      <w:tblPr>
        <w:tblStyle w:val="Tablanormal2"/>
        <w:tblW w:w="0" w:type="auto"/>
        <w:tblLook w:val="0600" w:firstRow="0" w:lastRow="0" w:firstColumn="0" w:lastColumn="0" w:noHBand="1" w:noVBand="1"/>
      </w:tblPr>
      <w:tblGrid>
        <w:gridCol w:w="4414"/>
        <w:gridCol w:w="4414"/>
      </w:tblGrid>
      <w:tr w:rsidR="00506CE2" w:rsidTr="00506CE2">
        <w:tc>
          <w:tcPr>
            <w:tcW w:w="4414" w:type="dxa"/>
            <w:tcBorders>
              <w:top w:val="single" w:sz="4" w:space="0" w:color="FFFFFF"/>
            </w:tcBorders>
          </w:tcPr>
          <w:p w:rsidR="00506CE2" w:rsidRDefault="00506CE2" w:rsidP="00506CE2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>
              <w:rPr>
                <w:rFonts w:ascii="Arial MT" w:hAnsi="Arial MT" w:cs="Microsoft Sans Serif"/>
                <w:b/>
                <w:sz w:val="18"/>
                <w:lang w:val="es-MX"/>
              </w:rPr>
              <w:t>{{</w:t>
            </w:r>
            <w:proofErr w:type="spellStart"/>
            <w:r>
              <w:rPr>
                <w:rFonts w:ascii="Arial MT" w:hAnsi="Arial MT" w:cs="Microsoft Sans Serif"/>
                <w:b/>
                <w:sz w:val="18"/>
                <w:lang w:val="es-MX"/>
              </w:rPr>
              <w:t>entregado_por</w:t>
            </w:r>
            <w:proofErr w:type="spellEnd"/>
            <w:r>
              <w:rPr>
                <w:rFonts w:ascii="Arial MT" w:hAnsi="Arial MT" w:cs="Microsoft Sans Serif"/>
                <w:b/>
                <w:sz w:val="18"/>
                <w:lang w:val="es-MX"/>
              </w:rPr>
              <w:t>}}</w:t>
            </w:r>
          </w:p>
        </w:tc>
        <w:tc>
          <w:tcPr>
            <w:tcW w:w="4414" w:type="dxa"/>
            <w:tcBorders>
              <w:top w:val="single" w:sz="4" w:space="0" w:color="FFFFFF" w:themeColor="background1"/>
            </w:tcBorders>
          </w:tcPr>
          <w:p w:rsidR="00506CE2" w:rsidRDefault="00506CE2" w:rsidP="00506CE2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>
              <w:rPr>
                <w:rFonts w:ascii="Arial MT" w:hAnsi="Arial MT" w:cs="Microsoft Sans Serif"/>
                <w:b/>
                <w:sz w:val="18"/>
                <w:lang w:val="es-MX"/>
              </w:rPr>
              <w:t>{{</w:t>
            </w:r>
            <w:proofErr w:type="spellStart"/>
            <w:r>
              <w:rPr>
                <w:rFonts w:ascii="Arial MT" w:hAnsi="Arial MT" w:cs="Microsoft Sans Serif"/>
                <w:b/>
                <w:sz w:val="18"/>
                <w:lang w:val="es-MX"/>
              </w:rPr>
              <w:t>recibido_por</w:t>
            </w:r>
            <w:proofErr w:type="spellEnd"/>
            <w:r>
              <w:rPr>
                <w:rFonts w:ascii="Arial MT" w:hAnsi="Arial MT" w:cs="Microsoft Sans Serif"/>
                <w:b/>
                <w:sz w:val="18"/>
                <w:lang w:val="es-MX"/>
              </w:rPr>
              <w:t>}}</w:t>
            </w:r>
          </w:p>
        </w:tc>
      </w:tr>
      <w:tr w:rsidR="00506CE2" w:rsidTr="00506CE2">
        <w:tc>
          <w:tcPr>
            <w:tcW w:w="4414" w:type="dxa"/>
          </w:tcPr>
          <w:p w:rsidR="00506CE2" w:rsidRDefault="00506CE2" w:rsidP="00506CE2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>
              <w:rPr>
                <w:rFonts w:ascii="Arial MT" w:hAnsi="Arial MT"/>
                <w:b/>
                <w:sz w:val="18"/>
                <w:lang w:val="es-MX"/>
              </w:rPr>
              <w:t>{{</w:t>
            </w:r>
            <w:proofErr w:type="spellStart"/>
            <w:r>
              <w:rPr>
                <w:rFonts w:ascii="Arial MT" w:hAnsi="Arial MT"/>
                <w:b/>
                <w:sz w:val="18"/>
                <w:lang w:val="es-MX"/>
              </w:rPr>
              <w:t>rol_entrega</w:t>
            </w:r>
            <w:proofErr w:type="spellEnd"/>
            <w:r>
              <w:rPr>
                <w:rFonts w:ascii="Arial MT" w:hAnsi="Arial MT"/>
                <w:b/>
                <w:sz w:val="18"/>
                <w:lang w:val="es-MX"/>
              </w:rPr>
              <w:t>}}</w:t>
            </w:r>
          </w:p>
        </w:tc>
        <w:tc>
          <w:tcPr>
            <w:tcW w:w="4414" w:type="dxa"/>
          </w:tcPr>
          <w:p w:rsidR="00506CE2" w:rsidRDefault="00506CE2" w:rsidP="00506CE2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 w:rsidRPr="00585D12">
              <w:rPr>
                <w:rFonts w:ascii="Arial MT" w:hAnsi="Arial MT"/>
                <w:b/>
                <w:sz w:val="18"/>
                <w:lang w:val="es-MX"/>
              </w:rPr>
              <w:t>USUARIO FINAL</w:t>
            </w:r>
          </w:p>
        </w:tc>
      </w:tr>
      <w:tr w:rsidR="00506CE2" w:rsidTr="00506CE2">
        <w:tc>
          <w:tcPr>
            <w:tcW w:w="4414" w:type="dxa"/>
          </w:tcPr>
          <w:p w:rsidR="00506CE2" w:rsidRDefault="00506CE2" w:rsidP="00506CE2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 w:rsidRPr="00585D12">
              <w:rPr>
                <w:rFonts w:ascii="Arial MT" w:hAnsi="Arial MT"/>
                <w:b/>
                <w:sz w:val="18"/>
                <w:lang w:val="es-MX"/>
              </w:rPr>
              <w:t>FACULTAD DE JURISPRUCENDIA</w:t>
            </w:r>
            <w:r>
              <w:rPr>
                <w:rFonts w:ascii="Arial MT" w:hAnsi="Arial MT"/>
                <w:b/>
                <w:sz w:val="18"/>
                <w:lang w:val="es-MX"/>
              </w:rPr>
              <w:t>, CIENCIAS SOCIALES Y POLÌTICAS</w:t>
            </w:r>
          </w:p>
        </w:tc>
        <w:tc>
          <w:tcPr>
            <w:tcW w:w="4414" w:type="dxa"/>
          </w:tcPr>
          <w:p w:rsidR="00506CE2" w:rsidRDefault="00506CE2" w:rsidP="00506CE2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 w:rsidRPr="00585D12">
              <w:rPr>
                <w:rFonts w:ascii="Arial MT" w:hAnsi="Arial MT"/>
                <w:b/>
                <w:sz w:val="18"/>
                <w:lang w:val="es-MX"/>
              </w:rPr>
              <w:t>FACULTAD DE JURISPRUCENDIA</w:t>
            </w:r>
            <w:r>
              <w:rPr>
                <w:rFonts w:ascii="Arial MT" w:hAnsi="Arial MT"/>
                <w:b/>
                <w:sz w:val="18"/>
                <w:lang w:val="es-MX"/>
              </w:rPr>
              <w:t>, CIENCIAS SOCIALES Y POLÌTICAS</w:t>
            </w:r>
          </w:p>
        </w:tc>
      </w:tr>
      <w:tr w:rsidR="00506CE2" w:rsidTr="00506CE2">
        <w:tc>
          <w:tcPr>
            <w:tcW w:w="4414" w:type="dxa"/>
            <w:tcBorders>
              <w:bottom w:val="single" w:sz="4" w:space="0" w:color="FFFFFF"/>
            </w:tcBorders>
          </w:tcPr>
          <w:p w:rsidR="00506CE2" w:rsidRPr="00506CE2" w:rsidRDefault="00506CE2" w:rsidP="00506CE2">
            <w:pPr>
              <w:pStyle w:val="NormalWeb"/>
              <w:jc w:val="center"/>
              <w:rPr>
                <w:rFonts w:ascii="Arial MT" w:hAnsi="Arial MT" w:cs="Arial"/>
                <w:sz w:val="20"/>
                <w:lang w:val="es-MX"/>
              </w:rPr>
            </w:pPr>
          </w:p>
          <w:p w:rsidR="00506CE2" w:rsidRDefault="00506CE2" w:rsidP="00506CE2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 w:rsidRPr="00506CE2">
              <w:rPr>
                <w:rFonts w:ascii="Arial MT" w:hAnsi="Arial MT" w:cs="Arial"/>
                <w:b/>
                <w:sz w:val="20"/>
                <w:lang w:val="es-MX"/>
              </w:rPr>
              <w:t>Entrega</w:t>
            </w:r>
            <w:r w:rsidRPr="00506CE2">
              <w:rPr>
                <w:rFonts w:ascii="Arial MT" w:hAnsi="Arial MT" w:cs="Arial"/>
                <w:sz w:val="20"/>
                <w:lang w:val="es-MX"/>
              </w:rPr>
              <w:t xml:space="preserve"> </w:t>
            </w:r>
            <w:r w:rsidRPr="00506CE2">
              <w:rPr>
                <w:rFonts w:ascii="Arial MT" w:hAnsi="Arial MT" w:cs="Arial"/>
                <w:b/>
                <w:sz w:val="20"/>
                <w:lang w:val="es-MX"/>
              </w:rPr>
              <w:t>Conforme</w:t>
            </w:r>
          </w:p>
        </w:tc>
        <w:tc>
          <w:tcPr>
            <w:tcW w:w="4414" w:type="dxa"/>
            <w:tcBorders>
              <w:bottom w:val="single" w:sz="4" w:space="0" w:color="FFFFFF"/>
            </w:tcBorders>
          </w:tcPr>
          <w:p w:rsidR="00506CE2" w:rsidRPr="00506CE2" w:rsidRDefault="00506CE2" w:rsidP="00506CE2">
            <w:pPr>
              <w:pStyle w:val="NormalWeb"/>
              <w:jc w:val="center"/>
              <w:rPr>
                <w:rFonts w:ascii="Arial MT" w:hAnsi="Arial MT" w:cs="Microsoft Sans Serif"/>
                <w:sz w:val="20"/>
                <w:lang w:val="es-MX"/>
              </w:rPr>
            </w:pPr>
          </w:p>
          <w:p w:rsidR="00506CE2" w:rsidRPr="00506CE2" w:rsidRDefault="00506CE2" w:rsidP="00506CE2">
            <w:pPr>
              <w:pStyle w:val="NormalWeb"/>
              <w:jc w:val="center"/>
              <w:rPr>
                <w:rFonts w:ascii="Arial" w:hAnsi="Arial" w:cs="Arial"/>
                <w:b/>
                <w:sz w:val="20"/>
                <w:lang w:val="es-MX"/>
              </w:rPr>
            </w:pPr>
            <w:r w:rsidRPr="00506CE2">
              <w:rPr>
                <w:rFonts w:ascii="Arial MT" w:hAnsi="Arial MT" w:cs="Arial"/>
                <w:b/>
                <w:sz w:val="20"/>
                <w:lang w:val="es-MX"/>
              </w:rPr>
              <w:t>Recibe Conforme</w:t>
            </w:r>
          </w:p>
        </w:tc>
      </w:tr>
    </w:tbl>
    <w:p w:rsidR="00D71203" w:rsidRPr="00D71203" w:rsidRDefault="00D71203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</w:p>
    <w:p w:rsidR="00E01E50" w:rsidRPr="00E01E50" w:rsidRDefault="00E01E50" w:rsidP="00B7211D">
      <w:pPr>
        <w:jc w:val="both"/>
        <w:rPr>
          <w:sz w:val="16"/>
          <w:lang w:val="es-MX"/>
        </w:rPr>
      </w:pPr>
      <w:bookmarkStart w:id="0" w:name="_GoBack"/>
      <w:bookmarkEnd w:id="0"/>
    </w:p>
    <w:sectPr w:rsidR="00E01E50" w:rsidRPr="00E01E5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8D0" w:rsidRDefault="006228D0" w:rsidP="00DA314F">
      <w:r>
        <w:separator/>
      </w:r>
    </w:p>
  </w:endnote>
  <w:endnote w:type="continuationSeparator" w:id="0">
    <w:p w:rsidR="006228D0" w:rsidRDefault="006228D0" w:rsidP="00DA3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14F" w:rsidRDefault="00DA314F">
    <w:pPr>
      <w:pStyle w:val="Piedepgina"/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2F7FF272" wp14:editId="5A84D62E">
          <wp:simplePos x="0" y="0"/>
          <wp:positionH relativeFrom="margin">
            <wp:align>center</wp:align>
          </wp:positionH>
          <wp:positionV relativeFrom="paragraph">
            <wp:posOffset>-483235</wp:posOffset>
          </wp:positionV>
          <wp:extent cx="7129780" cy="1092835"/>
          <wp:effectExtent l="0" t="0" r="0" b="0"/>
          <wp:wrapNone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8D0" w:rsidRDefault="006228D0" w:rsidP="00DA314F">
      <w:r>
        <w:separator/>
      </w:r>
    </w:p>
  </w:footnote>
  <w:footnote w:type="continuationSeparator" w:id="0">
    <w:p w:rsidR="006228D0" w:rsidRDefault="006228D0" w:rsidP="00DA3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14F" w:rsidRDefault="00DA314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C25FBA9" wp14:editId="383471BD">
          <wp:simplePos x="0" y="0"/>
          <wp:positionH relativeFrom="column">
            <wp:posOffset>5234940</wp:posOffset>
          </wp:positionH>
          <wp:positionV relativeFrom="paragraph">
            <wp:posOffset>-448310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F9DB641" wp14:editId="0065A798">
          <wp:simplePos x="0" y="0"/>
          <wp:positionH relativeFrom="column">
            <wp:posOffset>-956310</wp:posOffset>
          </wp:positionH>
          <wp:positionV relativeFrom="paragraph">
            <wp:posOffset>-325755</wp:posOffset>
          </wp:positionV>
          <wp:extent cx="1876425" cy="74295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4295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433C0"/>
    <w:multiLevelType w:val="hybridMultilevel"/>
    <w:tmpl w:val="8B70E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93C60"/>
    <w:multiLevelType w:val="hybridMultilevel"/>
    <w:tmpl w:val="BA307CF6"/>
    <w:lvl w:ilvl="0" w:tplc="C5A02C1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8564FAA"/>
    <w:multiLevelType w:val="hybridMultilevel"/>
    <w:tmpl w:val="BA94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14F96"/>
    <w:multiLevelType w:val="multilevel"/>
    <w:tmpl w:val="DE2A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824B8"/>
    <w:multiLevelType w:val="hybridMultilevel"/>
    <w:tmpl w:val="B3C40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53949"/>
    <w:multiLevelType w:val="hybridMultilevel"/>
    <w:tmpl w:val="3522D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851E9"/>
    <w:multiLevelType w:val="hybridMultilevel"/>
    <w:tmpl w:val="5FD008C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EF41B61"/>
    <w:multiLevelType w:val="hybridMultilevel"/>
    <w:tmpl w:val="060E9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542CE"/>
    <w:multiLevelType w:val="hybridMultilevel"/>
    <w:tmpl w:val="26086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70BB6"/>
    <w:multiLevelType w:val="hybridMultilevel"/>
    <w:tmpl w:val="0E88EEBA"/>
    <w:lvl w:ilvl="0" w:tplc="D2E682D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14F"/>
    <w:rsid w:val="002D6D2A"/>
    <w:rsid w:val="00506CE2"/>
    <w:rsid w:val="005424F7"/>
    <w:rsid w:val="00585D12"/>
    <w:rsid w:val="005C5791"/>
    <w:rsid w:val="00602F5C"/>
    <w:rsid w:val="00616280"/>
    <w:rsid w:val="006228D0"/>
    <w:rsid w:val="00656C4B"/>
    <w:rsid w:val="00685287"/>
    <w:rsid w:val="006C16BA"/>
    <w:rsid w:val="006F7957"/>
    <w:rsid w:val="00707DB8"/>
    <w:rsid w:val="007B1200"/>
    <w:rsid w:val="009E3950"/>
    <w:rsid w:val="00A67B49"/>
    <w:rsid w:val="00B7211D"/>
    <w:rsid w:val="00CD4318"/>
    <w:rsid w:val="00CE0AB0"/>
    <w:rsid w:val="00D71203"/>
    <w:rsid w:val="00DA314F"/>
    <w:rsid w:val="00DE5AD1"/>
    <w:rsid w:val="00E01E50"/>
    <w:rsid w:val="00E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B15C"/>
  <w15:chartTrackingRefBased/>
  <w15:docId w15:val="{9926767A-7C8E-4CA8-B090-C6EE2B87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85D12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31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314F"/>
  </w:style>
  <w:style w:type="paragraph" w:styleId="Piedepgina">
    <w:name w:val="footer"/>
    <w:basedOn w:val="Normal"/>
    <w:link w:val="PiedepginaCar"/>
    <w:uiPriority w:val="99"/>
    <w:unhideWhenUsed/>
    <w:rsid w:val="00DA31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14F"/>
  </w:style>
  <w:style w:type="character" w:customStyle="1" w:styleId="citation-21">
    <w:name w:val="citation-21"/>
    <w:basedOn w:val="Fuentedeprrafopredeter"/>
    <w:rsid w:val="00DA314F"/>
  </w:style>
  <w:style w:type="character" w:customStyle="1" w:styleId="citation-44">
    <w:name w:val="citation-44"/>
    <w:basedOn w:val="Fuentedeprrafopredeter"/>
    <w:rsid w:val="00E01E50"/>
  </w:style>
  <w:style w:type="character" w:customStyle="1" w:styleId="citation-43">
    <w:name w:val="citation-43"/>
    <w:basedOn w:val="Fuentedeprrafopredeter"/>
    <w:rsid w:val="00E01E50"/>
  </w:style>
  <w:style w:type="paragraph" w:styleId="NormalWeb">
    <w:name w:val="Normal (Web)"/>
    <w:basedOn w:val="Normal"/>
    <w:uiPriority w:val="99"/>
    <w:unhideWhenUsed/>
    <w:rsid w:val="00E01E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6C1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71203"/>
    <w:pPr>
      <w:spacing w:after="0" w:line="240" w:lineRule="auto"/>
    </w:pPr>
    <w:rPr>
      <w:kern w:val="2"/>
      <w:lang w:val="es-EC"/>
      <w14:ligatures w14:val="standardContextual"/>
    </w:rPr>
  </w:style>
  <w:style w:type="table" w:styleId="Tablanormal2">
    <w:name w:val="Plain Table 2"/>
    <w:basedOn w:val="Tablanormal"/>
    <w:uiPriority w:val="42"/>
    <w:rsid w:val="00506CE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9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Univ. de Guayaquil</dc:creator>
  <cp:keywords/>
  <dc:description/>
  <cp:lastModifiedBy>Univ. de Guayaquil</cp:lastModifiedBy>
  <cp:revision>4</cp:revision>
  <dcterms:created xsi:type="dcterms:W3CDTF">2026-04-10T14:58:00Z</dcterms:created>
  <dcterms:modified xsi:type="dcterms:W3CDTF">2026-04-17T14:31:00Z</dcterms:modified>
</cp:coreProperties>
</file>