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108EE" w14:textId="77777777" w:rsidR="00013474" w:rsidRDefault="00000000">
      <w:pPr>
        <w:pStyle w:val="Title"/>
      </w:pPr>
      <w:r>
        <w:t>Tribunal Q&amp;A Preparation: Oil-at-Risk</w:t>
      </w:r>
    </w:p>
    <w:p w14:paraId="1EB06A34" w14:textId="77777777" w:rsidR="00013474" w:rsidRDefault="00000000">
      <w:r>
        <w:t>Comprehensive Defense Guide (Standard &amp; Maximum Rigor)</w:t>
      </w:r>
    </w:p>
    <w:p w14:paraId="70E71B43" w14:textId="77777777" w:rsidR="00013474" w:rsidRDefault="00000000">
      <w:r>
        <w:t>Severity: [C] critical — could invalidate a claim if unanswered · [M] major — materially weakens · [m] minor / presentational.</w:t>
      </w:r>
    </w:p>
    <w:p w14:paraId="6D0DD964" w14:textId="77777777" w:rsidR="00013474" w:rsidRDefault="00000000">
      <w:pPr>
        <w:pStyle w:val="Heading1"/>
      </w:pPr>
      <w:r>
        <w:t>Section I: Standard Q&amp;A &amp; Methodology</w:t>
      </w:r>
    </w:p>
    <w:p w14:paraId="4759BB80" w14:textId="77777777" w:rsidR="00013474" w:rsidRDefault="00013474"/>
    <w:p w14:paraId="587B062C" w14:textId="77777777" w:rsidR="00013474" w:rsidRDefault="00000000">
      <w:pPr>
        <w:pStyle w:val="Heading2"/>
      </w:pPr>
      <w:r>
        <w:t>A. Data and variables</w:t>
      </w:r>
    </w:p>
    <w:p w14:paraId="02A8BCAD" w14:textId="77777777" w:rsidR="00013474" w:rsidRDefault="00000000">
      <w:r>
        <w:rPr>
          <w:b/>
        </w:rPr>
        <w:t>A1. [M] The GPR index is built from newspaper coverage. Newspapers write about oil crises — isn't GPR endogenous to oil prices?</w:t>
      </w:r>
    </w:p>
    <w:p w14:paraId="1E5AE189" w14:textId="77777777" w:rsidR="00013474" w:rsidRDefault="00000000">
      <w:r>
        <w:t>The framework is explicitly predictive, not causal: every regressor is dated at or before the forecast origin and the target is h days ahead, so there is no mechanical simultaneity. GPRD counts coverage of adverse geopolitical events, not oil-market news per se. Causal identification is stated as future work.</w:t>
      </w:r>
    </w:p>
    <w:p w14:paraId="1F8B1074" w14:textId="77777777" w:rsidR="00013474" w:rsidRDefault="00013474"/>
    <w:p w14:paraId="3502E7CA" w14:textId="77777777" w:rsidR="00013474" w:rsidRDefault="00000000">
      <w:commentRangeStart w:id="0"/>
      <w:r>
        <w:rPr>
          <w:b/>
        </w:rPr>
        <w:t>A2. [M] The 7-day moving average of GPR is admitted to be arbitrary. Why not optimize it?</w:t>
      </w:r>
      <w:commentRangeEnd w:id="0"/>
      <w:r w:rsidR="007410BB">
        <w:rPr>
          <w:rStyle w:val="CommentReference"/>
          <w:sz w:val="22"/>
          <w:szCs w:val="22"/>
        </w:rPr>
        <w:commentReference w:id="0"/>
      </w:r>
    </w:p>
    <w:p w14:paraId="4B830C52" w14:textId="77777777" w:rsidR="00013474" w:rsidRDefault="00000000">
      <w:r>
        <w:t>It matches the calendar-week basis on which the index is compiled, and it captures news-cycle transmission over days rather than a single headline. Optimizing the window on the same data would data-mine the main regressor; transparency was preferred, and alternative windows are flagged as a robustness dimension.</w:t>
      </w:r>
    </w:p>
    <w:p w14:paraId="7D7C7AC1" w14:textId="77777777" w:rsidR="00013474" w:rsidRDefault="00013474"/>
    <w:p w14:paraId="2B7E3D91" w14:textId="77777777" w:rsidR="00013474" w:rsidRDefault="00000000">
      <w:r>
        <w:rPr>
          <w:b/>
        </w:rPr>
        <w:t>A3. [M] How exactly is your realized-volatility proxy computed, and is it a true "realized" measure without intraday data?</w:t>
      </w:r>
    </w:p>
    <w:p w14:paraId="250CBC78" w14:textId="77777777" w:rsidR="00013474" w:rsidRDefault="00000000">
      <w:r>
        <w:t>Be ready to state the exact formula (rolling window of squared/absolute daily returns). Concede it is a daily-frequency proxy, not intraday realized variance; it enters only as a control for volatility clustering, and the conclusions do not rest on its coefficient.</w:t>
      </w:r>
    </w:p>
    <w:p w14:paraId="74A7046F" w14:textId="77777777" w:rsidR="00013474" w:rsidRDefault="00013474"/>
    <w:p w14:paraId="4662030C" w14:textId="77777777" w:rsidR="00013474" w:rsidRDefault="00000000">
      <w:r>
        <w:rPr>
          <w:b/>
        </w:rPr>
        <w:t>A4. [m] The Baltic Dry Index is illiquid and stale; is it a good daily control?</w:t>
      </w:r>
    </w:p>
    <w:p w14:paraId="391BAC6A" w14:textId="77777777" w:rsidR="00013474" w:rsidRDefault="00000000">
      <w:r>
        <w:t>It is log-differenced and used solely as a demand-side proxy largely free of speculative noise. Its estimated role is small (correlation with Brent returns 0.012); dropping it does not drive results.</w:t>
      </w:r>
    </w:p>
    <w:p w14:paraId="75B23C2A" w14:textId="77777777" w:rsidR="00013474" w:rsidRDefault="00013474"/>
    <w:p w14:paraId="51BB1968" w14:textId="77777777" w:rsidR="00013474" w:rsidRDefault="00000000">
      <w:r>
        <w:rPr>
          <w:b/>
        </w:rPr>
        <w:t>A5. [M] Your sample spans 1990–2026: shale revolution, financialization, OPEC+ regime changes. Structural breaks?</w:t>
      </w:r>
    </w:p>
    <w:p w14:paraId="11CA9841" w14:textId="77777777" w:rsidR="00013474" w:rsidRDefault="00000000">
      <w:r>
        <w:t>The out-of-sample pipeline uses a rolling 1,000-day window, so coefficients continuously adapt to slow structural change. The full-sample in-sample regression is presented as a descriptive benchmark only, not the production model.</w:t>
      </w:r>
    </w:p>
    <w:p w14:paraId="243FB78D" w14:textId="77777777" w:rsidR="00013474" w:rsidRDefault="00013474"/>
    <w:p w14:paraId="3B717011" w14:textId="77777777" w:rsidR="00013474" w:rsidRDefault="00000000">
      <w:r>
        <w:rPr>
          <w:b/>
        </w:rPr>
        <w:t>A6. [m] GPRD is a calendar-day index but returns are trading-day. How is the MA-7 aligned?</w:t>
      </w:r>
    </w:p>
    <w:p w14:paraId="09E51FD6" w14:textId="77777777" w:rsidR="00013474" w:rsidRDefault="00000000">
      <w:r>
        <w:t>The MA is taken over seven calendar days of the index and then aligned to the trading-day grid of returns. State this precisely; it is an alignment convention, not a source of look-ahead.</w:t>
      </w:r>
    </w:p>
    <w:p w14:paraId="3602F82F" w14:textId="77777777" w:rsidR="00013474" w:rsidRDefault="00013474"/>
    <w:p w14:paraId="2AF7F9B1" w14:textId="77777777" w:rsidR="00013474" w:rsidRDefault="00000000">
      <w:r>
        <w:rPr>
          <w:b/>
        </w:rPr>
        <w:t>A7. [m] Why Brent and not WTI, and why nominal prices?</w:t>
      </w:r>
    </w:p>
    <w:p w14:paraId="0632D43F" w14:textId="77777777" w:rsidR="00013474" w:rsidRDefault="00000000">
      <w:r>
        <w:t>Brent is the global seaborne benchmark, better suited to geopolitical exposure than the landlocked WTI. Daily log-returns make deflation irrelevant at this frequency.</w:t>
      </w:r>
    </w:p>
    <w:p w14:paraId="6705194D" w14:textId="77777777" w:rsidR="00013474" w:rsidRDefault="00013474"/>
    <w:p w14:paraId="49A88374" w14:textId="77777777" w:rsidR="00013474" w:rsidRDefault="00000000">
      <w:r>
        <w:rPr>
          <w:b/>
        </w:rPr>
        <w:t>A8. [m] Caldara and Iacoviello is cited as (2018) in the data section but the bibliography lists the AER 2022 paper.</w:t>
      </w:r>
    </w:p>
    <w:p w14:paraId="60C7C2DE" w14:textId="77777777" w:rsidR="00013474" w:rsidRDefault="00000000">
      <w:r>
        <w:t>A citation inconsistency to fix: the index was introduced in a 2018 working paper and published in AER 2022. Correct to 2022 (or cite both).</w:t>
      </w:r>
    </w:p>
    <w:p w14:paraId="6A8BB4A9" w14:textId="77777777" w:rsidR="00013474" w:rsidRDefault="00013474"/>
    <w:p w14:paraId="0C9E9475" w14:textId="77777777" w:rsidR="00013474" w:rsidRDefault="00000000">
      <w:pPr>
        <w:pStyle w:val="Heading2"/>
      </w:pPr>
      <w:r>
        <w:t>B. Specification and quantile regression</w:t>
      </w:r>
    </w:p>
    <w:p w14:paraId="3AB216E9" w14:textId="77777777" w:rsidR="00013474" w:rsidRDefault="00000000">
      <w:r>
        <w:rPr>
          <w:b/>
        </w:rPr>
        <w:t>B1. [M] Omitted variables: inventories, OPEC spare capacity, futures term structure, speculative positioning. Why only three controls?</w:t>
      </w:r>
    </w:p>
    <w:p w14:paraId="5D25AA48" w14:textId="77777777" w:rsidR="00013474" w:rsidRDefault="00000000">
      <w:r>
        <w:t>Parsimony protects the tails from overfitting and keeps one comparable specification across quantiles. Most candidates are weekly/monthly or noisy at daily frequency. The module is modular, so richer conditioning sets are an immediate extension; candidate specifications were screened during model selection.</w:t>
      </w:r>
    </w:p>
    <w:p w14:paraId="09026A7F" w14:textId="77777777" w:rsidR="00013474" w:rsidRDefault="00013474"/>
    <w:p w14:paraId="3CBC318D" w14:textId="77777777" w:rsidR="00013474" w:rsidRDefault="00000000">
      <w:r>
        <w:rPr>
          <w:b/>
        </w:rPr>
        <w:t>B2. [M] How do you compute standard errors for the quantile regression under serial dependence?</w:t>
      </w:r>
    </w:p>
    <w:p w14:paraId="1AC5B688" w14:textId="77777777" w:rsidR="00013474" w:rsidRDefault="00000000">
      <w:r>
        <w:lastRenderedPageBreak/>
        <w:t>Joint inference (the Wald slope-equality test) uses a moving-block bootstrap that preserves serial dependence. For the forecasting claims, inference rests on out-of-sample evaluation, not on in-sample t-statistics.</w:t>
      </w:r>
    </w:p>
    <w:p w14:paraId="2DF83DBF" w14:textId="77777777" w:rsidR="00013474" w:rsidRDefault="00013474"/>
    <w:p w14:paraId="2765A706" w14:textId="77777777" w:rsidR="00013474" w:rsidRDefault="00000000">
      <w:r>
        <w:rPr>
          <w:b/>
        </w:rPr>
        <w:t>B3. [M] Lagging RV to t−1 fixes simultaneity, but daily returns are serially dependent — is RV(t−1) truly exogenous at the quantile?</w:t>
      </w:r>
    </w:p>
    <w:p w14:paraId="01C55478" w14:textId="77777777" w:rsidR="00013474" w:rsidRDefault="00000000">
      <w:r>
        <w:t>RV(t−1) is predetermined, which removes the simultaneity channel; strict quantile exogeneity Q_tau(u|X)=0 is an assumption, stated as such. Any residual feedback would bias a causal reading, which the thesis does not make.</w:t>
      </w:r>
    </w:p>
    <w:p w14:paraId="0A46376B" w14:textId="77777777" w:rsidR="00013474" w:rsidRDefault="00013474"/>
    <w:p w14:paraId="42C8C3B6" w14:textId="77777777" w:rsidR="00013474" w:rsidRDefault="00000000">
      <w:r>
        <w:rPr>
          <w:b/>
        </w:rPr>
        <w:t>B4. [m] Quantile crossing is only inspected, not enforced. What if it occurred?</w:t>
      </w:r>
    </w:p>
    <w:p w14:paraId="2B0904A9" w14:textId="77777777" w:rsidR="00013474" w:rsidRDefault="00000000">
      <w:r>
        <w:t>No crossings were detected in the fitted paths. If they arose, Chernozhukov-style rearrangement is the standard fix, and the MDE smoothing step would additionally regularize minor inversions.</w:t>
      </w:r>
    </w:p>
    <w:p w14:paraId="14049300" w14:textId="77777777" w:rsidR="00013474" w:rsidRDefault="00013474"/>
    <w:p w14:paraId="0E88250B" w14:textId="77777777" w:rsidR="00013474" w:rsidRDefault="00000000">
      <w:r>
        <w:rPr>
          <w:b/>
        </w:rPr>
        <w:t>B5. [m] Your pseudo-R1 at the median is near zero — the model explains nothing at the center.</w:t>
      </w:r>
    </w:p>
    <w:p w14:paraId="1801D9C3" w14:textId="77777777" w:rsidR="00013474" w:rsidRDefault="00000000">
      <w:r>
        <w:t>Expected and stated: daily returns are near-martingale, so the median carries almost no directional signal. The object of the framework is the tails, where R1 reaches about 0.74 at tau = 0.01.</w:t>
      </w:r>
    </w:p>
    <w:p w14:paraId="1A0BBB40" w14:textId="77777777" w:rsidR="00013474" w:rsidRDefault="00013474"/>
    <w:p w14:paraId="4F1B3C93" w14:textId="77777777" w:rsidR="00013474" w:rsidRDefault="00000000">
      <w:r>
        <w:rPr>
          <w:b/>
        </w:rPr>
        <w:t>B6. [M] Why one uniform specification across all quantiles rather than tail-specific models?</w:t>
      </w:r>
    </w:p>
    <w:p w14:paraId="62EFA153" w14:textId="77777777" w:rsidR="00013474" w:rsidRDefault="00000000">
      <w:r>
        <w:t>Comparability across the conditional distribution and protection against tail-specific overfitting. Heterogeneity is still fully allowed through beta(tau); the Wald test confirms slopes differ across quantiles.</w:t>
      </w:r>
    </w:p>
    <w:p w14:paraId="1E0CE9C3" w14:textId="77777777" w:rsidR="00013474" w:rsidRDefault="00013474"/>
    <w:p w14:paraId="707093EF" w14:textId="77777777" w:rsidR="00013474" w:rsidRDefault="00000000">
      <w:pPr>
        <w:pStyle w:val="Heading2"/>
      </w:pPr>
      <w:r>
        <w:t>C. Direct forecasting design</w:t>
      </w:r>
    </w:p>
    <w:p w14:paraId="29E83D93" w14:textId="77777777" w:rsidR="00013474" w:rsidRDefault="00000000">
      <w:r>
        <w:rPr>
          <w:b/>
        </w:rPr>
        <w:t>C1. [M] Overlapping h = 5 forecasts induce MA(4) dependence in errors and hits. Doesn't that invalidate your tests?</w:t>
      </w:r>
    </w:p>
    <w:p w14:paraId="4D8EECB8" w14:textId="77777777" w:rsidR="00013474" w:rsidRDefault="00000000">
      <w:r>
        <w:t xml:space="preserve">Acknowledged and handled by design: the DM test uses a HAC variance with bandwidth h−1; Kupiec assesses only the breach frequency, whose mean is unaffected by overlap; </w:t>
      </w:r>
      <w:r>
        <w:lastRenderedPageBreak/>
        <w:t>independence-based conditional-coverage tests are deliberately not reported because they would be size-distorted.</w:t>
      </w:r>
    </w:p>
    <w:p w14:paraId="7F1C3125" w14:textId="77777777" w:rsidR="00013474" w:rsidRDefault="00013474"/>
    <w:p w14:paraId="779664A1" w14:textId="77777777" w:rsidR="00013474" w:rsidRDefault="00000000">
      <w:r>
        <w:rPr>
          <w:b/>
        </w:rPr>
        <w:t>C2. [m] Why a rolling window of exactly 1,000 days, not expanding?</w:t>
      </w:r>
    </w:p>
    <w:p w14:paraId="5F9F6EFF" w14:textId="77777777" w:rsidR="00013474" w:rsidRDefault="00000000">
      <w:r>
        <w:t>About four trading years: adapts faster to regime shifts, is cheap to update, and matches the historical VaR/ES window so conditional and unconditional measures are comparable. The exact length is a convention, not an optimum.</w:t>
      </w:r>
    </w:p>
    <w:p w14:paraId="027205E1" w14:textId="77777777" w:rsidR="00013474" w:rsidRDefault="00013474"/>
    <w:p w14:paraId="6B584906" w14:textId="77777777" w:rsidR="00013474" w:rsidRDefault="00000000">
      <w:r>
        <w:rPr>
          <w:b/>
        </w:rPr>
        <w:t>C3. [m] Coefficients are refitted every 30 days and cached. Is the model stale in between?</w:t>
      </w:r>
    </w:p>
    <w:p w14:paraId="34F6658A" w14:textId="77777777" w:rsidR="00013474" w:rsidRDefault="00000000">
      <w:r>
        <w:t>The density still updates daily through the covariates; only the coefficient map is held fixed. It is a compute trade-off; sensitivity to the refit interval is checkable in the module.</w:t>
      </w:r>
    </w:p>
    <w:p w14:paraId="6BA2415D" w14:textId="77777777" w:rsidR="00013474" w:rsidRDefault="00013474"/>
    <w:p w14:paraId="4AB26BA5" w14:textId="77777777" w:rsidR="00013474" w:rsidRDefault="00000000">
      <w:r>
        <w:rPr>
          <w:b/>
        </w:rPr>
        <w:t>C4. [M] Why direct forecasting rather than a quantile VAR (Bjornland et al. 2026)?</w:t>
      </w:r>
    </w:p>
    <w:p w14:paraId="39D87148" w14:textId="77777777" w:rsidR="00013474" w:rsidRDefault="00000000">
      <w:r>
        <w:t>Quantiles do not obey a law of iterated expectations, so iterated schemes are unavailable; direct estimation targets each horizon and is robust to dynamic misspecification. A QVAR is a fair benchmark for future comparison, not a substitute.</w:t>
      </w:r>
    </w:p>
    <w:p w14:paraId="3F7EB6EA" w14:textId="77777777" w:rsidR="00013474" w:rsidRDefault="00013474"/>
    <w:p w14:paraId="7B3C0E17" w14:textId="77777777" w:rsidR="00013474" w:rsidRDefault="00000000">
      <w:r>
        <w:rPr>
          <w:b/>
        </w:rPr>
        <w:t>C5. [m] Are your regressors real-time? GPRD revisions, BDI publication lags?</w:t>
      </w:r>
    </w:p>
    <w:p w14:paraId="49F57573" w14:textId="77777777" w:rsidR="00013474" w:rsidRDefault="00000000">
      <w:r>
        <w:t>GPRD historical revisions are minor; USDI and BDI are end-of-day fixings. Concede that a strict real-time vintage audit was not performed — a fair refinement.</w:t>
      </w:r>
    </w:p>
    <w:p w14:paraId="68A7A899" w14:textId="77777777" w:rsidR="00013474" w:rsidRDefault="00013474"/>
    <w:p w14:paraId="02FBDE09" w14:textId="77777777" w:rsidR="00013474" w:rsidRDefault="00000000">
      <w:pPr>
        <w:pStyle w:val="Heading2"/>
      </w:pPr>
      <w:r>
        <w:t>D. CAViaR augmentations</w:t>
      </w:r>
    </w:p>
    <w:p w14:paraId="1381BAB1" w14:textId="77777777" w:rsidR="00013474" w:rsidRDefault="00000000">
      <w:r>
        <w:rPr>
          <w:b/>
        </w:rPr>
        <w:t>D1. [M] You call these models CAViaR but never estimate the autoregressive recursion. Isn't the name misleading?</w:t>
      </w:r>
    </w:p>
    <w:p w14:paraId="72E3CD59" w14:textId="77777777" w:rsidR="00013474" w:rsidRDefault="00000000">
      <w:r>
        <w:t>The text is explicit: the thesis imports the central CAViaR insight — tail memory of own violations — into the direct design, rather than estimating the full recursion, which does not transfer cleanly to direct multi-step forecasting. Call them CAViaR-inspired augmentations if the tribunal prefers.</w:t>
      </w:r>
    </w:p>
    <w:p w14:paraId="2849D741" w14:textId="77777777" w:rsidR="00013474" w:rsidRDefault="00013474"/>
    <w:p w14:paraId="33D39F46" w14:textId="77777777" w:rsidR="00013474" w:rsidRDefault="00000000">
      <w:r>
        <w:rPr>
          <w:b/>
        </w:rPr>
        <w:t>D2. [M] Your claim that the augmented models "pass the DQ test by construction" is circular — the test then has no evidential value.</w:t>
      </w:r>
    </w:p>
    <w:p w14:paraId="5891FEEB" w14:textId="77777777" w:rsidR="00013474" w:rsidRDefault="00000000">
      <w:r>
        <w:lastRenderedPageBreak/>
        <w:t>Correct, and that is exactly how the thesis uses it: the DQ statistic motivates the augmentation (it names the dependence being fed back), it is not cited as evidence of superiority. Superiority is assessed by DM on tick loss, where no model dominates.</w:t>
      </w:r>
    </w:p>
    <w:p w14:paraId="73ED69F0" w14:textId="77777777" w:rsidR="00013474" w:rsidRDefault="00013474"/>
    <w:p w14:paraId="760623F4" w14:textId="77777777" w:rsidR="00013474" w:rsidRDefault="00000000">
      <w:r>
        <w:rPr>
          <w:b/>
        </w:rPr>
        <w:t>D3. [m] The severity model has clearly the worst average tick loss (0.3317). Why keep it?</w:t>
      </w:r>
    </w:p>
    <w:p w14:paraId="649E4CF0" w14:textId="77777777" w:rsidR="00013474" w:rsidRDefault="00000000">
      <w:r>
        <w:t>The difference is not statistically significant (DM p = 0.28), and its breach signal is sharpest at very short horizons; it is retained as a documented complement, not as the production model.</w:t>
      </w:r>
    </w:p>
    <w:p w14:paraId="27FA726C" w14:textId="77777777" w:rsidR="00013474" w:rsidRDefault="00013474"/>
    <w:p w14:paraId="4E046DE7" w14:textId="77777777" w:rsidR="00013474" w:rsidRDefault="00000000">
      <w:r>
        <w:rPr>
          <w:b/>
        </w:rPr>
        <w:t>D4. [m] CAViaR variants have 517 origins versus 864 for the standard model. Is the comparison fair?</w:t>
      </w:r>
    </w:p>
    <w:p w14:paraId="1AF91A80" w14:textId="77777777" w:rsidR="00013474" w:rsidRDefault="00000000">
      <w:r>
        <w:t>The DM statistic is computed on the forecast origins common to the pair being compared, so the comparison is like-for-like; the shorter window only reflects the burn-in the breach regressors need.</w:t>
      </w:r>
    </w:p>
    <w:p w14:paraId="617A6356" w14:textId="77777777" w:rsidR="00013474" w:rsidRDefault="00013474"/>
    <w:p w14:paraId="2F41B4FB" w14:textId="77777777" w:rsidR="00013474" w:rsidRDefault="00000000">
      <w:pPr>
        <w:pStyle w:val="Heading2"/>
      </w:pPr>
      <w:r>
        <w:t>E. Distribution fitting</w:t>
      </w:r>
    </w:p>
    <w:p w14:paraId="06C8D9C1" w14:textId="77777777" w:rsidR="00013474" w:rsidRDefault="00000000">
      <w:r>
        <w:rPr>
          <w:b/>
        </w:rPr>
        <w:t>E1. [M] Four parameters from seven quantiles — everything beyond tau = 0.99 is pure parametric extrapolation.</w:t>
      </w:r>
    </w:p>
    <w:p w14:paraId="6256690C" w14:textId="77777777" w:rsidR="00013474" w:rsidRDefault="00000000">
      <w:r>
        <w:t>True, and unavoidable in any parametric completion. The defense is empirical: the PIT battery evaluates the entire fitted shape at every origin out-of-sample and does not reject uniformity, and the 2.5% VaR used downstream is interpolation between fitted points (0.01 and 0.05), not extrapolation.</w:t>
      </w:r>
    </w:p>
    <w:p w14:paraId="2808EA72" w14:textId="77777777" w:rsidR="00013474" w:rsidRDefault="00013474"/>
    <w:p w14:paraId="7916DF44" w14:textId="77777777" w:rsidR="00013474" w:rsidRDefault="00000000">
      <w:r>
        <w:rPr>
          <w:b/>
        </w:rPr>
        <w:t>E2. [M] Why unweighted MDE? Tail quantiles are estimated with more noise — precision weighting is natural.</w:t>
      </w:r>
    </w:p>
    <w:p w14:paraId="7D803B52" w14:textId="77777777" w:rsidR="00013474" w:rsidRDefault="00000000">
      <w:r>
        <w:t>Equal weighting avoids importing an ad hoc weighting scheme that would itself need justification; the problem is over-identified (7 targets, 4 parameters), so residuals act as a diagnostic. A density- or sparsity-weighted variant is acknowledged as a robustness check not pursued.</w:t>
      </w:r>
    </w:p>
    <w:p w14:paraId="3B70B04D" w14:textId="77777777" w:rsidR="00013474" w:rsidRDefault="00013474"/>
    <w:p w14:paraId="6D284905" w14:textId="77777777" w:rsidR="00013474" w:rsidRDefault="00000000">
      <w:r>
        <w:rPr>
          <w:b/>
        </w:rPr>
        <w:t>E3. [C] You replace the canonical skewed-t but never estimate it. How can you claim the JSU is better?</w:t>
      </w:r>
    </w:p>
    <w:p w14:paraId="3D8636DC" w14:textId="77777777" w:rsidR="00013474" w:rsidRDefault="00000000">
      <w:r>
        <w:lastRenderedPageBreak/>
        <w:t>The thesis claims no superiority — this is stated verbatim: the skewed-t "is not estimated here, and no head-to-head comparison is attempted." The contribution is feasibility plus practical advantages: independent skew/tail control and a closed-form quantile function that makes daily MDE refitting fast.</w:t>
      </w:r>
    </w:p>
    <w:p w14:paraId="60F35B14" w14:textId="77777777" w:rsidR="00013474" w:rsidRDefault="00013474"/>
    <w:p w14:paraId="72FA0134" w14:textId="77777777" w:rsidR="00013474" w:rsidRDefault="00000000">
      <w:r>
        <w:rPr>
          <w:b/>
        </w:rPr>
        <w:t>E4. [M] Your PIT/KS test assumes iid PITs, but overlapping h = 5 forecasts make them serially dependent. The KS p-value is not exact.</w:t>
      </w:r>
    </w:p>
    <w:p w14:paraId="7C0D1A27" w14:textId="77777777" w:rsidR="00013474" w:rsidRDefault="00000000">
      <w:r>
        <w:t>Fair point. The KS result should be read as descriptive of calibration rather than an exact-size test; dependence inflates the effective KS size modestly. A block-bootstrap or Berkowitz-type correction is the rigorous fix and a good future refinement.</w:t>
      </w:r>
    </w:p>
    <w:p w14:paraId="1DB14A86" w14:textId="77777777" w:rsidR="00013474" w:rsidRDefault="00013474"/>
    <w:p w14:paraId="3584B000" w14:textId="77777777" w:rsidR="00013474" w:rsidRDefault="00000000">
      <w:r>
        <w:rPr>
          <w:b/>
        </w:rPr>
        <w:t>E5. [m] Does the MDE always converge? What if the JSU cannot match a skeleton?</w:t>
      </w:r>
    </w:p>
    <w:p w14:paraId="3E60C81E" w14:textId="77777777" w:rsidR="00013474" w:rsidRDefault="00000000">
      <w:r>
        <w:t>Initialization at the median/IQR with symmetric shape priors, tolerance 1e-10; convergence is monitored across all origins and residual patterns flagged. No systematic failures occurred.</w:t>
      </w:r>
    </w:p>
    <w:p w14:paraId="21E9F1C1" w14:textId="77777777" w:rsidR="00013474" w:rsidRDefault="00013474"/>
    <w:p w14:paraId="26EC3E33" w14:textId="77777777" w:rsidR="00013474" w:rsidRDefault="00000000">
      <w:pPr>
        <w:pStyle w:val="Heading2"/>
      </w:pPr>
      <w:r>
        <w:t>F. Risk metrics and backtesting</w:t>
      </w:r>
    </w:p>
    <w:p w14:paraId="501AF023" w14:textId="77777777" w:rsidR="00013474" w:rsidRDefault="00000000">
      <w:r>
        <w:rPr>
          <w:b/>
        </w:rPr>
        <w:t>F1. [m] VaR and ES quoted at 97.5% but the regression grid has no 0.025 quantile.</w:t>
      </w:r>
    </w:p>
    <w:p w14:paraId="347B3EBD" w14:textId="77777777" w:rsidR="00013474" w:rsidRDefault="00000000">
      <w:r>
        <w:t>The 2.5th percentile is read from the fitted JSU, which interpolates between the 0.01 and 0.05 targets — following the Basel III FRTB convention for ES. Calibration of the whole shape is what the PIT certifies.</w:t>
      </w:r>
    </w:p>
    <w:p w14:paraId="7722B232" w14:textId="77777777" w:rsidR="00013474" w:rsidRDefault="00013474"/>
    <w:p w14:paraId="091B2AB1" w14:textId="77777777" w:rsidR="00013474" w:rsidRDefault="00000000">
      <w:r>
        <w:rPr>
          <w:b/>
        </w:rPr>
        <w:t>F2. [M] All three models show pi-hat below 0.95 (0.934–0.939). Isn't that a systematic downward bias in coverage?</w:t>
      </w:r>
    </w:p>
    <w:p w14:paraId="72418BF5" w14:textId="77777777" w:rsidR="00013474" w:rsidRDefault="00000000">
      <w:r>
        <w:t>The deviations are individually insignificant (Kupiec p between 0.12 and 0.23), but the common direction is honestly noted: slight under-coverage consistent with marginally thin upper envelopes. The fallout audit shows exceedances are small, which bounds the economic consequence.</w:t>
      </w:r>
    </w:p>
    <w:p w14:paraId="57A33708" w14:textId="77777777" w:rsidR="00013474" w:rsidRDefault="00013474"/>
    <w:p w14:paraId="2B82FFA8" w14:textId="77777777" w:rsidR="00013474" w:rsidRDefault="00000000">
      <w:r>
        <w:rPr>
          <w:b/>
        </w:rPr>
        <w:t>F3. [m] Where are the Expected Shortfall backtest results (Acerbi–Szekely)?</w:t>
      </w:r>
    </w:p>
    <w:p w14:paraId="5B968A06" w14:textId="77777777" w:rsidR="00013474" w:rsidRDefault="00000000">
      <w:r>
        <w:t>Implemented in the module and subject to the same overlap caveat; be ready to show the numbers in the appendix or state their status plainly if not tabulated.</w:t>
      </w:r>
    </w:p>
    <w:p w14:paraId="3939F8A6" w14:textId="77777777" w:rsidR="00013474" w:rsidRDefault="00013474"/>
    <w:p w14:paraId="0004C470" w14:textId="77777777" w:rsidR="00013474" w:rsidRDefault="00000000">
      <w:r>
        <w:rPr>
          <w:b/>
        </w:rPr>
        <w:t>F4. [m] Two different out-of-sample windows (2023–26 and 2012–26) look like cherry-picking.</w:t>
      </w:r>
    </w:p>
    <w:p w14:paraId="51F09EC7" w14:textId="77777777" w:rsidR="00013474" w:rsidRDefault="00000000">
      <w:r>
        <w:t>Stated by design in the text: the shorter window equalizes coverage counts across models that need burn-in; the longer window maximizes the span for density and entropy series. Both are genuine OOS outputs of the same pipeline and each table states its sample.</w:t>
      </w:r>
    </w:p>
    <w:p w14:paraId="17082AF0" w14:textId="77777777" w:rsidR="00013474" w:rsidRDefault="00013474"/>
    <w:p w14:paraId="2F63F714" w14:textId="77777777" w:rsidR="00013474" w:rsidRDefault="00000000">
      <w:pPr>
        <w:pStyle w:val="Heading2"/>
      </w:pPr>
      <w:r>
        <w:t>G. Early warning system</w:t>
      </w:r>
    </w:p>
    <w:p w14:paraId="290A9575" w14:textId="77777777" w:rsidR="00013474" w:rsidRDefault="00000000">
      <w:r>
        <w:rPr>
          <w:b/>
        </w:rPr>
        <w:t>G1. [C] The entropy indicator is computed from an h = 5-ahead forecast, so part of the measured lead is mechanical. Are you discovering anticipation or engineering it?</w:t>
      </w:r>
    </w:p>
    <w:p w14:paraId="16145F28" w14:textId="77777777" w:rsidR="00013474" w:rsidRDefault="00000000">
      <w:r>
        <w:t>Acknowledged in the thesis footnote. The tests are framed as confirming that the anticipatory content is statistically detectable in realized returns, not discovered by accident; moreover the measured leads (6–16 days) exceed the mechanical h = 5 component.</w:t>
      </w:r>
    </w:p>
    <w:p w14:paraId="2693371B" w14:textId="77777777" w:rsidR="00013474" w:rsidRDefault="00013474"/>
    <w:p w14:paraId="78B5DBC6" w14:textId="77777777" w:rsidR="00013474" w:rsidRDefault="00000000">
      <w:r>
        <w:rPr>
          <w:b/>
        </w:rPr>
        <w:t>G2. [C] Granger regressions with 16–22 lags (~40 parameters), evaluated in-sample. Overfitting?</w:t>
      </w:r>
    </w:p>
    <w:p w14:paraId="73BD3A61" w14:textId="77777777" w:rsidR="00013474" w:rsidRDefault="00000000">
      <w:r>
        <w:t>Conceded verbatim in the thesis: results are "suggestive rather than definitive," and in-sample predictability cannot be separated from overfitting without a formal out-of-sample forecasting exercise — which is the stated next step. The sample (2,167 obs) leaves ample degrees of freedom.</w:t>
      </w:r>
    </w:p>
    <w:p w14:paraId="3D759A64" w14:textId="77777777" w:rsidR="00013474" w:rsidRDefault="00013474"/>
    <w:p w14:paraId="63B0D19B" w14:textId="77777777" w:rsidR="00013474" w:rsidRDefault="00000000">
      <w:r>
        <w:rPr>
          <w:b/>
        </w:rPr>
        <w:t>G3. [M] You difference entropy but keep returns in levels in the same regression. Mixed integration orders?</w:t>
      </w:r>
    </w:p>
    <w:p w14:paraId="11661B00" w14:textId="77777777" w:rsidR="00013474" w:rsidRDefault="00000000">
      <w:r>
        <w:t>Both series are stationary after their respective treatments: returns are already log-differences of prices; entropy is differenced to remove persistent level shifts during prolonged stress. Differencing returns again would over-difference and attenuate the lead-lag signal.</w:t>
      </w:r>
    </w:p>
    <w:p w14:paraId="152693DD" w14:textId="77777777" w:rsidR="00013474" w:rsidRDefault="00013474"/>
    <w:p w14:paraId="040335FE" w14:textId="77777777" w:rsidR="00013474" w:rsidRDefault="00000000">
      <w:r>
        <w:rPr>
          <w:b/>
        </w:rPr>
        <w:t>G4. [M] Right-tail (upside) entropy predicting weaker returns is economically odd. Explain the sign.</w:t>
      </w:r>
    </w:p>
    <w:p w14:paraId="0A3B074D" w14:textId="77777777" w:rsidR="00013474" w:rsidRDefault="00000000">
      <w:r>
        <w:t xml:space="preserve">Rising right-tail dispersion accompanies geopolitical escalation and precautionary re-pricing; over the sample, elevated distributional stress of either tail precedes softer realized </w:t>
      </w:r>
      <w:r>
        <w:lastRenderedPageBreak/>
        <w:t>returns — the same channel as the GaR paradigm. The sign is uniform across all three indicators, supporting coherence.</w:t>
      </w:r>
    </w:p>
    <w:p w14:paraId="1593C707" w14:textId="77777777" w:rsidR="00013474" w:rsidRDefault="00013474"/>
    <w:p w14:paraId="614717E8" w14:textId="77777777" w:rsidR="00013474" w:rsidRDefault="00000000">
      <w:r>
        <w:rPr>
          <w:b/>
        </w:rPr>
        <w:t>G5. [M] The same sample generated and tested the EWS hypothesis. Data snooping?</w:t>
      </w:r>
    </w:p>
    <w:p w14:paraId="7F6CFA3E" w14:textId="77777777" w:rsidR="00013474" w:rsidRDefault="00000000">
      <w:r>
        <w:t>The indicator was fixed ex ante by pipeline design (baseline, window, horizon, tail split all inherited from earlier steps, not tuned to the tests). Still, validation on an untouched sample or a real-time exercise is the honest next step.</w:t>
      </w:r>
    </w:p>
    <w:p w14:paraId="12C909FF" w14:textId="77777777" w:rsidR="00013474" w:rsidRDefault="00013474"/>
    <w:p w14:paraId="45913DA6" w14:textId="77777777" w:rsidR="00013474" w:rsidRDefault="00000000">
      <w:r>
        <w:rPr>
          <w:b/>
        </w:rPr>
        <w:t>G6. [m] Peak squared correlations of 1–6% — is this an "early warning system" or a weak correlate?</w:t>
      </w:r>
    </w:p>
    <w:p w14:paraId="6FF6E41D" w14:textId="77777777" w:rsidR="00013474" w:rsidRDefault="00000000">
      <w:r>
        <w:t>The thesis calibrates the claim itself: one input among several, not a standalone trigger. Statistical detectability at daily frequency in crude oil is the finding; operational thresholds are future work (probit traffic light, ROC/AUC).</w:t>
      </w:r>
    </w:p>
    <w:p w14:paraId="6D9A326E" w14:textId="77777777" w:rsidR="00013474" w:rsidRDefault="00013474"/>
    <w:p w14:paraId="4F8D9694" w14:textId="77777777" w:rsidR="00013474" w:rsidRDefault="00000000">
      <w:r>
        <w:rPr>
          <w:b/>
        </w:rPr>
        <w:t>G7. [m] The Iran case is one anecdote. How many days ahead exactly did the system warn?</w:t>
      </w:r>
    </w:p>
    <w:p w14:paraId="05D685E9" w14:textId="77777777" w:rsidR="00013474" w:rsidRDefault="00000000">
      <w:r>
        <w:t>It is presented as an illustration; the systematic evidence is the CCF/Granger battery (leads of 6–16 trading days over 2012–2026). Do not quote an event-specific day count the thesis does not contain.</w:t>
      </w:r>
    </w:p>
    <w:p w14:paraId="11DBDC77" w14:textId="77777777" w:rsidR="00013474" w:rsidRDefault="00013474"/>
    <w:p w14:paraId="3AA58A23" w14:textId="77777777" w:rsidR="00013474" w:rsidRDefault="00000000">
      <w:r>
        <w:rPr>
          <w:b/>
        </w:rPr>
        <w:t>G8. [m] Multiple testing: three indicators, many lags.</w:t>
      </w:r>
    </w:p>
    <w:p w14:paraId="7BB1306F" w14:textId="77777777" w:rsidR="00013474" w:rsidRDefault="00000000">
      <w:r>
        <w:t>The Granger F-statistics are significant at p &lt; 0.001; a Bonferroni correction across three indicators leaves all conclusions intact.</w:t>
      </w:r>
    </w:p>
    <w:p w14:paraId="579C1CB7" w14:textId="77777777" w:rsidR="00013474" w:rsidRDefault="00013474"/>
    <w:p w14:paraId="1B068534" w14:textId="77777777" w:rsidR="00013474" w:rsidRDefault="00000000">
      <w:pPr>
        <w:pStyle w:val="Heading2"/>
      </w:pPr>
      <w:r>
        <w:t>H. Big-picture and defense-level questions</w:t>
      </w:r>
    </w:p>
    <w:p w14:paraId="6430E4DE" w14:textId="77777777" w:rsidR="00013474" w:rsidRDefault="00000000">
      <w:r>
        <w:rPr>
          <w:b/>
        </w:rPr>
        <w:t>H1. Is this just Adrian et al. (2019) with different data?</w:t>
      </w:r>
    </w:p>
    <w:p w14:paraId="42C915B4" w14:textId="77777777" w:rsidR="00013474" w:rsidRDefault="00000000">
      <w:r>
        <w:t>No: direct multi-step quantile forecasting (GaR is one-step), MDE fitting from a 7-point skeleton, the JSU family, breach-memory augmentations, a uniform backtesting battery, and above all the tested early-warning layer — GaR describes vulnerability, OaR is shown to anticipate it.</w:t>
      </w:r>
    </w:p>
    <w:p w14:paraId="37527A4D" w14:textId="77777777" w:rsidR="00013474" w:rsidRDefault="00013474"/>
    <w:p w14:paraId="722AA2A1" w14:textId="77777777" w:rsidR="00013474" w:rsidRDefault="00000000">
      <w:r>
        <w:rPr>
          <w:b/>
        </w:rPr>
        <w:t>H2. Why not a GARCH-family density model (e.g., EGARCH-t) as benchmark?</w:t>
      </w:r>
    </w:p>
    <w:p w14:paraId="68ADDF57" w14:textId="77777777" w:rsidR="00013474" w:rsidRDefault="00000000">
      <w:r>
        <w:lastRenderedPageBreak/>
        <w:t>GARCH imposes a global distributional assumption and symmetric-ish variance dynamics up front; quantile regression lets geopolitical risk load differently on each quantile, which is the identifying premise. A GARCH benchmark is a fair addition for future work.</w:t>
      </w:r>
    </w:p>
    <w:p w14:paraId="715DF953" w14:textId="77777777" w:rsidR="00013474" w:rsidRDefault="00013474"/>
    <w:p w14:paraId="3D32D47F" w14:textId="77777777" w:rsidR="00013474" w:rsidRDefault="00000000">
      <w:r>
        <w:rPr>
          <w:b/>
        </w:rPr>
        <w:t>H3. Who is the user of this framework?</w:t>
      </w:r>
    </w:p>
    <w:p w14:paraId="620EE2FA" w14:textId="77777777" w:rsidR="00013474" w:rsidRDefault="00000000">
      <w:r>
        <w:t>Risk managers (hedge ratios, margins — ES at 97.5% aligns with Basel III FRTB), sovereign/oil-exporter surveillance in the IMF GaR tradition, and central banks monitoring imported-inflation risk.</w:t>
      </w:r>
    </w:p>
    <w:p w14:paraId="70267EAA" w14:textId="77777777" w:rsidR="00013474" w:rsidRDefault="00013474"/>
    <w:p w14:paraId="0FD6248A" w14:textId="77777777" w:rsidR="00013474" w:rsidRDefault="00000000">
      <w:r>
        <w:rPr>
          <w:b/>
        </w:rPr>
        <w:t>H4. What is the single weakest link in the thesis?</w:t>
      </w:r>
    </w:p>
    <w:p w14:paraId="25448173" w14:textId="77777777" w:rsidR="00013474" w:rsidRDefault="00000000">
      <w:r>
        <w:t>Say it before they do: the EWS evidence is in-sample Granger predictability with a partly mechanical lead — statistically strong but not yet an out-of-sample trading/warning test. That is precisely the next-steps agenda (probit indicator, ROC/AUC threshold, real-time validation).</w:t>
      </w:r>
    </w:p>
    <w:p w14:paraId="5026DEE9" w14:textId="77777777" w:rsidR="00013474" w:rsidRDefault="00013474"/>
    <w:p w14:paraId="7E426B14" w14:textId="77777777" w:rsidR="00013474" w:rsidRDefault="00000000">
      <w:r>
        <w:rPr>
          <w:b/>
        </w:rPr>
        <w:t>H5. [m] Typos and style flags to fix before printing.</w:t>
      </w:r>
    </w:p>
    <w:p w14:paraId="5512E7AF" w14:textId="77777777" w:rsidR="00013474" w:rsidRDefault="00000000">
      <w:r>
        <w:t>"short enought" (model-selection section), "Iacovello/Iacoviello" spelling, 2018-vs-2022 GPR citation, ensure every figure reference number matches the graphical annex after reordering.</w:t>
      </w:r>
    </w:p>
    <w:p w14:paraId="514F0382" w14:textId="77777777" w:rsidR="00013474" w:rsidRDefault="00013474"/>
    <w:p w14:paraId="5F467162" w14:textId="77777777" w:rsidR="00013474" w:rsidRDefault="00000000">
      <w:pPr>
        <w:pStyle w:val="Heading1"/>
      </w:pPr>
      <w:r>
        <w:t>Section II: Maximum Rigor Deep Dives (Round 2)</w:t>
      </w:r>
    </w:p>
    <w:p w14:paraId="2C78B0AB" w14:textId="77777777" w:rsidR="00013474" w:rsidRDefault="00013474"/>
    <w:p w14:paraId="2D1E5176" w14:textId="77777777" w:rsidR="00013474" w:rsidRDefault="00000000">
      <w:r>
        <w:rPr>
          <w:b/>
        </w:rPr>
        <w:t>Q1. Two-step estimation error.</w:t>
      </w:r>
      <w:r>
        <w:t xml:space="preserve"> Your MDE treats the seven quantile forecasts as data, but they are themselves estimates with sampling error that varies across tau — tail quantiles are far noisier than central ones. That error propagates into Theta-hat, then into VaR, ES, and the entropy series, yet nowhere in the thesis do I see a standard error, a confidence band, or any acknowledgment that your entropy indicator is a noisy statistic rather than an observed quantity. How would you even construct a confidence band around the KL series, and how do you know its spikes are signal rather than estimation noise?</w:t>
      </w:r>
    </w:p>
    <w:p w14:paraId="7F27DE53" w14:textId="77777777" w:rsidR="00013474" w:rsidRDefault="00000000">
      <w:r>
        <w:rPr>
          <w:b/>
        </w:rPr>
        <w:t>Model answer:</w:t>
      </w:r>
      <w:r>
        <w:t xml:space="preserve"> Concede fully — the pipeline delivers point estimates at every stage and uncertainty is not propagated; this is a known limitation of the entire GaR literature, including Adrian et al., not a defect unique to this thesis. The construction I would use: a moving-block bootstrap of the training window at each origin, re-running quantile </w:t>
      </w:r>
      <w:r>
        <w:lastRenderedPageBreak/>
        <w:t>regression, MDE, and KL per replication to get pointwise bands. Two facts mitigate the concern in practice: the PIT battery validates the fitted densities against realized outcomes, which bounds systematic first-stage error; and the EWS tests use the entropy series only through its correlation with future returns — classical measurement error in a regressor attenuates that correlation, so the reported lead-lag evidence is, if anything, biased toward zero. The significant results survive despite the noise, not because of it.</w:t>
      </w:r>
    </w:p>
    <w:p w14:paraId="37891AC7" w14:textId="77777777" w:rsidR="00013474" w:rsidRDefault="00013474"/>
    <w:p w14:paraId="21D50B41" w14:textId="77777777" w:rsidR="00013474" w:rsidRDefault="00000000">
      <w:r>
        <w:rPr>
          <w:b/>
        </w:rPr>
        <w:t>Q2. Generated regressors in the Granger tests.</w:t>
      </w:r>
      <w:r>
        <w:t xml:space="preserve"> The entropy series X_t entering your Granger regressions is a generated variable — a function of parameters estimated in earlier steps. Pagan (1984) tells us the F-test's size is distorted when a regressor is generated. Your p &lt; 0.001 may be an artifact. Respond.</w:t>
      </w:r>
    </w:p>
    <w:p w14:paraId="051D709E" w14:textId="77777777" w:rsidR="00013474" w:rsidRDefault="00000000">
      <w:r>
        <w:rPr>
          <w:b/>
        </w:rPr>
        <w:t>Model answer:</w:t>
      </w:r>
      <w:r>
        <w:t xml:space="preserve"> The Pagan critique applies with full force to interpreting the F-statistic's exact size, and the thesis already downgrades the claim to "suggestive rather than definitive" for related reasons. Three points in defense. First, under the null that entropy carries no predictive content, the generated-regressor problem affects efficiency, not the null distribution's location — coefficients on irrelevant generated regressors are still centered at zero, so spurious rejection requires the first-stage estimation error itself to correlate with future returns, which is hard to construct at a 6-16 day lead. Second, the margin is enormous: F around 29 versus critical values near 1.5; size distortion of the plausible magnitude does not bridge that gap. Third, the clean fix is a bootstrap under the null that resamples the whole two-step pipeline — the right robustness exercise for the paper version.</w:t>
      </w:r>
    </w:p>
    <w:p w14:paraId="5576131F" w14:textId="77777777" w:rsidR="00013474" w:rsidRDefault="00013474"/>
    <w:p w14:paraId="2DC86F2B" w14:textId="77777777" w:rsidR="00013474" w:rsidRDefault="00000000">
      <w:r>
        <w:rPr>
          <w:b/>
        </w:rPr>
        <w:t>Q3. Definition of the target.</w:t>
      </w:r>
      <w:r>
        <w:t xml:space="preserve"> Be precise: is Y_{t+h} the one-day log-return realized at date t+h, or the cumulative h-day return from t to t+h? Your direct-forecasting notation reads like the former; your VaR section states "the return over the next h trading days," which is the latter. These are different random variables with different distributions, and only one of them makes your "no square-root-of-time scaling" claim valid. Which is it, and is it consistent in the code?</w:t>
      </w:r>
    </w:p>
    <w:p w14:paraId="7D5D9577" w14:textId="77777777" w:rsidR="00013474" w:rsidRDefault="00000000">
      <w:r>
        <w:rPr>
          <w:b/>
        </w:rPr>
        <w:t>Model answer:</w:t>
      </w:r>
      <w:r>
        <w:t xml:space="preserve"> This must be answered from the code with total precision — verify before the defense, because the two objects differ and the thesis text can be read both ways. If the target is the cumulative h-day return, the fitted JSU is an h-day density, the no-time-scaling claim is exact, and the MA(h-1) overlap structure follows mechanically. If it is the single-day return at t+h, the VaR is a one-day VaR at a delayed horizon and the "return over the next h trading days" sentence must be corrected. Whichever the code implements, state it, show the line, and fix the inconsistent sentence. Do not improvise on this one — a tribunal that catches an inconsistent answer here will question everything downstream.</w:t>
      </w:r>
    </w:p>
    <w:p w14:paraId="0A3BF610" w14:textId="77777777" w:rsidR="00013474" w:rsidRDefault="00013474"/>
    <w:p w14:paraId="395B72CB" w14:textId="77777777" w:rsidR="00013474" w:rsidRDefault="00000000">
      <w:r>
        <w:rPr>
          <w:b/>
        </w:rPr>
        <w:lastRenderedPageBreak/>
        <w:t>Q4. Tail sparsity.</w:t>
      </w:r>
      <w:r>
        <w:t xml:space="preserve"> At tau = 0.01 with a 1,000-observation window, the check loss is effectively identified by roughly ten observations in the tail region, and the asymptotic variance of the quantile estimator scales with the inverse squared density at the quantile — which is tiny in the tail. Your 0.01 and 0.99 forecasts are therefore extremely high-variance objects, and they are precisely the points that pin down the JSU tail parameter delta. Why should I believe your fitted tails at all?</w:t>
      </w:r>
    </w:p>
    <w:p w14:paraId="044FAB51" w14:textId="77777777" w:rsidR="00013474" w:rsidRDefault="00000000">
      <w:r>
        <w:rPr>
          <w:b/>
        </w:rPr>
        <w:t>Model answer:</w:t>
      </w:r>
      <w:r>
        <w:t xml:space="preserve"> The sparsity problem is real and is the binding constraint on any tail method with finite windows — historical simulation at 1% suffers it worse. Three structural mitigations: the parametric JSU pools information across all seven quantiles, so delta is disciplined by the 0.05/0.95 and interquartile points as well, not by the extreme pair alone; the MDE is over-identified, so an erratic extreme quantile shows up as a large residual rather than silently distorting the fit; and the empirical verdict is delegated to out-of-sample tests — the fallout audit finds 97-98% envelope coverage with no catastrophic overshoot, and the PIT does not reject. Accept the variance, verify the calibration.</w:t>
      </w:r>
    </w:p>
    <w:p w14:paraId="7F6C0688" w14:textId="77777777" w:rsidR="00013474" w:rsidRDefault="00013474"/>
    <w:p w14:paraId="6E4393E1" w14:textId="77777777" w:rsidR="00013474" w:rsidRDefault="00000000">
      <w:r>
        <w:rPr>
          <w:b/>
        </w:rPr>
        <w:t>Q5. Global linearity across quantiles.</w:t>
      </w:r>
      <w:r>
        <w:t xml:space="preserve"> You assume the conditional quantile function is linear in covariates at every tau, over 36 years, through the 2008, 2014, 2020, and 2022 episodes. Linear quantile planes with different slopes must eventually cross somewhere in the covariate space, so your no-crossing check on the observed sample is a statement about the data cloud, not about the model. Moreover, Brignone et al. — whom you cite — argue transmission is non-linear in the size of the shock. Why is a linear specification defensible for exactly the tail episodes you care about?</w:t>
      </w:r>
    </w:p>
    <w:p w14:paraId="318CFDF9" w14:textId="77777777" w:rsidR="00013474" w:rsidRDefault="00000000">
      <w:r>
        <w:rPr>
          <w:b/>
        </w:rPr>
        <w:t>Model answer:</w:t>
      </w:r>
      <w:r>
        <w:t xml:space="preserve"> Three-part answer. Conceptually, linearity in parameters is less restrictive than it sounds: the MA-7 transform and log-differences are already non-linear features, and quantile-specific slopes deliver distributional non-linearity — the model is non-linear in the outcome distribution even if linear in X. Practically, no-crossing over the observed support is the relevant guarantee for every forecast actually issued; rearrangement is available if extrapolation beyond the support were needed. On Brignone: their size-dependence concerns the structural response of prices; here the size non-linearity is partially captured because a large GPR spike moves the covariate far along its axis and the tail slopes are steeper than the central ones. A spline or interaction-in-GPR variant is a legitimate robustness extension; it costs degrees of freedom exactly where the data are thinnest.</w:t>
      </w:r>
    </w:p>
    <w:p w14:paraId="08F80E34" w14:textId="77777777" w:rsidR="00013474" w:rsidRDefault="00013474"/>
    <w:p w14:paraId="2F45A514" w14:textId="77777777" w:rsidR="00013474" w:rsidRDefault="00000000">
      <w:r>
        <w:rPr>
          <w:b/>
        </w:rPr>
        <w:t>Q6. Kupiec under dependence — your footnote overreaches.</w:t>
      </w:r>
      <w:r>
        <w:t xml:space="preserve"> You argue overlap "inflates the variance of the breach count but not its mean, so the Kupiec point assessment of frequency is robust." But the Kupiec LR statistic is calibrated against chi-squared(1) under iid Bernoulli hits. With MA(4) dependence the variance of x is larger, so the LR over-rejects: your test is oversized. You then report failures to reject — with an oversized test, </w:t>
      </w:r>
      <w:r>
        <w:lastRenderedPageBreak/>
        <w:t>failure to reject is weak evidence in your favor, but you cannot claim the test's nominal size holds. Defend the footnote as written.</w:t>
      </w:r>
    </w:p>
    <w:p w14:paraId="1DDAAEFC" w14:textId="77777777" w:rsidR="00013474" w:rsidRDefault="00000000">
      <w:r>
        <w:rPr>
          <w:b/>
        </w:rPr>
        <w:t>Model answer:</w:t>
      </w:r>
      <w:r>
        <w:t xml:space="preserve"> The examiner is right that the footnote's phrasing conflates the unbiasedness of pi-hat with the size of the LR test — the correct statement is: pi-hat remains unbiased; the LR statistic's null distribution is inflated by positive dependence, making the test conservative-against-the-model (over-rejecting). Then turn the direction of the error to advantage: the reported result is a failure to reject on a test that, if anything, rejects too easily under overlap — so the pass is stronger, not weaker, than nominal. Commit to rewording the footnote and, for the paper version, to a block-bootstrap null for the coverage test as the clean solution.</w:t>
      </w:r>
    </w:p>
    <w:p w14:paraId="6977AE4B" w14:textId="77777777" w:rsidR="00013474" w:rsidRDefault="00013474"/>
    <w:p w14:paraId="2F666EA8" w14:textId="77777777" w:rsidR="00013474" w:rsidRDefault="00000000">
      <w:r>
        <w:rPr>
          <w:b/>
        </w:rPr>
        <w:t>Q7. Is entropy just repackaged volatility?</w:t>
      </w:r>
      <w:r>
        <w:t xml:space="preserve"> Your KL divergence against a recalibrated Normal spikes when the fitted tails fatten — but tails fatten when realized volatility rises. RV is in your conditioning set, so the fitted density inherits it. Your Granger test conditions only on the returns' own lags — not on volatility. If I add lagged RV to the restricted model, does entropy survive? If you have not run that regression, your early warning claim may reduce to "volatility predicts returns," which is neither new nor yours.</w:t>
      </w:r>
    </w:p>
    <w:p w14:paraId="07AFDCBB" w14:textId="77777777" w:rsidR="00013474" w:rsidRDefault="00000000">
      <w:r>
        <w:rPr>
          <w:b/>
        </w:rPr>
        <w:t>Model answer:</w:t>
      </w:r>
      <w:r>
        <w:t xml:space="preserve"> This is the single most dangerous question in the batch; prepare the augmented regression before the defense if at all possible. The structural reply: KL is not a monotone function of variance — it responds to skewness and kurtosis shifts at fixed variance, and the tail decomposition (left and right components mutually uncorrelated, r = -0.036) proves it contains directional information that a scalar volatility measure cannot carry. The conclusion of the thesis already frames the signal as responding to both geopolitical conditioning and broader volatility dynamics. But the decisive evidence is exactly the regression the examiner names — entropy lags added to returns-plus-RV lags. If it has been run, quote it; if not, concede it is the necessary next test and that the tail-asymmetry evidence is the current best argument for incremental content.</w:t>
      </w:r>
    </w:p>
    <w:p w14:paraId="00B3A02B" w14:textId="77777777" w:rsidR="00013474" w:rsidRDefault="00013474"/>
    <w:p w14:paraId="061447DF" w14:textId="77777777" w:rsidR="00013474" w:rsidRDefault="00000000">
      <w:r>
        <w:rPr>
          <w:b/>
        </w:rPr>
        <w:t>Q8. Bartlett bands and peak-picking.</w:t>
      </w:r>
      <w:r>
        <w:t xml:space="preserve"> Your CCF significance uses plus/minus 1.96 over root N, which is valid under the null of two iid series. Your entropy series is persistent and heteroskedastic even after differencing, and returns are conditionally heteroskedastic — the true band is wider. You then scan up to 30 lags and report the maximum correlation: an extreme-value statistic compared against a pointwise band. Both errors inflate significance. How much of your CCF evidence survives?</w:t>
      </w:r>
    </w:p>
    <w:p w14:paraId="5315FCF8" w14:textId="77777777" w:rsidR="00013474" w:rsidRDefault="00000000">
      <w:r>
        <w:rPr>
          <w:b/>
        </w:rPr>
        <w:t>Model answer:</w:t>
      </w:r>
      <w:r>
        <w:t xml:space="preserve"> Concede both mechanisms are real and quantify the margin. The peak correlations (0.25, 0.23) are five to six times the Bartlett band (0.042); a heteroskedasticity-robust band (e.g., the Bartlett formula with cross-products of sample autocorrelations, or a stationary-bootstrap band) plausibly widens by a factor of two, and a Bonferroni correction across 30 lags at the extreme would still leave the right-tail and full-entropy peaks </w:t>
      </w:r>
      <w:r>
        <w:lastRenderedPageBreak/>
        <w:t>significant, though the left-tail peak (0.11) becomes marginal. The honest restatement: the CCF is the descriptive lead-lag map; the inferential weight rests on the Granger tests, which condition on own history and are less exposed to both critiques.</w:t>
      </w:r>
    </w:p>
    <w:p w14:paraId="0D969BF5" w14:textId="77777777" w:rsidR="00013474" w:rsidRDefault="00013474"/>
    <w:p w14:paraId="65E9C2C5" w14:textId="77777777" w:rsidR="00013474" w:rsidRDefault="00000000">
      <w:r>
        <w:rPr>
          <w:b/>
        </w:rPr>
        <w:t>Q9. Near-nonidentification of the JSU in the MDE.</w:t>
      </w:r>
      <w:r>
        <w:t xml:space="preserve"> With seven target points and four parameters, the least-squares surface in the (gamma, delta) directions can be nearly flat — different shape pairs produce almost identical quantile fits over the observed range while implying very different densities beyond it. Did you inspect the time series of fitted parameters for erratic jumps, and how do you know two adjacent days' entropy difference reflects the market and not the optimizer hopping between near-equivalent local minima?</w:t>
      </w:r>
    </w:p>
    <w:p w14:paraId="53E1E551" w14:textId="77777777" w:rsidR="00013474" w:rsidRDefault="00000000">
      <w:r>
        <w:rPr>
          <w:b/>
        </w:rPr>
        <w:t>Model answer:</w:t>
      </w:r>
      <w:r>
        <w:t xml:space="preserve"> Acknowledge the flat-valley risk as intrinsic to fitting flexible families to few points. Defenses actually in the design: warm-start initialization anchored at the median and IQR gives the optimizer a consistent basin day after day; tolerance 1e-10 with monitored convergence; over-identification residuals flag degenerate fits; and coefficients are cached between refits so day-to-day density changes flow smoothly through covariates rather than through re-optimization. The direct check — plotting the four parameter paths for continuity — is cheap and should be shown in the appendix; if jumps existed at scale, they would appear as spurious spikes in the KL series, and the entropy series instead moves with identifiable stress episodes. Commit to reporting parameter-path stability in the revision.</w:t>
      </w:r>
    </w:p>
    <w:p w14:paraId="1C2747E5" w14:textId="77777777" w:rsidR="00013474" w:rsidRDefault="00013474"/>
    <w:p w14:paraId="29FDCC26" w14:textId="77777777" w:rsidR="00013474" w:rsidRDefault="00000000">
      <w:r>
        <w:rPr>
          <w:b/>
        </w:rPr>
        <w:t>Q10. The forking-paths problem.</w:t>
      </w:r>
      <w:r>
        <w:t xml:space="preserve"> I count at least eight discretionary choices: MA window 7, training window 1,000, refit interval 30, horizon 5, quantile grid, tail mark 0.95, Normal baseline, entropy differencing. That is a garden of forking paths with thousands of configurations, and you report results from one path with no sensitivity analysis and no pre-registration. Why should I believe the EWS result is not the one configuration in a hundred that works?</w:t>
      </w:r>
    </w:p>
    <w:p w14:paraId="088D8AE0" w14:textId="77777777" w:rsidR="00013474" w:rsidRDefault="00000000">
      <w:r>
        <w:rPr>
          <w:b/>
        </w:rPr>
        <w:t>Model answer:</w:t>
      </w:r>
      <w:r>
        <w:t xml:space="preserve"> Distinguish the two kinds of choices. Most were fixed by external convention before seeing EWS results, not tuned: h = 5 is the trading week, W = 1000 matches the VaR convention of roughly four years, the quantile grid replicates Adrian et al., the tail mark follows their decomposition, 97.5% follows Basel. The choices that could have been tuned — MA-7, the Normal baseline, differencing — have stated a priori rationales in the text (calendar-week basis, kurtosis detection, persistence removal). No grid search over configurations was run, so there was no selection across paths to hide; the flip side is that a sensitivity table across neighboring configurations is genuinely missing and is the first robustness exercise for the paper version. Being transparent about which choices are conventions and which are untested is the only honest answer here.</w:t>
      </w:r>
    </w:p>
    <w:p w14:paraId="39156846" w14:textId="77777777" w:rsidR="00013474" w:rsidRDefault="00013474"/>
    <w:p w14:paraId="054E286A" w14:textId="77777777" w:rsidR="00013474" w:rsidRDefault="00000000">
      <w:r>
        <w:rPr>
          <w:b/>
        </w:rPr>
        <w:lastRenderedPageBreak/>
        <w:t>Q11. Economic significance and the loss function of the user.</w:t>
      </w:r>
      <w:r>
        <w:t xml:space="preserve"> You claim leads of 6-16 days are "operationally meaningful." Show me the money: if a risk manager had used your entropy signal to time hedges over 2012-2026, what would her P&amp;L or her ES-violation record look like against a volatility-timing benchmark? Without a decision-theoretic evaluation — a utility-based or cost-loss backtest — "statistically detectable" does not license "operationally meaningful."</w:t>
      </w:r>
    </w:p>
    <w:p w14:paraId="22711BF6" w14:textId="77777777" w:rsidR="00013474" w:rsidRDefault="00000000">
      <w:r>
        <w:rPr>
          <w:b/>
        </w:rPr>
        <w:t>Model answer:</w:t>
      </w:r>
      <w:r>
        <w:t xml:space="preserve"> Concede the gap between statistical and economic significance; no trading or hedging backtest is in the thesis, and the phrase "operationally meaningful" refers to the length of the window, not to demonstrated P&amp;L. The prepared defense: the thesis deliberately stops at signal validation because a decision evaluation requires specifying the user's cost-loss ratio, and that is precisely the mapping the proposed next step builds — the probit traffic-light indicator with the ROC curve choosing the operating point where the false-alarm/missed-crisis trade-off matches the user's costs. AUC is the natural summary of economic usefulness independent of a specific cost ratio. It is scoped future work, and the thesis's own language ("one input among several") already refuses the stronger claim.</w:t>
      </w:r>
    </w:p>
    <w:p w14:paraId="684A81B5" w14:textId="77777777" w:rsidR="00013474" w:rsidRDefault="00013474"/>
    <w:p w14:paraId="0D5EF8B0" w14:textId="77777777" w:rsidR="00013474" w:rsidRDefault="00000000">
      <w:r>
        <w:rPr>
          <w:b/>
        </w:rPr>
        <w:t>Q12. Internal contradiction check.</w:t>
      </w:r>
      <w:r>
        <w:t xml:space="preserve"> In-sample, your GPR coefficient is negative through the lower-mid quantiles and positive around the 65th-75th percentile. Your literature review says geopolitical threats raise oil prices; your EWS says rising right-tail entropy precedes weaker returns. So: does geopolitical stress make oil go up, or down? Reconcile the three statements or admit the framework has no coherent economic story.</w:t>
      </w:r>
    </w:p>
    <w:p w14:paraId="0F773C0D" w14:textId="77777777" w:rsidR="00013474" w:rsidRDefault="00000000">
      <w:r>
        <w:rPr>
          <w:b/>
        </w:rPr>
        <w:t>Model answer:</w:t>
      </w:r>
      <w:r>
        <w:t xml:space="preserve"> The three statements describe different objects and are mutually consistent once stated carefully. The quantile coefficients describe the shape of the conditional distribution: higher GPR pushes the lower quantiles down and the upper-middle quantiles up — the distribution widens asymmetrically, which is simultaneously "threats raise upside risk" (Brignone's channel, the right tail) and "stress deepens downside exposure." The mean effect is small; the variance and asymmetry effects are the finding. The EWS result is a statement about temporal ordering, not contemporaneous sign: after distributional stress builds (both tails, but detectably the right one), realized returns over the following one to three weeks tend to be weaker — an escalation-then-resolution pattern consistent with precautionary pricing that partially unwinds. Contemporaneous widening plus subsequently weaker realized returns is exactly what a risk-premium build-up and decay looks like. The framework's story is coherent precisely because it refuses to collapse the effect into a single signed mean coefficient.</w:t>
      </w:r>
    </w:p>
    <w:p w14:paraId="6C477678" w14:textId="77777777" w:rsidR="00013474" w:rsidRDefault="00013474"/>
    <w:p w14:paraId="0C98B8D5" w14:textId="77777777" w:rsidR="00013474" w:rsidRDefault="00000000">
      <w:pPr>
        <w:pStyle w:val="Heading1"/>
      </w:pPr>
      <w:r>
        <w:t>Section III: Strategy &amp; Heat Maps</w:t>
      </w:r>
    </w:p>
    <w:p w14:paraId="59F771C2" w14:textId="77777777" w:rsidR="00013474" w:rsidRDefault="00013474"/>
    <w:p w14:paraId="04D40A07" w14:textId="77777777" w:rsidR="00013474" w:rsidRDefault="00000000">
      <w:pPr>
        <w:pStyle w:val="Heading2"/>
      </w:pPr>
      <w:r>
        <w:lastRenderedPageBreak/>
        <w:t>Quick Heat Map (Standard Q&amp;A)</w:t>
      </w:r>
    </w:p>
    <w:p w14:paraId="55916D42" w14:textId="77777777" w:rsidR="00013474" w:rsidRDefault="00000000">
      <w:r>
        <w:t>Toughest five, in likely order of attack:</w:t>
      </w:r>
    </w:p>
    <w:p w14:paraId="47195817" w14:textId="77777777" w:rsidR="00013474" w:rsidRDefault="00000000">
      <w:r>
        <w:t xml:space="preserve">1. </w:t>
      </w:r>
      <w:r>
        <w:rPr>
          <w:b/>
        </w:rPr>
        <w:t>E3:</w:t>
      </w:r>
      <w:r>
        <w:t xml:space="preserve"> Skewed-t not estimated.</w:t>
      </w:r>
    </w:p>
    <w:p w14:paraId="32553F66" w14:textId="77777777" w:rsidR="00013474" w:rsidRDefault="00000000">
      <w:r>
        <w:t xml:space="preserve">2. </w:t>
      </w:r>
      <w:r>
        <w:rPr>
          <w:b/>
        </w:rPr>
        <w:t>G1:</w:t>
      </w:r>
      <w:r>
        <w:t xml:space="preserve"> Mechanical lead.</w:t>
      </w:r>
    </w:p>
    <w:p w14:paraId="0B6E0C1E" w14:textId="77777777" w:rsidR="00013474" w:rsidRDefault="00000000">
      <w:r>
        <w:t xml:space="preserve">3. </w:t>
      </w:r>
      <w:r>
        <w:rPr>
          <w:b/>
        </w:rPr>
        <w:t>G2:</w:t>
      </w:r>
      <w:r>
        <w:t xml:space="preserve"> In-sample Granger.</w:t>
      </w:r>
    </w:p>
    <w:p w14:paraId="17D38922" w14:textId="77777777" w:rsidR="00013474" w:rsidRDefault="00000000">
      <w:r>
        <w:t xml:space="preserve">4. </w:t>
      </w:r>
      <w:r>
        <w:rPr>
          <w:b/>
        </w:rPr>
        <w:t>E4:</w:t>
      </w:r>
      <w:r>
        <w:t xml:space="preserve"> PIT under overlap.</w:t>
      </w:r>
    </w:p>
    <w:p w14:paraId="2940939A" w14:textId="77777777" w:rsidR="00013474" w:rsidRDefault="00000000">
      <w:r>
        <w:t xml:space="preserve">5. </w:t>
      </w:r>
      <w:r>
        <w:rPr>
          <w:b/>
        </w:rPr>
        <w:t>C1:</w:t>
      </w:r>
      <w:r>
        <w:t xml:space="preserve"> Overlap dependence.</w:t>
      </w:r>
    </w:p>
    <w:p w14:paraId="2D6B41E7" w14:textId="77777777" w:rsidR="00013474" w:rsidRDefault="00000000">
      <w:r>
        <w:rPr>
          <w:i/>
        </w:rPr>
        <w:t>All five have honest answers because the thesis already concedes the limitation in the text — lead with the concession, then give the design rationale.</w:t>
      </w:r>
    </w:p>
    <w:p w14:paraId="06CC1549" w14:textId="77777777" w:rsidR="00013474" w:rsidRDefault="00013474"/>
    <w:p w14:paraId="5E59473E" w14:textId="77777777" w:rsidR="00013474" w:rsidRDefault="00000000">
      <w:pPr>
        <w:pStyle w:val="Heading2"/>
      </w:pPr>
      <w:r>
        <w:t>Order of Battle (Maximum Rigor Round)</w:t>
      </w:r>
    </w:p>
    <w:p w14:paraId="220EF86E" w14:textId="77777777" w:rsidR="00013474" w:rsidRDefault="00000000">
      <w:r>
        <w:t>If the tribunal is competent, expect:</w:t>
      </w:r>
    </w:p>
    <w:p w14:paraId="335D64CF" w14:textId="77777777" w:rsidR="00013474" w:rsidRDefault="00000000">
      <w:r>
        <w:t xml:space="preserve">• </w:t>
      </w:r>
      <w:r>
        <w:rPr>
          <w:b/>
        </w:rPr>
        <w:t>Q3 (Target definition) and Q7 (Entropy vs. RV)</w:t>
      </w:r>
      <w:r>
        <w:t xml:space="preserve"> early. Both have a factual component you must verify in the code beforehand.</w:t>
      </w:r>
    </w:p>
    <w:p w14:paraId="20F132AA" w14:textId="77777777" w:rsidR="00013474" w:rsidRDefault="00000000">
      <w:r>
        <w:t xml:space="preserve">• </w:t>
      </w:r>
      <w:r>
        <w:rPr>
          <w:b/>
        </w:rPr>
        <w:t>Q1, Q2, Q6, Q8 (Inference under two-step estimation and dependence):</w:t>
      </w:r>
      <w:r>
        <w:t xml:space="preserve"> Answer the first fully and cross-reference.</w:t>
      </w:r>
    </w:p>
    <w:p w14:paraId="603178F3" w14:textId="77777777" w:rsidR="00013474" w:rsidRDefault="00000000">
      <w:r>
        <w:t xml:space="preserve">• </w:t>
      </w:r>
      <w:r>
        <w:rPr>
          <w:b/>
        </w:rPr>
        <w:t>Q10 and Q11 (Philosophy of method):</w:t>
      </w:r>
      <w:r>
        <w:t xml:space="preserve"> Concede structure, claim scope.</w:t>
      </w:r>
    </w:p>
    <w:p w14:paraId="64F9F045" w14:textId="77777777" w:rsidR="00013474" w:rsidRDefault="00000000">
      <w:r>
        <w:t xml:space="preserve">• </w:t>
      </w:r>
      <w:r>
        <w:rPr>
          <w:b/>
        </w:rPr>
        <w:t>Q12 (The trap question):</w:t>
      </w:r>
      <w:r>
        <w:t xml:space="preserve"> Rehearse the three-object reconciliation until it is fluent, because a stumble there reads as not understanding your own results.</w:t>
      </w:r>
    </w:p>
    <w:sectPr w:rsidR="0001347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e Alejandro Rodriguez Garrido" w:date="2026-07-05T13:16:00Z" w:initials="JR">
    <w:p w14:paraId="76B5A81C" w14:textId="77777777" w:rsidR="007410BB" w:rsidRDefault="007410BB" w:rsidP="007410BB">
      <w:pPr>
        <w:pStyle w:val="CommentText"/>
      </w:pPr>
      <w:r>
        <w:rPr>
          <w:rStyle w:val="CommentReference"/>
        </w:rPr>
        <w:annotationRef/>
      </w:r>
      <w:r>
        <w:rPr>
          <w:lang w:val="en-GB"/>
        </w:rPr>
        <w:t>I can put the Loss Function vs GPR MA window plot and argue that the 7 days windows is inside the optima range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B5A8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F7E8F2" w16cex:dateUtc="2026-07-05T1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B5A81C" w16cid:durableId="08F7E8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791287">
    <w:abstractNumId w:val="8"/>
  </w:num>
  <w:num w:numId="2" w16cid:durableId="1514030360">
    <w:abstractNumId w:val="6"/>
  </w:num>
  <w:num w:numId="3" w16cid:durableId="303122962">
    <w:abstractNumId w:val="5"/>
  </w:num>
  <w:num w:numId="4" w16cid:durableId="1296789954">
    <w:abstractNumId w:val="4"/>
  </w:num>
  <w:num w:numId="5" w16cid:durableId="2061855919">
    <w:abstractNumId w:val="7"/>
  </w:num>
  <w:num w:numId="6" w16cid:durableId="1112281968">
    <w:abstractNumId w:val="3"/>
  </w:num>
  <w:num w:numId="7" w16cid:durableId="538590075">
    <w:abstractNumId w:val="2"/>
  </w:num>
  <w:num w:numId="8" w16cid:durableId="239799988">
    <w:abstractNumId w:val="1"/>
  </w:num>
  <w:num w:numId="9" w16cid:durableId="15570084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Alejandro Rodriguez Garrido">
    <w15:presenceInfo w15:providerId="AD" w15:userId="S::jose.rodriguez02@estudiante.uam.es::2fa449dd-a318-44d5-8ae6-5fd3a5d9a8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474"/>
    <w:rsid w:val="00034616"/>
    <w:rsid w:val="00042136"/>
    <w:rsid w:val="0006063C"/>
    <w:rsid w:val="0015074B"/>
    <w:rsid w:val="0029639D"/>
    <w:rsid w:val="00326F90"/>
    <w:rsid w:val="007410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36372"/>
  <w14:defaultImageDpi w14:val="300"/>
  <w15:docId w15:val="{78FBC96B-8C5A-4441-88E4-3A0F8C29C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7410BB"/>
    <w:rPr>
      <w:sz w:val="16"/>
      <w:szCs w:val="16"/>
    </w:rPr>
  </w:style>
  <w:style w:type="paragraph" w:styleId="CommentText">
    <w:name w:val="annotation text"/>
    <w:basedOn w:val="Normal"/>
    <w:link w:val="CommentTextChar"/>
    <w:uiPriority w:val="99"/>
    <w:unhideWhenUsed/>
    <w:rsid w:val="007410BB"/>
    <w:pPr>
      <w:spacing w:line="240" w:lineRule="auto"/>
    </w:pPr>
    <w:rPr>
      <w:sz w:val="20"/>
      <w:szCs w:val="20"/>
    </w:rPr>
  </w:style>
  <w:style w:type="character" w:customStyle="1" w:styleId="CommentTextChar">
    <w:name w:val="Comment Text Char"/>
    <w:basedOn w:val="DefaultParagraphFont"/>
    <w:link w:val="CommentText"/>
    <w:uiPriority w:val="99"/>
    <w:rsid w:val="007410BB"/>
    <w:rPr>
      <w:sz w:val="20"/>
      <w:szCs w:val="20"/>
    </w:rPr>
  </w:style>
  <w:style w:type="paragraph" w:styleId="CommentSubject">
    <w:name w:val="annotation subject"/>
    <w:basedOn w:val="CommentText"/>
    <w:next w:val="CommentText"/>
    <w:link w:val="CommentSubjectChar"/>
    <w:uiPriority w:val="99"/>
    <w:semiHidden/>
    <w:unhideWhenUsed/>
    <w:rsid w:val="007410BB"/>
    <w:rPr>
      <w:b/>
      <w:bCs/>
    </w:rPr>
  </w:style>
  <w:style w:type="character" w:customStyle="1" w:styleId="CommentSubjectChar">
    <w:name w:val="Comment Subject Char"/>
    <w:basedOn w:val="CommentTextChar"/>
    <w:link w:val="CommentSubject"/>
    <w:uiPriority w:val="99"/>
    <w:semiHidden/>
    <w:rsid w:val="007410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4823</Words>
  <Characters>27493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Alejandro Rodriguez Garrido</cp:lastModifiedBy>
  <cp:revision>3</cp:revision>
  <dcterms:created xsi:type="dcterms:W3CDTF">2013-12-23T23:15:00Z</dcterms:created>
  <dcterms:modified xsi:type="dcterms:W3CDTF">2026-07-05T11:16:00Z</dcterms:modified>
  <cp:category/>
</cp:coreProperties>
</file>