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Presentation Script</w:t>
      </w:r>
    </w:p>
    <w:p>
      <w:r>
        <w:t xml:space="preserve">Hello, my name is Alejandro, and today I am going to present Oil-at-Risk: a framework for studying oil price vulnerabilities and their exposure to geopolitical risk.</w:t>
      </w:r>
    </w:p>
    <w:p>
      <w:pPr>
        <w:pStyle w:val="Heading2"/>
      </w:pPr>
      <w:r>
        <w:t xml:space="preserve">Acknowledgements</w:t>
      </w:r>
    </w:p>
    <w:p>
      <w:r>
        <w:t xml:space="preserve">Before starting, I would like to thank my professors in the master’s programme, and especially my supervisors, Diego Fresoli and Pilar Poncela, for their continuous support over the last months in the development of this thesis.</w:t>
      </w:r>
    </w:p>
    <w:p>
      <w:pPr>
        <w:pStyle w:val="Heading2"/>
      </w:pPr>
      <w:r>
        <w:t xml:space="preserve">Motivation</w:t>
      </w:r>
    </w:p>
    <w:p>
      <w:r>
        <w:t xml:space="preserve">As I said, I am going to present a framework to study the vulnerabilities of oil prices — but first, let’s talk about why we should study this at all.</w:t>
      </w:r>
    </w:p>
    <w:p>
      <w:pPr>
        <w:pStyle w:val="ListParagraph"/>
        <w:numPr>
          <w:ilvl w:val="0"/>
          <w:numId w:val="2"/>
        </w:numPr>
      </w:pPr>
      <w:r>
        <w:t xml:space="preserve">As mentioned in the proposal, there has been a long debate over whether oil prices are exogenous or endogenous to economic conditions: Hamilton showed that oil shocks preceded and helped cause economic downturns, while Barsky and Kilian later argued that they are largely endogenous responses to global demand.</w:t>
      </w:r>
    </w:p>
    <w:p>
      <w:pPr>
        <w:pStyle w:val="ListParagraph"/>
        <w:numPr>
          <w:ilvl w:val="0"/>
          <w:numId w:val="2"/>
        </w:numPr>
      </w:pPr>
      <w:r>
        <w:t xml:space="preserve">Either way, we can all agree that oil is an essential input for strategic sectors and a primary driver of inflation. Oil prices are therefore a concern for producers, investors, and economists alike.</w:t>
      </w:r>
    </w:p>
    <w:p>
      <w:pPr>
        <w:pStyle w:val="ListParagraph"/>
        <w:numPr>
          <w:ilvl w:val="0"/>
          <w:numId w:val="2"/>
        </w:numPr>
      </w:pPr>
      <w:r>
        <w:t xml:space="preserve">Moreover, recent tensions in the Middle East have once again made crude oil the barometer of global geopolitical stress.</w:t>
      </w:r>
    </w:p>
    <w:p>
      <w:r>
        <w:t xml:space="preserve">So we have “justified” the study of oil — but why present this framework? Because traditional frameworks fail in some important ways:</w:t>
      </w:r>
    </w:p>
    <w:p>
      <w:pPr>
        <w:pStyle w:val="ListParagraph"/>
        <w:numPr>
          <w:ilvl w:val="0"/>
          <w:numId w:val="2"/>
        </w:numPr>
      </w:pPr>
      <w:r>
        <w:t xml:space="preserve">There is a vast literature showing that the response of oil prices to shocks is asymmetric, so linear models tend to understate downside risk.</w:t>
      </w:r>
    </w:p>
    <w:p>
      <w:pPr>
        <w:pStyle w:val="ListParagraph"/>
        <w:numPr>
          <w:ilvl w:val="0"/>
          <w:numId w:val="2"/>
        </w:numPr>
      </w:pPr>
      <w:r>
        <w:t xml:space="preserve">OLS does not fit the data well: as I will show later, the average daily return of most financial assets is close to zero, so the conditional mean carries almost no signal. In addition, commodity returns display heavy tails, volatility clustering, and influential outliers that distort linear estimates — most of the information lives in the tails.</w:t>
      </w:r>
    </w:p>
    <w:p>
      <w:r>
        <w:t xml:space="preserve">Given these arguments, we decided to adapt the Growth-at-Risk framework of Adrian et al. (2019) to study the vulnerability of daily oil prices.</w:t>
      </w:r>
    </w:p>
    <w:p>
      <w:r>
        <w:t xml:space="preserve">Moreover, we will show how one of the vulnerability indicators actually carries predictive power over sharp oil market movements.</w:t>
      </w:r>
    </w:p>
    <w:p>
      <w:pPr>
        <w:pStyle w:val="Heading2"/>
      </w:pPr>
      <w:r>
        <w:t xml:space="preserve">Introduction</w:t>
      </w:r>
    </w:p>
    <w:p>
      <w:r>
        <w:t xml:space="preserve">The steps we follow in this framework are the following:</w:t>
      </w:r>
    </w:p>
    <w:p>
      <w:pPr>
        <w:pStyle w:val="ListParagraph"/>
        <w:numPr>
          <w:ilvl w:val="0"/>
          <w:numId w:val="2"/>
        </w:numPr>
      </w:pPr>
      <w:r>
        <w:t xml:space="preserve">Quantile regression: first, we define a specification for the quantile regression of oil returns.</w:t>
      </w:r>
    </w:p>
    <w:p>
      <w:pPr>
        <w:pStyle w:val="ListParagraph"/>
        <w:numPr>
          <w:ilvl w:val="0"/>
          <w:numId w:val="2"/>
        </w:numPr>
      </w:pPr>
      <w:r>
        <w:t xml:space="preserve">Then we perform direct quantile forecasting of oil returns at a chosen horizon h, which we will define.</w:t>
      </w:r>
    </w:p>
    <w:p>
      <w:pPr>
        <w:pStyle w:val="ListParagraph"/>
        <w:numPr>
          <w:ilvl w:val="0"/>
          <w:numId w:val="2"/>
        </w:numPr>
      </w:pPr>
      <w:r>
        <w:t xml:space="preserve">From those discrete forecasted quantiles we fit a parametric distribution, obtaining the full forecasted distribution of oil returns.</w:t>
      </w:r>
    </w:p>
    <w:p>
      <w:pPr>
        <w:pStyle w:val="ListParagraph"/>
        <w:numPr>
          <w:ilvl w:val="0"/>
          <w:numId w:val="2"/>
        </w:numPr>
      </w:pPr>
      <w:r>
        <w:t xml:space="preserve">We use that distribution to compute several vulnerability metrics.</w:t>
      </w:r>
    </w:p>
    <w:p>
      <w:pPr>
        <w:pStyle w:val="ListParagraph"/>
        <w:numPr>
          <w:ilvl w:val="0"/>
          <w:numId w:val="2"/>
        </w:numPr>
      </w:pPr>
      <w:r>
        <w:t xml:space="preserve">Finally, we test whether a selected risk metric carries predictive power over oil shocks.</w:t>
      </w:r>
    </w:p>
    <w:p>
      <w:r>
        <w:t xml:space="preserve">That is the model pipeline. As for the presentation as a whole:</w:t>
      </w:r>
    </w:p>
    <w:p>
      <w:pPr>
        <w:pStyle w:val="ListParagraph"/>
        <w:numPr>
          <w:ilvl w:val="0"/>
          <w:numId w:val="2"/>
        </w:numPr>
      </w:pPr>
      <w:r>
        <w:t xml:space="preserve">First, we will review the existing literature and locate this thesis within it — that is, the main research question we are trying to answer: how exposed are future oil prices to extreme geopolitical and market risks, and can that exposure be anticipated?</w:t>
      </w:r>
    </w:p>
    <w:p>
      <w:pPr>
        <w:pStyle w:val="ListParagraph"/>
        <w:numPr>
          <w:ilvl w:val="0"/>
          <w:numId w:val="2"/>
        </w:numPr>
      </w:pPr>
      <w:r>
        <w:t xml:space="preserve">We will then take a brief look at the data we use and at the specification we propose.</w:t>
      </w:r>
    </w:p>
    <w:p>
      <w:pPr>
        <w:pStyle w:val="ListParagraph"/>
        <w:numPr>
          <w:ilvl w:val="0"/>
          <w:numId w:val="2"/>
        </w:numPr>
      </w:pPr>
      <w:r>
        <w:t xml:space="preserve">After that, we will follow the pipeline: direct forecasting, distribution fitting, risk metrics, and the early-warning diagnostics.</w:t>
      </w:r>
    </w:p>
    <w:p>
      <w:pPr>
        <w:pStyle w:val="ListParagraph"/>
        <w:numPr>
          <w:ilvl w:val="0"/>
          <w:numId w:val="2"/>
        </w:numPr>
      </w:pPr>
      <w:r>
        <w:t xml:space="preserve">Finally, we will conclude and leave some time for questions.</w:t>
      </w:r>
    </w:p>
    <w:p>
      <w:pPr>
        <w:pStyle w:val="Heading2"/>
      </w:pPr>
      <w:r>
        <w:t xml:space="preserve">Literature review</w:t>
      </w:r>
    </w:p>
    <w:p>
      <w:pPr>
        <w:pStyle w:val="ListParagraph"/>
        <w:numPr>
          <w:ilvl w:val="0"/>
          <w:numId w:val="2"/>
        </w:numPr>
      </w:pPr>
      <w:r>
        <w:t xml:space="preserve">The main research behind this thesis is the paper by Adrian, Boyarchenko and Giannone (2019), who model the conditional distribution of GDP growth as a function of financial conditions. They show that adverse financial conditions greatly deteriorate the lower quantiles of the growth distribution, while the upper quantiles barely move.</w:t>
      </w:r>
    </w:p>
    <w:p>
      <w:pPr>
        <w:pStyle w:val="ListParagraph"/>
        <w:numPr>
          <w:ilvl w:val="0"/>
          <w:numId w:val="2"/>
        </w:numPr>
      </w:pPr>
      <w:r>
        <w:t xml:space="preserve">Their original setup ran quantile regressions at a small set of target quantiles, fitted a skewed-t distribution to those quantiles, and then extracted risk metrics from the resulting density to study vulnerability.</w:t>
      </w:r>
    </w:p>
    <w:p>
      <w:pPr>
        <w:pStyle w:val="ListParagraph"/>
        <w:numPr>
          <w:ilvl w:val="0"/>
          <w:numId w:val="2"/>
        </w:numPr>
      </w:pPr>
      <w:r>
        <w:t xml:space="preserve">That original architecture was designed for quarterly data and well-known economic indicators, so we adapt it to exploit the high-frequency data available in financial markets and to approach a familiar but different problem.</w:t>
      </w:r>
    </w:p>
    <w:p>
      <w:r>
        <w:t xml:space="preserve">As a whole, the adapted methodology rests on five pillars:</w:t>
      </w:r>
    </w:p>
    <w:p>
      <w:pPr>
        <w:pStyle w:val="ListParagraph"/>
        <w:numPr>
          <w:ilvl w:val="0"/>
          <w:numId w:val="2"/>
        </w:numPr>
      </w:pPr>
      <w:r>
        <w:t xml:space="preserve">Koenker and Bassett (1978), who formalised quantile regression and its main diagnostic tools. This is the same QR machinery used by the original authors, so no changes here.</w:t>
      </w:r>
    </w:p>
    <w:p>
      <w:pPr>
        <w:pStyle w:val="ListParagraph"/>
        <w:numPr>
          <w:ilvl w:val="0"/>
          <w:numId w:val="2"/>
        </w:numPr>
      </w:pPr>
      <w:r>
        <w:t xml:space="preserve">Engle and Manganelli (2004), who introduced the CAViaR models. As we will see later, their key insight is imported into two alternative specifications for our quantile regression.</w:t>
      </w:r>
    </w:p>
    <w:p>
      <w:pPr>
        <w:pStyle w:val="ListParagraph"/>
        <w:numPr>
          <w:ilvl w:val="0"/>
          <w:numId w:val="2"/>
        </w:numPr>
      </w:pPr>
      <w:r>
        <w:t xml:space="preserve">Johnson (1949): we depart from the Azzalini skewed-t distribution used in the canonical framework and adopt the Johnson SU, one of the most widely used distributions for modelling financial returns. It is obtained by transforming a standard normal, and its two shape parameters give independent control over skewness and tail weight.</w:t>
      </w:r>
    </w:p>
    <w:p>
      <w:pPr>
        <w:pStyle w:val="ListParagraph"/>
        <w:numPr>
          <w:ilvl w:val="0"/>
          <w:numId w:val="2"/>
        </w:numPr>
      </w:pPr>
      <w:r>
        <w:t xml:space="preserve">Kullback and Leibler (1951), building on Shannon’s information theory: their relative entropy is our main vulnerability metric.</w:t>
      </w:r>
    </w:p>
    <w:p>
      <w:pPr>
        <w:pStyle w:val="ListParagraph"/>
        <w:numPr>
          <w:ilvl w:val="0"/>
          <w:numId w:val="2"/>
        </w:numPr>
      </w:pPr>
      <w:r>
        <w:t xml:space="preserve">Diebold and Mariano (1995) and Diebold, Gunther and Tay (1998), who provide the main backtesting toolkit used in this thesis to assess the forecasts, the fitted densities, and the predictive power of the extracted risk metric.</w:t>
      </w:r>
    </w:p>
    <w:p>
      <w:r>
        <w:t xml:space="preserve">And for your information, this framework is currently being used at the IMF to study house prices at risk (Alter and Mahoney, 2020) and to perform other surveillance tasks (Prasad et al., 2019); there are also adaptations at the ECB to study inflation at risk (for example, Lenza, Moutachaker and Paredes, 2023).</w:t>
      </w:r>
    </w:p>
    <w:p>
      <w:pPr>
        <w:pStyle w:val="Heading2"/>
      </w:pPr>
      <w:r>
        <w:t xml:space="preserve">Contribution</w:t>
      </w:r>
    </w:p>
    <w:p>
      <w:r>
        <w:t xml:space="preserve">This brings me to the main contribution of this thesis, which is to adapt a novel framework to study the vulnerability of oil prices. This includes:</w:t>
      </w:r>
    </w:p>
    <w:p>
      <w:pPr>
        <w:pStyle w:val="ListParagraph"/>
        <w:numPr>
          <w:ilvl w:val="0"/>
          <w:numId w:val="2"/>
        </w:numPr>
      </w:pPr>
      <w:r>
        <w:t xml:space="preserve">The implementation of familiar quantile models inside the architecture.</w:t>
      </w:r>
    </w:p>
    <w:p>
      <w:pPr>
        <w:pStyle w:val="ListParagraph"/>
        <w:numPr>
          <w:ilvl w:val="0"/>
          <w:numId w:val="2"/>
        </w:numPr>
      </w:pPr>
      <w:r>
        <w:t xml:space="preserve">The departure from the canonical skewed-t distribution towards a finance-friendly alternative, the Johnson SU.</w:t>
      </w:r>
    </w:p>
    <w:p>
      <w:pPr>
        <w:pStyle w:val="ListParagraph"/>
        <w:numPr>
          <w:ilvl w:val="0"/>
          <w:numId w:val="2"/>
        </w:numPr>
      </w:pPr>
      <w:r>
        <w:t xml:space="preserve">The use of a full battery of backtesting tools for this framework, to make it more robust.</w:t>
      </w:r>
    </w:p>
    <w:p>
      <w:pPr>
        <w:pStyle w:val="ListParagraph"/>
        <w:numPr>
          <w:ilvl w:val="0"/>
          <w:numId w:val="2"/>
        </w:numPr>
      </w:pPr>
      <w:r>
        <w:t xml:space="preserve">The presentation of an early warning system based on one of the risk metrics.</w:t>
      </w:r>
    </w:p>
    <w:p>
      <w:pPr>
        <w:pStyle w:val="ListParagraph"/>
        <w:numPr>
          <w:ilvl w:val="0"/>
          <w:numId w:val="2"/>
        </w:numPr>
      </w:pPr>
      <w:r>
        <w:t xml:space="preserve">The release of an open-source Python module to replicate the full pipeline or extend it to other research. I will say a bit more about this at the end, time permitting.</w:t>
      </w:r>
    </w:p>
    <w:p>
      <w:r>
        <w:t xml:space="preserve">That is the thesis itself; but the interest of this presentation is not only to present this application and the research I have done, but also to explain the framework in case any of you find it useful for studying other phenomena, as other authors have done.</w:t>
      </w:r>
    </w:p>
    <w:p>
      <w:pPr>
        <w:pStyle w:val="Heading2"/>
      </w:pPr>
      <w:r>
        <w:t xml:space="preserve">Data</w:t>
      </w:r>
    </w:p>
    <w:p>
      <w:r>
        <w:t xml:space="preserve">Our specification is mostly built on top of risk measures, and there are good reasons for this:</w:t>
      </w:r>
    </w:p>
    <w:p>
      <w:pPr>
        <w:pStyle w:val="ListParagraph"/>
        <w:numPr>
          <w:ilvl w:val="0"/>
          <w:numId w:val="2"/>
        </w:numPr>
      </w:pPr>
      <w:r>
        <w:t xml:space="preserve">The efficient market hypothesis states that prices reflect all publicly available information in a market, and that expected returns are essentially a function of risk.</w:t>
      </w:r>
    </w:p>
    <w:p>
      <w:r>
        <w:t xml:space="preserve">There is also a vast literature on the relationship between risk and oil prices, and on the asymmetric nature of that relationship:</w:t>
      </w:r>
    </w:p>
    <w:p>
      <w:pPr>
        <w:pStyle w:val="ListParagraph"/>
        <w:numPr>
          <w:ilvl w:val="0"/>
          <w:numId w:val="2"/>
        </w:numPr>
      </w:pPr>
      <w:r>
        <w:t xml:space="preserve">Kilian (2009) defined precautionary demand: the fear of future supply disruptions drives agents to buy early to avoid possible price spikes, altering oil prices today. This idea has been developed further by recent authors.</w:t>
      </w:r>
    </w:p>
    <w:p>
      <w:pPr>
        <w:pStyle w:val="ListParagraph"/>
        <w:numPr>
          <w:ilvl w:val="0"/>
          <w:numId w:val="2"/>
        </w:numPr>
      </w:pPr>
      <w:r>
        <w:t xml:space="preserve">Brignone, Gambetti and Ricci (2025) show that geopolitical shocks in the oil market are highly asymmetric, which further motivates the use of this flexible framework.</w:t>
      </w:r>
    </w:p>
    <w:p>
      <w:r>
        <w:t xml:space="preserve">So, the data are chosen to capture different sources of risk:</w:t>
      </w:r>
    </w:p>
    <w:p>
      <w:pPr>
        <w:pStyle w:val="ListParagraph"/>
        <w:numPr>
          <w:ilvl w:val="0"/>
          <w:numId w:val="2"/>
        </w:numPr>
      </w:pPr>
      <w:r>
        <w:t xml:space="preserve">We work with the daily log-returns of Brent crude oil as our “oil prices”. We chose Brent over WTI — the other main crude benchmark — because Brent is more common in the literature, as it better reflects international market conditions; WTI is too tied to US conditions.</w:t>
      </w:r>
    </w:p>
    <w:p>
      <w:pPr>
        <w:pStyle w:val="ListParagraph"/>
        <w:numPr>
          <w:ilvl w:val="0"/>
          <w:numId w:val="2"/>
        </w:numPr>
      </w:pPr>
      <w:r>
        <w:t xml:space="preserve">Brent is available at daily frequency, from January 1990 to April 2026, via FRED.</w:t>
      </w:r>
    </w:p>
    <w:p>
      <w:r>
        <w:t xml:space="preserve">The main regressors are meant to capture different sources of risk:</w:t>
      </w:r>
    </w:p>
    <w:p>
      <w:pPr>
        <w:pStyle w:val="ListParagraph"/>
        <w:numPr>
          <w:ilvl w:val="0"/>
          <w:numId w:val="2"/>
        </w:numPr>
      </w:pPr>
      <w:r>
        <w:t xml:space="preserve">The 7-day moving average of the daily Geopolitical Risk Index, built by Caldara and Iacoviello. This is the main regressor of the thesis: it captures geopolitical risk as perceived by the media.</w:t>
      </w:r>
    </w:p>
    <w:p>
      <w:pPr>
        <w:pStyle w:val="ListParagraph"/>
        <w:numPr>
          <w:ilvl w:val="0"/>
          <w:numId w:val="2"/>
        </w:numPr>
      </w:pPr>
      <w:r>
        <w:t xml:space="preserve">The US Dollar Index. Oil is traded mostly in dollars, so this index controls for exchange-rate effects in price movements (Chen, Rogoff and Rossi, 2008: “Can exchange rates forecast commodity prices?”).</w:t>
      </w:r>
    </w:p>
    <w:p>
      <w:pPr>
        <w:pStyle w:val="ListParagraph"/>
        <w:numPr>
          <w:ilvl w:val="0"/>
          <w:numId w:val="2"/>
        </w:numPr>
      </w:pPr>
      <w:r>
        <w:t xml:space="preserve">Realized volatility, which brings predictive power to the specification and captures volatility clustering and sudden changes in speculation (Cenesizoglu and Timmermann: “Is the distribution of stock returns predictable?”).</w:t>
      </w:r>
    </w:p>
    <w:p>
      <w:pPr>
        <w:pStyle w:val="ListParagraph"/>
        <w:numPr>
          <w:ilvl w:val="0"/>
          <w:numId w:val="2"/>
        </w:numPr>
      </w:pPr>
      <w:r>
        <w:t xml:space="preserve">And the Baltic Dry Index — the cost of shipping raw materials by sea — which proxies global industrial demand and possible logistical disruptions in the oil distribution chain (Bakshi, Panayotov and Skoulakis, 2011).</w:t>
      </w:r>
    </w:p>
    <w:p>
      <w:pPr>
        <w:pStyle w:val="Heading2"/>
      </w:pPr>
      <w:r>
        <w:t xml:space="preserve">QR</w:t>
      </w:r>
    </w:p>
    <w:p>
      <w:r>
        <w:t xml:space="preserve">Given all this, the specification is the following, and it is kept identical across all quantiles for simplicity and comparability. We did not include more variables, to prevent multicollinearity and preserve parsimony.</w:t>
      </w:r>
    </w:p>
    <w:p>
      <w:r>
        <w:t xml:space="preserve">Our main in-sample results are:</w:t>
      </w:r>
    </w:p>
    <w:p>
      <w:pPr>
        <w:pStyle w:val="ListParagraph"/>
        <w:numPr>
          <w:ilvl w:val="0"/>
          <w:numId w:val="2"/>
        </w:numPr>
      </w:pPr>
      <w:r>
        <w:t xml:space="preserve">Good explanatory power in the tails, much less at the median — as expected, since the median daily return carries almost no signal.</w:t>
      </w:r>
    </w:p>
    <w:p>
      <w:pPr>
        <w:pStyle w:val="ListParagraph"/>
        <w:numPr>
          <w:ilvl w:val="0"/>
          <w:numId w:val="2"/>
        </w:numPr>
      </w:pPr>
      <w:r>
        <w:t xml:space="preserve">An asymmetric effect of geopolitical risk on the tails, given by the sign of the coefficients. However, no causal conclusions can be drawn from a quantile regression alone, unless it is paired with other identification techniques such as instrumental-variable quantile regression (Chernozhukov and Hansen, 2004–2008).</w:t>
      </w:r>
    </w:p>
    <w:p>
      <w:pPr>
        <w:pStyle w:val="Heading2"/>
      </w:pPr>
      <w:r>
        <w:t xml:space="preserve">Direct forecasting</w:t>
      </w:r>
    </w:p>
    <w:p>
      <w:r>
        <w:t xml:space="preserve">The first thing to note is that we cannot iterate quantile forecasts forward the way we iterate the expected value in other well-known time-series models — quantiles do not obey a law of iterated expectations. For that reason we use direct forecasting, where each forecast horizon gets its own dedicated regression.</w:t>
      </w:r>
    </w:p>
    <w:p>
      <w:r>
        <w:t xml:space="preserve">The computational setting involves:</w:t>
      </w:r>
    </w:p>
    <w:p>
      <w:pPr>
        <w:pStyle w:val="ListParagraph"/>
        <w:numPr>
          <w:ilvl w:val="0"/>
          <w:numId w:val="2"/>
        </w:numPr>
      </w:pPr>
      <w:r>
        <w:t xml:space="preserve">A 1,000-observation rolling window, covering roughly four trading years of data.</w:t>
      </w:r>
    </w:p>
    <w:p>
      <w:pPr>
        <w:pStyle w:val="ListParagraph"/>
        <w:numPr>
          <w:ilvl w:val="0"/>
          <w:numId w:val="2"/>
        </w:numPr>
      </w:pPr>
      <w:r>
        <w:t xml:space="preserve">The model is independently evaluated on the last three years of data through recursive out-of-sample estimation, advancing one day at a time.</w:t>
      </w:r>
    </w:p>
    <w:p>
      <w:pPr>
        <w:pStyle w:val="ListParagraph"/>
        <w:numPr>
          <w:ilvl w:val="0"/>
          <w:numId w:val="2"/>
        </w:numPr>
      </w:pPr>
      <w:r>
        <w:t xml:space="preserve">A forecasting horizon of 5 periods, equivalent to a full trading week. Not too short, not too long.</w:t>
      </w:r>
    </w:p>
    <w:p>
      <w:r>
        <w:t xml:space="preserve">Since we want a model that captures extreme tail events, it is natural to focus on them. For this reason, we build a breach indicator, which takes the value 1 when the observed return falls outside our forecast quantile envelope.</w:t>
      </w:r>
    </w:p>
    <w:p>
      <w:r>
        <w:t xml:space="preserve">We observe that the breaches cluster around market stress episodes, meaning that our model systematically fails to capture tail events during some periods.</w:t>
      </w:r>
    </w:p>
    <w:p>
      <w:r>
        <w:t xml:space="preserve">To fix this, we decided to give the model memory of its own failures. We import the CAViaR models proposed by Engle and Manganelli (2004), originally built to estimate Value-at-Risk, and adapt them to our framework.</w:t>
      </w:r>
    </w:p>
    <w:p>
      <w:r>
        <w:t xml:space="preserve">The idea is to build two augmented models that include the breach indicator among their regressors, so they can react to extreme events. The two models differ only in how the indicator enters the equation:</w:t>
      </w:r>
    </w:p>
    <w:p>
      <w:pPr>
        <w:pStyle w:val="ListParagraph"/>
        <w:numPr>
          <w:ilvl w:val="0"/>
          <w:numId w:val="2"/>
        </w:numPr>
      </w:pPr>
      <w:r>
        <w:t xml:space="preserve">Model 2 introduces the indicator as binary variables — one for upside breaches and another for downside breaches, to control for asymmetric effects. Here, any breach has the same effect on the regression, regardless of its size.</w:t>
      </w:r>
    </w:p>
    <w:p>
      <w:pPr>
        <w:pStyle w:val="ListParagraph"/>
        <w:numPr>
          <w:ilvl w:val="0"/>
          <w:numId w:val="2"/>
        </w:numPr>
      </w:pPr>
      <w:r>
        <w:t xml:space="preserve">Model 3 introduces the indicator as a continuous variable: the severity of the breach, which measures the distance from the realized value to the closest quantile. This model assigns a larger weight to larger breaches, adjusting for their size.</w:t>
      </w:r>
    </w:p>
    <w:p>
      <w:r>
        <w:t xml:space="preserve">These models reduce the number of breaches by roughly a factor of three, but…</w:t>
      </w:r>
    </w:p>
    <w:p>
      <w:r>
        <w:t xml:space="preserve">We compare the models using the Diebold–Mariano test, where the error series is computed through the tick loss. The results show that, at the selected horizon, the augmented models bring no significant improvement in predictive accuracy — probably because the breach signal arrives too late. At shorter horizons, different results might be observed.</w:t>
      </w:r>
    </w:p>
    <w:p>
      <w:pPr>
        <w:pStyle w:val="Heading2"/>
      </w:pPr>
      <w:r>
        <w:t xml:space="preserve">Distribution fitting</w:t>
      </w:r>
    </w:p>
    <w:p>
      <w:r>
        <w:t xml:space="preserve">Once we have obtained the discrete forecasted quantiles, we fit a continuous distribution to them.</w:t>
      </w:r>
    </w:p>
    <w:p>
      <w:r>
        <w:t xml:space="preserve">We chose the Johnson SU distribution, which is obtained by applying an inverse hyperbolic sine transformation to a standard normal. It is governed by four parameters:</w:t>
      </w:r>
    </w:p>
    <w:p>
      <w:pPr>
        <w:pStyle w:val="ListParagraph"/>
        <w:numPr>
          <w:ilvl w:val="0"/>
          <w:numId w:val="2"/>
        </w:numPr>
      </w:pPr>
      <w:r>
        <w:t xml:space="preserve">Xi, the location parameter, and lambda, the scale parameter, which place and stretch the distribution.</w:t>
      </w:r>
    </w:p>
    <w:p>
      <w:pPr>
        <w:pStyle w:val="ListParagraph"/>
        <w:numPr>
          <w:ilvl w:val="0"/>
          <w:numId w:val="2"/>
        </w:numPr>
      </w:pPr>
      <w:r>
        <w:t xml:space="preserve">Gamma, which governs skewness, and delta, which governs tail weight. These two shape parameters can be controlled independently, and in the limit the distribution nests the Gaussian.</w:t>
      </w:r>
    </w:p>
    <w:p>
      <w:r>
        <w:t xml:space="preserve">We chose the Johnson SU because it is a versatile, field-tested distribution for modelling asset returns, accounting for both skewness and tail weight, and because its quantile function has a closed form, which makes the fitting step very fast.</w:t>
      </w:r>
    </w:p>
    <w:p>
      <w:r>
        <w:t xml:space="preserve">To test whether the distribution is a good fit, we rely on the PIT, proposed by Diebold, Gunther and Tay (1998). The PIT sequence measures where each realized return landed within our forecasted continuous distribution. The authors prove that, under a perfectly calibrated model, the PIT sequence behaves as a Uniform(0,1). We therefore run a Kolmogorov–Smirnov test of the out-of-sample PIT values against the theoretical uniform distribution — and the model successfully passes the test.</w:t>
      </w:r>
    </w:p>
    <w:p>
      <w:pPr>
        <w:pStyle w:val="Heading2"/>
      </w:pPr>
      <w:r>
        <w:t xml:space="preserve">Risk metrics</w:t>
      </w:r>
    </w:p>
    <w:p>
      <w:r>
        <w:t xml:space="preserve">We extract four main vulnerability metrics from the fitted distribution:</w:t>
      </w:r>
    </w:p>
    <w:p>
      <w:pPr>
        <w:pStyle w:val="ListParagraph"/>
        <w:numPr>
          <w:ilvl w:val="0"/>
          <w:numId w:val="2"/>
        </w:numPr>
      </w:pPr>
      <w:r>
        <w:t xml:space="preserve">The Value-at-Risk.</w:t>
      </w:r>
    </w:p>
    <w:p>
      <w:pPr>
        <w:pStyle w:val="ListParagraph"/>
        <w:numPr>
          <w:ilvl w:val="0"/>
          <w:numId w:val="2"/>
        </w:numPr>
      </w:pPr>
      <w:r>
        <w:t xml:space="preserve">The Expected Shortfall.</w:t>
      </w:r>
    </w:p>
    <w:p>
      <w:pPr>
        <w:pStyle w:val="ListParagraph"/>
        <w:numPr>
          <w:ilvl w:val="0"/>
          <w:numId w:val="2"/>
        </w:numPr>
      </w:pPr>
      <w:r>
        <w:t xml:space="preserve">The skewness.</w:t>
      </w:r>
    </w:p>
    <w:p>
      <w:r>
        <w:t xml:space="preserve">And the main metric: the relative entropy, or KL divergence, which measures how far a density function has moved from a reference state. There are two options for the reference state:</w:t>
      </w:r>
    </w:p>
    <w:p>
      <w:pPr>
        <w:pStyle w:val="ListParagraph"/>
        <w:numPr>
          <w:ilvl w:val="0"/>
          <w:numId w:val="2"/>
        </w:numPr>
      </w:pPr>
      <w:r>
        <w:t xml:space="preserve">The unconditional density.</w:t>
      </w:r>
    </w:p>
    <w:p>
      <w:pPr>
        <w:pStyle w:val="ListParagraph"/>
        <w:numPr>
          <w:ilvl w:val="0"/>
          <w:numId w:val="2"/>
        </w:numPr>
      </w:pPr>
      <w:r>
        <w:t xml:space="preserve">The normal density.</w:t>
      </w:r>
    </w:p>
    <w:p>
      <w:r>
        <w:t xml:space="preserve">We prefer the normal density for two reasons. First, the Johnson SU nests the normal, and the normal is the distribution usually assumed when producing fan charts and density forecasts, so it is a natural baseline. Second, the unconditional density already embeds skewness and heavy tails — which are risks in themselves — so measuring against it may understate the risk metrics.</w:t>
      </w:r>
    </w:p>
    <w:p>
      <w:pPr>
        <w:pStyle w:val="Heading2"/>
      </w:pPr>
      <w:r>
        <w:t xml:space="preserve">EWS</w:t>
      </w:r>
    </w:p>
    <w:p>
      <w:r>
        <w:t xml:space="preserve">Most GaR frameworks stop here, but we wanted to test whether the entropy, computed from the forecasted distribution, carries predictive power over oil prices. Since we forecast five days ahead, we should expect to see at least five days of lead.</w:t>
      </w:r>
    </w:p>
    <w:p>
      <w:r>
        <w:t xml:space="preserve">To assess the lead, we first compute the cross-correlation function between the returns and the entropy — first-differenced to make it stationary — and we expect to see higher correlation with future values of the returns, meaning that the entropy is more correlated with the future than with the past or the present.</w:t>
      </w:r>
    </w:p>
    <w:p>
      <w:r>
        <w:t xml:space="preserve">To have a second opinion, we also employ the Granger causality test, to check whether the entropy helps predict oil returns beyond their own history.</w:t>
      </w:r>
    </w:p>
    <w:p>
      <w:r>
        <w:t xml:space="preserve">The main result is that the entropy leads Brent returns by around 6 to 16 days, depending on the entropy metric. Part of this lead is expected, since the entropy is computed from a 5-step-ahead forecast — but it means the forecast is truly forecasting.</w:t>
      </w:r>
    </w:p>
    <w:p>
      <w:pPr>
        <w:pStyle w:val="Heading2"/>
      </w:pPr>
      <w:r>
        <w:t xml:space="preserve">Conclusions</w:t>
      </w:r>
    </w:p>
    <w:p>
      <w:r>
        <w:t xml:space="preserve">So, our main conclusions are the following:</w:t>
      </w:r>
    </w:p>
    <w:p>
      <w:pPr>
        <w:pStyle w:val="ListParagraph"/>
        <w:numPr>
          <w:ilvl w:val="0"/>
          <w:numId w:val="2"/>
        </w:numPr>
      </w:pPr>
      <w:r>
        <w:t xml:space="preserve">GaR-type frameworks are very useful for studying vulnerabilities, even with highly volatile daily data.</w:t>
      </w:r>
    </w:p>
    <w:p>
      <w:pPr>
        <w:pStyle w:val="ListParagraph"/>
        <w:numPr>
          <w:ilvl w:val="0"/>
          <w:numId w:val="2"/>
        </w:numPr>
      </w:pPr>
      <w:r>
        <w:t xml:space="preserve">The entropy computed from the direct-forecast quantiles carries predictive power over the target variable — with a lead longer than the forecast horizon — so it can be used to react in advance to the risks modelled here.</w:t>
      </w:r>
    </w:p>
    <w:p>
      <w:pPr>
        <w:pStyle w:val="ListParagraph"/>
        <w:numPr>
          <w:ilvl w:val="0"/>
          <w:numId w:val="2"/>
        </w:numPr>
      </w:pPr>
      <w:r>
        <w:t xml:space="preserve">Our model focuses on risks, so the entropy is expected to react early to these risks, but it may have no predictive power over other types of events.</w:t>
      </w:r>
    </w:p>
    <w:p>
      <w:pPr>
        <w:pStyle w:val="ListParagraph"/>
        <w:numPr>
          <w:ilvl w:val="0"/>
          <w:numId w:val="2"/>
        </w:numPr>
      </w:pPr>
      <w:r>
        <w:t xml:space="preserve">In short, the framework can be pushed further: exploiting high-frequency data, we can build an early warning system.</w:t>
      </w:r>
    </w:p>
    <w:p>
      <w:pPr>
        <w:pStyle w:val="Heading2"/>
      </w:pPr>
      <w:r>
        <w:t xml:space="preserve">Python module</w:t>
      </w:r>
    </w:p>
    <w:p>
      <w:r>
        <w:t xml:space="preserve">While doing this project I found few ready-to-use software tools, so I had to design most of them myself. All the code and modules are available for replication and for other researchers on my GitHub (github.com/Alejandro-bot-one/Oil-at-Risk).</w:t>
      </w:r>
    </w:p>
    <w:p>
      <w:pPr>
        <w:pStyle w:val="Heading2"/>
      </w:pPr>
      <w:r>
        <w:t xml:space="preserve">Next steps</w:t>
      </w:r>
    </w:p>
    <w:p>
      <w:r>
        <w:t xml:space="preserve">We have done everything within our reach in the given time, but there are still many more steps to take:</w:t>
      </w:r>
    </w:p>
    <w:p>
      <w:pPr>
        <w:pStyle w:val="ListParagraph"/>
        <w:numPr>
          <w:ilvl w:val="0"/>
          <w:numId w:val="2"/>
        </w:numPr>
      </w:pPr>
      <w:r>
        <w:t xml:space="preserve">This work is predictive in focus, but with some changes one could give the framework a more causal orientation — for example, through generalised quantile regression (Powell, 2020) or quantile local projections (Wojciechowski, 2025). That would yield a completely different master thesis, deserving its own research.</w:t>
      </w:r>
    </w:p>
    <w:p>
      <w:pPr>
        <w:pStyle w:val="ListParagraph"/>
        <w:numPr>
          <w:ilvl w:val="0"/>
          <w:numId w:val="2"/>
        </w:numPr>
      </w:pPr>
      <w:r>
        <w:t xml:space="preserve">More specifications: this is just one of many configurations to try. The CAViaR models also remain to be explored at shorter horizons — they may not have superior forecasting power, yet still yield a better early warning system.</w:t>
      </w:r>
    </w:p>
    <w:p>
      <w:pPr>
        <w:pStyle w:val="ListParagraph"/>
        <w:numPr>
          <w:ilvl w:val="0"/>
          <w:numId w:val="2"/>
        </w:numPr>
      </w:pPr>
      <w:r>
        <w:t xml:space="preserve">Calibration of arbitrary decisions: choices such as the tail-entropy thresholds or the 7-day moving-average window can be calibrated to obtain even better results.</w:t>
      </w:r>
    </w:p>
    <w:p>
      <w:pPr>
        <w:pStyle w:val="Heading2"/>
      </w:pPr>
      <w:r>
        <w:t xml:space="preserve">Closing</w:t>
      </w:r>
    </w:p>
    <w:p>
      <w:r>
        <w:t xml:space="preserve">And that is all from me. Thank you very much for your attention — any advice is more than welcome, and I will be really glad to hear your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2026-07-06T16:37:42.439Z</dcterms:created>
  <dcterms:modified xsi:type="dcterms:W3CDTF">2026-07-06T16:37:42.439Z</dcterms:modified>
</cp:coreProperties>
</file>

<file path=docProps/custom.xml><?xml version="1.0" encoding="utf-8"?>
<Properties xmlns="http://schemas.openxmlformats.org/officeDocument/2006/custom-properties" xmlns:vt="http://schemas.openxmlformats.org/officeDocument/2006/docPropsVTypes"/>
</file>