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E0CD31" w14:textId="0C82174B" w:rsidR="002F3C26" w:rsidRDefault="00A53443">
      <w:r>
        <w:t>Im Alejandro Rodriguez, I’m working with Diego Fresoli and Pilar Poncela in my master's thesis which we have called  “Oil-at-Risk”. First I will give a brief review of what are we doing, then I’m going to explain you why, and finally, I will argue how are we doing it.</w:t>
      </w:r>
    </w:p>
    <w:p w14:paraId="06CAA7AF" w14:textId="1496EF38" w:rsidR="00A53443" w:rsidRDefault="00C3150D">
      <w:pPr>
        <w:rPr>
          <w:b/>
          <w:bCs/>
        </w:rPr>
      </w:pPr>
      <w:r>
        <w:rPr>
          <w:b/>
          <w:bCs/>
        </w:rPr>
        <w:t>Outline presentation</w:t>
      </w:r>
    </w:p>
    <w:p w14:paraId="7CBE7143" w14:textId="2E0C3C18" w:rsidR="00C3150D" w:rsidRDefault="00C3150D" w:rsidP="00C3150D">
      <w:pPr>
        <w:pStyle w:val="Heading1"/>
      </w:pPr>
      <w:r>
        <w:t>What</w:t>
      </w:r>
    </w:p>
    <w:p w14:paraId="54874A47" w14:textId="11340893" w:rsidR="00C3150D" w:rsidRDefault="00C3150D" w:rsidP="00C3150D">
      <w:r>
        <w:t>This thesis aims to</w:t>
      </w:r>
      <w:r>
        <w:rPr>
          <w:b/>
          <w:bCs/>
          <w:color w:val="EE0000"/>
        </w:rPr>
        <w:t xml:space="preserve"> quantify the vulnerability of oil prices to country-specific Geopolitical Risk</w:t>
      </w:r>
      <w:r>
        <w:t>.</w:t>
      </w:r>
    </w:p>
    <w:p w14:paraId="0585DCBF" w14:textId="6AA8A5E1" w:rsidR="00C3150D" w:rsidRDefault="00C3150D" w:rsidP="00C3150D">
      <w:r>
        <w:t xml:space="preserve">For doing so, we rely on some previously built foundation, and we built our framework on previously answered questions: </w:t>
      </w:r>
    </w:p>
    <w:p w14:paraId="071FB0CB" w14:textId="7830AD3F" w:rsidR="00C3150D" w:rsidRDefault="00C3150D" w:rsidP="00C3150D">
      <w:pPr>
        <w:pStyle w:val="ListParagraph"/>
        <w:numPr>
          <w:ilvl w:val="0"/>
          <w:numId w:val="1"/>
        </w:numPr>
      </w:pPr>
      <w:r>
        <w:t>There is a relationship between Oil and GPR -&gt; Minesso, Lappe and Robler</w:t>
      </w:r>
    </w:p>
    <w:p w14:paraId="2BFF2060" w14:textId="1C0B3019" w:rsidR="00C3150D" w:rsidRDefault="00C3150D" w:rsidP="00C3150D">
      <w:pPr>
        <w:pStyle w:val="ListParagraph"/>
        <w:numPr>
          <w:ilvl w:val="0"/>
          <w:numId w:val="1"/>
        </w:numPr>
      </w:pPr>
      <w:r>
        <w:t>The relationship is highly asymmetrical and time varying -&gt; Brignone, Gambetti and Ricci (2025)</w:t>
      </w:r>
    </w:p>
    <w:p w14:paraId="781AFB4D" w14:textId="2A4DB5D7" w:rsidR="00C3150D" w:rsidRDefault="00C3150D" w:rsidP="00C3150D">
      <w:r>
        <w:t>Moreover:</w:t>
      </w:r>
    </w:p>
    <w:p w14:paraId="4BE85D84" w14:textId="5A733337" w:rsidR="00C3150D" w:rsidRDefault="00C3150D" w:rsidP="00C3150D">
      <w:pPr>
        <w:pStyle w:val="ListParagraph"/>
        <w:numPr>
          <w:ilvl w:val="0"/>
          <w:numId w:val="1"/>
        </w:numPr>
      </w:pPr>
      <w:r>
        <w:t>Similar studies reveal that GPR help predict medium-term oil dynamics -&gt; Jia, Lyu and Zhu (2024)</w:t>
      </w:r>
    </w:p>
    <w:p w14:paraId="33287B24" w14:textId="25E05774" w:rsidR="00C3150D" w:rsidRDefault="00C3150D" w:rsidP="00C3150D">
      <w:r>
        <w:t>This is a very open research question so lets trim it a little bit:</w:t>
      </w:r>
    </w:p>
    <w:p w14:paraId="37357988" w14:textId="6459A7D5" w:rsidR="00C3150D" w:rsidRDefault="006870E9" w:rsidP="00C3150D">
      <w:pPr>
        <w:pStyle w:val="ListParagraph"/>
        <w:numPr>
          <w:ilvl w:val="0"/>
          <w:numId w:val="2"/>
        </w:numPr>
      </w:pPr>
      <w:r>
        <w:rPr>
          <w:b/>
          <w:bCs/>
        </w:rPr>
        <w:t xml:space="preserve">Addressing Methodological Blindspot: </w:t>
      </w:r>
      <w:r>
        <w:t>We know that the impact of geopolitical risk is fundamentally asymmetric, so standard econometric framework which focus on the conditional mean are restrictive and misleading, missing the heteroskedasticity and heavy tails of the data.</w:t>
      </w:r>
    </w:p>
    <w:p w14:paraId="6A7C78FF" w14:textId="1C7709BB" w:rsidR="006870E9" w:rsidRPr="006870E9" w:rsidRDefault="006870E9" w:rsidP="006870E9">
      <w:pPr>
        <w:pStyle w:val="ListParagraph"/>
        <w:numPr>
          <w:ilvl w:val="0"/>
          <w:numId w:val="2"/>
        </w:numPr>
      </w:pPr>
      <w:r>
        <w:rPr>
          <w:b/>
          <w:bCs/>
        </w:rPr>
        <w:t xml:space="preserve">Modelling the Full Distribution: </w:t>
      </w:r>
      <w:r>
        <w:t>To capture the true nature of these risks, this thesis adapts the Growth-at-Risk (GaR) framework (Adrian, Boyarchenko, and Giannone, 2019) from macroeconomic forecasting to energy markets, allowing us to explicitly model the entire conditional distribution of future Brent crude oil price growth.</w:t>
      </w:r>
    </w:p>
    <w:p w14:paraId="23425FE2" w14:textId="660693CD" w:rsidR="006870E9" w:rsidRDefault="006870E9" w:rsidP="006870E9">
      <w:pPr>
        <w:pStyle w:val="ListParagraph"/>
        <w:numPr>
          <w:ilvl w:val="0"/>
          <w:numId w:val="2"/>
        </w:numPr>
      </w:pPr>
      <w:r>
        <w:rPr>
          <w:b/>
          <w:bCs/>
        </w:rPr>
        <w:t xml:space="preserve">Granular identification: </w:t>
      </w:r>
      <w:r>
        <w:t>We combine this framework with country-specific GPR indices (Caldara and Iacoviello, 2022) rather than broad global aggregates. This allows us to isolate and identify exactly how localized geopolitical tensions translate into global energy market tail risks.</w:t>
      </w:r>
    </w:p>
    <w:p w14:paraId="381FAE26" w14:textId="02AFF09D" w:rsidR="00567D5B" w:rsidRDefault="006870E9" w:rsidP="006870E9">
      <w:pPr>
        <w:pStyle w:val="ListParagraph"/>
        <w:numPr>
          <w:ilvl w:val="0"/>
          <w:numId w:val="2"/>
        </w:numPr>
      </w:pPr>
      <w:r>
        <w:rPr>
          <w:b/>
          <w:bCs/>
        </w:rPr>
        <w:t>Contribution to literature</w:t>
      </w:r>
      <w:r>
        <w:t>: distribution-aware framework that combines Growth</w:t>
        <w:noBreakHyphen/>
        <w:t>at</w:t>
        <w:noBreakHyphen/>
        <w:t>Risk methods with country</w:t>
        <w:noBreakHyphen/>
        <w:t>specific geopolitical risk indices, providing  a mapping of how localized geopolitical tensions propagate into global oil</w:t>
        <w:noBreakHyphen/>
        <w:t>market tail risks.</w:t>
      </w:r>
    </w:p>
    <w:p w14:paraId="2BDF6160" w14:textId="33A76629" w:rsidR="00567D5B" w:rsidRDefault="00567D5B"/>
    <w:p w14:paraId="7FA1EC9B" w14:textId="355BF2B5" w:rsidR="006870E9" w:rsidRDefault="008E3AE5" w:rsidP="008E3AE5">
      <w:pPr>
        <w:pStyle w:val="Heading1"/>
      </w:pPr>
      <w:r>
        <w:t>Why Oil?</w:t>
      </w:r>
    </w:p>
    <w:p w14:paraId="3E5258BC" w14:textId="6EC4B44C" w:rsidR="008E3AE5" w:rsidRPr="008E3AE5" w:rsidRDefault="008E3AE5" w:rsidP="008E3AE5">
      <w:r>
        <w:t>There is an ongoing debate in macroeconomics regarding whether oil price fluctuations are exogenous shocks or endogenous responses to the market:</w:t>
      </w:r>
    </w:p>
    <w:p w14:paraId="78230327" w14:textId="77777777" w:rsidR="008E3AE5" w:rsidRPr="008E3AE5" w:rsidRDefault="008E3AE5" w:rsidP="008E3AE5">
      <w:pPr>
        <w:numPr>
          <w:ilvl w:val="1"/>
          <w:numId w:val="4"/>
        </w:numPr>
      </w:pPr>
      <w:r>
        <w:rPr>
          <w:b/>
          <w:bCs/>
        </w:rPr>
        <w:t>Hamilton (1983):</w:t>
      </w:r>
      <w:r>
        <w:t xml:space="preserve"> Uses Granger causality tests and VAR models to statistically demonstrate that oil shocks </w:t>
      </w:r>
      <w:r>
        <w:rPr>
          <w:i/>
          <w:iCs/>
        </w:rPr>
        <w:t>precede and cause</w:t>
      </w:r>
      <w:r>
        <w:t xml:space="preserve"> recessions, rather than merely correlating with them.</w:t>
      </w:r>
    </w:p>
    <w:p w14:paraId="723CEDB8" w14:textId="77777777" w:rsidR="008E3AE5" w:rsidRPr="008E3AE5" w:rsidRDefault="008E3AE5" w:rsidP="008E3AE5">
      <w:pPr>
        <w:numPr>
          <w:ilvl w:val="1"/>
          <w:numId w:val="4"/>
        </w:numPr>
      </w:pPr>
      <w:r>
        <w:rPr>
          <w:b/>
          <w:bCs/>
        </w:rPr>
        <w:t>Barsky &amp; Kilian (2002):</w:t>
      </w:r>
      <w:r>
        <w:t xml:space="preserve"> Argue that oil price shocks are largely endogenous, driven primarily by global macroeconomic demand.</w:t>
      </w:r>
    </w:p>
    <w:p w14:paraId="2678A41B" w14:textId="77777777" w:rsidR="008E3AE5" w:rsidRPr="008E3AE5" w:rsidRDefault="008E3AE5" w:rsidP="008E3AE5">
      <w:pPr>
        <w:numPr>
          <w:ilvl w:val="0"/>
          <w:numId w:val="4"/>
        </w:numPr>
      </w:pPr>
      <w:r>
        <w:t>Regardless of the debate, oil remains a crucial driver of global economic conditions. As an essential input for industrial activity and a key instrument of geopolitical power.</w:t>
      </w:r>
    </w:p>
    <w:p w14:paraId="7D3C67D0" w14:textId="77777777" w:rsidR="008E3AE5" w:rsidRDefault="008E3AE5" w:rsidP="008E3AE5">
      <w:pPr>
        <w:numPr>
          <w:ilvl w:val="0"/>
          <w:numId w:val="4"/>
        </w:numPr>
      </w:pPr>
      <w:r>
        <w:t>Recent tensions in the Middle East have once again brought this commodity back into the spotlight.</w:t>
      </w:r>
    </w:p>
    <w:p w14:paraId="0CF5C06C" w14:textId="55792C09" w:rsidR="008E3AE5" w:rsidRDefault="008E3AE5" w:rsidP="008E3AE5">
      <w:pPr>
        <w:pStyle w:val="Heading1"/>
      </w:pPr>
      <w:r>
        <w:t>Why GPR?</w:t>
      </w:r>
    </w:p>
    <w:p w14:paraId="12445B04" w14:textId="76DB4FFF" w:rsidR="006548ED" w:rsidRDefault="006548ED" w:rsidP="006548ED">
      <w:pPr>
        <w:pStyle w:val="ListParagraph"/>
        <w:numPr>
          <w:ilvl w:val="0"/>
          <w:numId w:val="6"/>
        </w:numPr>
      </w:pPr>
      <w:r>
        <w:t>Because GPR is consistently one of the most used Geopolitical Risk Indices, which allows for country specific data.</w:t>
      </w:r>
    </w:p>
    <w:p w14:paraId="401C73C9" w14:textId="5365EC4A" w:rsidR="00812DE9" w:rsidRDefault="00812DE9" w:rsidP="006548ED">
      <w:pPr>
        <w:pStyle w:val="ListParagraph"/>
        <w:numPr>
          <w:ilvl w:val="0"/>
          <w:numId w:val="6"/>
        </w:numPr>
      </w:pPr>
      <w:r>
        <w:t>Because Geopolitical Risk are one of the main driver of the main mechanism which trigger oil recession</w:t>
      </w:r>
    </w:p>
    <w:p w14:paraId="4D395FDD" w14:textId="77777777" w:rsidR="00812DE9" w:rsidRDefault="00812DE9" w:rsidP="00812DE9">
      <w:pPr>
        <w:pStyle w:val="ListParagraph"/>
        <w:numPr>
          <w:ilvl w:val="1"/>
          <w:numId w:val="2"/>
        </w:numPr>
      </w:pPr>
      <w:r>
        <w:rPr>
          <w:b/>
          <w:bCs/>
        </w:rPr>
        <w:t>Precautionary demand</w:t>
      </w:r>
      <w:r>
        <w:t>: Kilian identifies precautionary demand shocks — driven by fears of future supply disruptions — as the channel most directly linked to geopolitical events. This is the structural channel this thesis seeks to quantify in the tails.</w:t>
      </w:r>
    </w:p>
    <w:p w14:paraId="1D720D5D" w14:textId="42ED718E" w:rsidR="00812DE9" w:rsidRDefault="00812DE9" w:rsidP="00812DE9">
      <w:pPr>
        <w:pStyle w:val="ListParagraph"/>
        <w:numPr>
          <w:ilvl w:val="1"/>
          <w:numId w:val="2"/>
        </w:numPr>
      </w:pPr>
      <w:r>
        <w:rPr>
          <w:b/>
          <w:bCs/>
        </w:rPr>
        <w:t>The Risk Channel</w:t>
      </w:r>
      <w:r>
        <w:t>: proposed by Minesso, Lappe and Robler (2024), they defend that markets fear future supply disruptions, which increases the premium (convenience yield) for holding physical oil contracts, driving prices up.</w:t>
      </w:r>
    </w:p>
    <w:p w14:paraId="36412D11" w14:textId="78E208AF" w:rsidR="00812DE9" w:rsidRDefault="00812DE9" w:rsidP="00812DE9">
      <w:pPr>
        <w:pStyle w:val="ListParagraph"/>
        <w:numPr>
          <w:ilvl w:val="0"/>
          <w:numId w:val="6"/>
        </w:numPr>
      </w:pPr>
      <w:r>
        <w:t>Moreover, actions don’t need to materialize to damage the economy, as was recenty proven by Kilian, Plante and Richter (2026)</w:t>
      </w:r>
    </w:p>
    <w:p w14:paraId="12740CA6" w14:textId="77777777" w:rsidR="00812DE9" w:rsidRDefault="00812DE9">
      <w:r>
        <w:br w:type="page"/>
      </w:r>
    </w:p>
    <w:p w14:paraId="1AD8592E" w14:textId="57D2AA6D" w:rsidR="00812DE9" w:rsidRDefault="00812DE9" w:rsidP="00812DE9">
      <w:pPr>
        <w:pStyle w:val="Heading1"/>
      </w:pPr>
      <w:r>
        <w:lastRenderedPageBreak/>
        <w:t>Why GaR?</w:t>
      </w:r>
    </w:p>
    <w:p w14:paraId="02BD94A7" w14:textId="77777777" w:rsidR="00812DE9" w:rsidRPr="00812DE9" w:rsidRDefault="00812DE9" w:rsidP="00812DE9">
      <w:r>
        <w:t>Because we want to quantify the tail risks and the vulnerability of oil to geopolitical events, accounting for asymmetry and non-linearities:</w:t>
      </w:r>
    </w:p>
    <w:p w14:paraId="3DFC6BB6" w14:textId="77777777" w:rsidR="00812DE9" w:rsidRPr="00812DE9" w:rsidRDefault="00812DE9" w:rsidP="00812DE9">
      <w:pPr>
        <w:numPr>
          <w:ilvl w:val="0"/>
          <w:numId w:val="7"/>
        </w:numPr>
      </w:pPr>
      <w:r>
        <w:rPr>
          <w:b/>
          <w:bCs/>
        </w:rPr>
        <w:t>Hamilton (2003):</w:t>
      </w:r>
      <w:r>
        <w:t xml:space="preserve"> proves that the oil-GDP relationship is highly non-linear. Oil price spikes act as an “allocative disturbance,” halting big-ticket purchases. Price decreases do not produce a symmetric recovery — a linear model cannot capture this.</w:t>
      </w:r>
    </w:p>
    <w:p w14:paraId="17BD02EF" w14:textId="77777777" w:rsidR="00812DE9" w:rsidRPr="00812DE9" w:rsidRDefault="00812DE9" w:rsidP="00812DE9">
      <w:pPr>
        <w:numPr>
          <w:ilvl w:val="0"/>
          <w:numId w:val="7"/>
        </w:numPr>
      </w:pPr>
      <w:r>
        <w:rPr>
          <w:b/>
          <w:bCs/>
        </w:rPr>
        <w:t>Kilian &amp; Vigfusson (2011):</w:t>
      </w:r>
      <w:r>
        <w:t xml:space="preserve"> formally prove that the macroeconomic response to oil price shocks is fundamentally asymmetric. Deploying a linear (OLS) methodology would </w:t>
      </w:r>
      <w:r>
        <w:rPr>
          <w:i/>
          <w:iCs/>
        </w:rPr>
        <w:t>mathematically underestimate</w:t>
      </w:r>
      <w:r>
        <w:t xml:space="preserve"> the downside risk. GaR, which isolates specific quantiles, is uniquely equipped for this.</w:t>
      </w:r>
    </w:p>
    <w:p w14:paraId="49263ED3" w14:textId="77777777" w:rsidR="00812DE9" w:rsidRPr="00812DE9" w:rsidRDefault="00812DE9" w:rsidP="00812DE9">
      <w:pPr>
        <w:numPr>
          <w:ilvl w:val="0"/>
          <w:numId w:val="7"/>
        </w:numPr>
      </w:pPr>
      <w:r>
        <w:rPr>
          <w:b/>
          <w:bCs/>
        </w:rPr>
        <w:t>OLS fails on this data:</w:t>
      </w:r>
      <w:r>
        <w:t xml:space="preserve"> A scatter plot of GPR vs. Brent growth reveals a slope near zero, low predictive power, and clear </w:t>
      </w:r>
      <w:r>
        <w:rPr>
          <w:i/>
          <w:iCs/>
        </w:rPr>
        <w:t>influential observations/</w:t>
      </w:r>
      <w:r>
        <w:t>extreme points outside the data cloud that distort OLS estimates. The signal lives in the tails, not the mean.</w:t>
      </w:r>
    </w:p>
    <w:p w14:paraId="532AD863" w14:textId="77777777" w:rsidR="0085054F" w:rsidRDefault="0085054F">
      <w:pPr>
        <w:rPr>
          <w:rFonts w:asciiTheme="majorHAnsi" w:eastAsiaTheme="majorEastAsia" w:hAnsiTheme="majorHAnsi" w:cstheme="majorBidi"/>
          <w:color w:val="0F4761" w:themeColor="accent1" w:themeShade="BF"/>
          <w:sz w:val="40"/>
          <w:szCs w:val="40"/>
        </w:rPr>
      </w:pPr>
      <w:r>
        <w:br w:type="page"/>
      </w:r>
    </w:p>
    <w:p w14:paraId="1BEBA3BE" w14:textId="14531A76" w:rsidR="00812DE9" w:rsidRDefault="0085054F" w:rsidP="0085054F">
      <w:pPr>
        <w:pStyle w:val="Heading1"/>
      </w:pPr>
      <w:r>
        <w:lastRenderedPageBreak/>
        <w:t>Data</w:t>
      </w:r>
    </w:p>
    <w:p w14:paraId="22761EAE" w14:textId="77777777" w:rsidR="0085054F" w:rsidRPr="0085054F" w:rsidRDefault="0085054F" w:rsidP="0085054F">
      <w:pPr>
        <w:numPr>
          <w:ilvl w:val="0"/>
          <w:numId w:val="8"/>
        </w:numPr>
      </w:pPr>
      <w:r>
        <w:rPr>
          <w:b/>
          <w:bCs/>
        </w:rPr>
        <w:t>Dependent variable:</w:t>
      </w:r>
      <w:r>
        <w:t xml:space="preserve"> Brent crude oil spot price (EIA via FRED). Daily from May 1987. Oil prices are I(1) — confirmed by ADF test and literature: Ghosh (2009), so we must work with the rates of change.</w:t>
      </w:r>
    </w:p>
    <w:p w14:paraId="2883C38B" w14:textId="77777777" w:rsidR="0085054F" w:rsidRPr="0085054F" w:rsidRDefault="0085054F" w:rsidP="0085054F">
      <w:pPr>
        <w:numPr>
          <w:ilvl w:val="0"/>
          <w:numId w:val="8"/>
        </w:numPr>
      </w:pPr>
      <w:r>
        <w:rPr>
          <w:b/>
          <w:bCs/>
        </w:rPr>
        <w:t>Main regressor:</w:t>
      </w:r>
      <w:r>
        <w:t xml:space="preserve"> Country-specific GPR Index (Caldara &amp; Iacoviello, 2022). Built from ~25M English-language newspaper articles (US, UK, Canada) using a dictionary-based algorithm that flags wars, terrorism, military tensions, and nuclear threats; excluding false positives (“movie,” “anniversary”). Country indices are constructed by jointly searching adverse terms + country/city names. Monthly, publicly available.</w:t>
      </w:r>
    </w:p>
    <w:p w14:paraId="61F1662A" w14:textId="77777777" w:rsidR="0085054F" w:rsidRPr="0085054F" w:rsidRDefault="0085054F" w:rsidP="0085054F">
      <w:pPr>
        <w:numPr>
          <w:ilvl w:val="0"/>
          <w:numId w:val="8"/>
        </w:numPr>
      </w:pPr>
      <w:r>
        <w:rPr>
          <w:b/>
          <w:bCs/>
        </w:rPr>
        <w:t>Levels vs. volatility:</w:t>
      </w:r>
      <w:r>
        <w:t xml:space="preserve"> GPR spikes are always positive by construction, yet Brent responses are bidirectional. This suggests GPR drives oil price </w:t>
      </w:r>
      <w:r>
        <w:rPr>
          <w:i/>
          <w:iCs/>
        </w:rPr>
        <w:t>volatility</w:t>
      </w:r>
      <w:r>
        <w:t xml:space="preserve"> rather than its level — motivating an alternative specification transforming GPR into an uncertainty measure (cf. Jurado et al., 2015).</w:t>
      </w:r>
    </w:p>
    <w:p w14:paraId="04E93BB8" w14:textId="77777777" w:rsidR="0085054F" w:rsidRPr="0085054F" w:rsidRDefault="0085054F" w:rsidP="0085054F">
      <w:pPr>
        <w:numPr>
          <w:ilvl w:val="0"/>
          <w:numId w:val="8"/>
        </w:numPr>
      </w:pPr>
      <w:r>
        <w:rPr>
          <w:b/>
          <w:bCs/>
        </w:rPr>
        <w:t>Controls:</w:t>
      </w:r>
      <w:r>
        <w:t xml:space="preserve"> Lags of oil price growth and standard oil market predictors (global economic activity indicators, supply-side variables) to isolate the pure GPR channel.</w:t>
      </w:r>
    </w:p>
    <w:p w14:paraId="716CDFF6" w14:textId="77777777" w:rsidR="000F3D25" w:rsidRDefault="000F3D25">
      <w:pPr>
        <w:rPr>
          <w:rFonts w:asciiTheme="majorHAnsi" w:eastAsiaTheme="majorEastAsia" w:hAnsiTheme="majorHAnsi" w:cstheme="majorBidi"/>
          <w:color w:val="0F4761" w:themeColor="accent1" w:themeShade="BF"/>
          <w:sz w:val="40"/>
          <w:szCs w:val="40"/>
        </w:rPr>
      </w:pPr>
      <w:r>
        <w:br w:type="page"/>
      </w:r>
    </w:p>
    <w:p w14:paraId="29BC9411" w14:textId="7E53D705" w:rsidR="0085054F" w:rsidRDefault="006F2C46" w:rsidP="006F2C46">
      <w:pPr>
        <w:pStyle w:val="Heading1"/>
      </w:pPr>
      <w:r>
        <w:lastRenderedPageBreak/>
        <w:t>Why Brent?</w:t>
      </w:r>
    </w:p>
    <w:p w14:paraId="6F01424D" w14:textId="6C174C15" w:rsidR="006F2C46" w:rsidRDefault="006F2C46" w:rsidP="006F2C46">
      <w:r>
        <w:t xml:space="preserve">European Brent and Texas are WTI are considered the most representative oil prices, though Brent is usually preferred to represent world oil prices because </w:t>
      </w:r>
      <w:r>
        <w:rPr>
          <w:b/>
          <w:bCs/>
        </w:rPr>
        <w:t>it is waterborne</w:t>
      </w:r>
      <w:r>
        <w:t xml:space="preserve"> (extracted and supplied by sea), it </w:t>
      </w:r>
      <w:r>
        <w:rPr>
          <w:b/>
          <w:bCs/>
        </w:rPr>
        <w:t>dominates global markets</w:t>
      </w:r>
      <w:r>
        <w:t xml:space="preserve"> (66% of global crude trade) and </w:t>
      </w:r>
      <w:r>
        <w:rPr>
          <w:b/>
          <w:bCs/>
        </w:rPr>
        <w:t>its not linked to a specific country</w:t>
      </w:r>
      <w:r>
        <w:t xml:space="preserve">. </w:t>
      </w:r>
    </w:p>
    <w:p w14:paraId="1925319A" w14:textId="39DA9FDB" w:rsidR="006F2C46" w:rsidRPr="006F2C46" w:rsidRDefault="006F2C46" w:rsidP="000F3D25">
      <w:pPr>
        <w:ind w:left="720"/>
      </w:pPr>
      <w:r>
        <w:rPr>
          <w:b/>
          <w:bCs/>
        </w:rPr>
        <w:t>1. Logistical Accessibility: Waterborne vs. Landlocked</w:t>
      </w:r>
      <w:r>
        <w:t>: Extracted in the North Sea and loaded directly onto ships. This waterborne nature allows it to be easily transported and traded across Europe, Asia, Africa, and the Americas, making it a highly accessible international reference.</w:t>
      </w:r>
    </w:p>
    <w:p w14:paraId="28BC460C" w14:textId="42CC0523" w:rsidR="006F2C46" w:rsidRPr="006F2C46" w:rsidRDefault="006F2C46" w:rsidP="000F3D25">
      <w:pPr>
        <w:ind w:left="720"/>
      </w:pPr>
      <w:r>
        <w:rPr>
          <w:b/>
          <w:bCs/>
        </w:rPr>
        <w:t>2. Global Market Dominance</w:t>
      </w:r>
      <w:r>
        <w:t>: Approximately two-thirds of all globally traded crude oil is priced relative to Brent. It serves as the definitive benchmark for crude grades originating in Europe, Africa, and the Middle East.</w:t>
      </w:r>
    </w:p>
    <w:p w14:paraId="0CCE38BC" w14:textId="01EA4CA9" w:rsidR="006F2C46" w:rsidRPr="006F2C46" w:rsidRDefault="006F2C46" w:rsidP="000F3D25">
      <w:pPr>
        <w:ind w:left="720"/>
      </w:pPr>
      <w:r>
        <w:rPr>
          <w:b/>
          <w:bCs/>
        </w:rPr>
        <w:t xml:space="preserve">3. Superior International Liquidity: </w:t>
      </w:r>
      <w:r>
        <w:t>The futures and swaps markets based on Brent (traded on the Intercontinental Exchange, or ICE) boast significantly higher global trading volumes and broader participation from international players. This deep liquidity results in a highly "discoverable" and representative global price.</w:t>
      </w:r>
    </w:p>
    <w:p w14:paraId="49754BF5" w14:textId="6C104D31" w:rsidR="006F2C46" w:rsidRDefault="006F2C46" w:rsidP="000F3D25">
      <w:pPr>
        <w:ind w:left="720"/>
      </w:pPr>
      <w:r>
        <w:rPr>
          <w:b/>
          <w:bCs/>
        </w:rPr>
        <w:t>4. Sensitivity to Global Geopolitics</w:t>
      </w:r>
      <w:r>
        <w:t>: Because it is a maritime crude, its price immediately reflects global supply chain risks. It is highly responsive to disruptions in key shipping chokepoints (like the Strait of Hormuz or the Red Sea), OPEC+ production decisions, and geopolitical tensions across Europe, Africa, and the Middle East.</w:t>
      </w:r>
    </w:p>
    <w:p w14:paraId="14A8C6E4" w14:textId="160FF5BF" w:rsidR="006F2C46" w:rsidRDefault="006F2C46" w:rsidP="000F3D25">
      <w:pPr>
        <w:ind w:left="720"/>
      </w:pPr>
      <w:r>
        <w:rPr>
          <w:b/>
          <w:bCs/>
        </w:rPr>
        <w:t>5. Quality is Secondary to Logistics</w:t>
      </w:r>
      <w:r>
        <w:t>: While WTI is technically a "lighter and sweeter" (higher quality and easier to refine) crude than Brent, this chemical advantage does not make it a better benchmark. In the global commodities market, physical reach, logistical flexibility, and trading liquidity dictate a benchmark's utility, making Brent the undisputed standard.</w:t>
      </w:r>
    </w:p>
    <w:p w14:paraId="5B0FD6DC" w14:textId="55E91C03" w:rsidR="000F3D25" w:rsidRDefault="000F3D25" w:rsidP="000F3D25">
      <w:pPr>
        <w:rPr>
          <w:b/>
          <w:bCs/>
        </w:rPr>
      </w:pPr>
    </w:p>
    <w:p w14:paraId="187C9459" w14:textId="77777777" w:rsidR="000F3D25" w:rsidRDefault="000F3D25">
      <w:pPr>
        <w:rPr>
          <w:rFonts w:asciiTheme="majorHAnsi" w:eastAsiaTheme="majorEastAsia" w:hAnsiTheme="majorHAnsi" w:cstheme="majorBidi"/>
          <w:color w:val="0F4761" w:themeColor="accent1" w:themeShade="BF"/>
          <w:sz w:val="40"/>
          <w:szCs w:val="40"/>
        </w:rPr>
      </w:pPr>
      <w:r>
        <w:br w:type="page"/>
      </w:r>
    </w:p>
    <w:p w14:paraId="5BC91F92" w14:textId="1C523309" w:rsidR="000F3D25" w:rsidRDefault="000F3D25" w:rsidP="000F3D25">
      <w:pPr>
        <w:pStyle w:val="Heading1"/>
      </w:pPr>
      <w:r>
        <w:lastRenderedPageBreak/>
        <w:t>The Model</w:t>
      </w:r>
    </w:p>
    <w:p w14:paraId="725B6DAC" w14:textId="77777777" w:rsidR="000F3D25" w:rsidRPr="000F3D25" w:rsidRDefault="000F3D25" w:rsidP="000F3D25">
      <w:pPr>
        <w:numPr>
          <w:ilvl w:val="0"/>
          <w:numId w:val="14"/>
        </w:numPr>
      </w:pPr>
      <w:r>
        <w:rPr>
          <w:b/>
          <w:bCs/>
        </w:rPr>
        <w:t>Step 1 — Setup:</w:t>
      </w:r>
      <w:r>
        <w:t xml:space="preserve"> Define the dependent variable as the average Brent growth rate over forecast horizon h (e.g. 3, 6, or 12 months). Select conditioning variables: country-specific GPR indices, lagged oil growth, and global demand proxies.</w:t>
      </w:r>
    </w:p>
    <w:p w14:paraId="388B45FD" w14:textId="77777777" w:rsidR="000F3D25" w:rsidRPr="000F3D25" w:rsidRDefault="000F3D25" w:rsidP="000F3D25">
      <w:pPr>
        <w:numPr>
          <w:ilvl w:val="0"/>
          <w:numId w:val="14"/>
        </w:numPr>
      </w:pPr>
      <w:r>
        <w:rPr>
          <w:b/>
          <w:bCs/>
        </w:rPr>
        <w:t>Step 2 — Quantile Regressions:</w:t>
      </w:r>
      <w:r>
        <w:t xml:space="preserve"> Linear quantile regressions (Koenker &amp; Bassett, 1978) estimated at τ </w:t>
      </w:r>
      <w:r>
        <w:rPr>
          <w:rFonts w:ascii="Cambria Math" w:hAnsi="Cambria Math" w:cs="Cambria Math"/>
        </w:rPr>
        <w:t>∈</w:t>
      </w:r>
      <w:r>
        <w:t xml:space="preserve"> {5%, 25%, 50%, 75%, 95%}. Unlike OLS, quantile regression minimizes an asymmetric loss function that places higher weight on tail events </w:t>
      </w:r>
      <w:r>
        <w:rPr>
          <w:rFonts w:ascii="Aptos" w:hAnsi="Aptos" w:cs="Aptos"/>
        </w:rPr>
        <w:t>—</w:t>
      </w:r>
      <w:r>
        <w:t xml:space="preserve"> capturing how GPR uniquely shifts different parts of the distribution.</w:t>
      </w:r>
    </w:p>
    <w:p w14:paraId="5208C0F8" w14:textId="77777777" w:rsidR="000F3D25" w:rsidRPr="000F3D25" w:rsidRDefault="000F3D25" w:rsidP="000F3D25">
      <w:pPr>
        <w:numPr>
          <w:ilvl w:val="0"/>
          <w:numId w:val="14"/>
        </w:numPr>
      </w:pPr>
      <w:r>
        <w:rPr>
          <w:b/>
          <w:bCs/>
        </w:rPr>
        <w:t>Step 3 — Skewed-t Density Fitting:</w:t>
      </w:r>
      <w:r>
        <w:t xml:space="preserve"> The 5 discrete quantile estimates are smoothed into a continuous conditional PDF by fitting a skewed t-distribution (Azzalini &amp; Capitanio, 2003) with four parameters: location (μ), scale (σ), fatness/degrees of freedom (ν), and skewness (α). Parameters are pinned by minimizing squared distance between empirical and theoretical quantiles — per time period.</w:t>
      </w:r>
    </w:p>
    <w:p w14:paraId="34DFBD91" w14:textId="77777777" w:rsidR="000F3D25" w:rsidRPr="000F3D25" w:rsidRDefault="000F3D25" w:rsidP="000F3D25">
      <w:pPr>
        <w:numPr>
          <w:ilvl w:val="0"/>
          <w:numId w:val="14"/>
        </w:numPr>
      </w:pPr>
      <w:r>
        <w:rPr>
          <w:b/>
          <w:bCs/>
        </w:rPr>
        <w:t>Step 4 — Tail Risk Metrics:</w:t>
      </w:r>
      <w:r>
        <w:t xml:space="preserve"> (i) </w:t>
      </w:r>
      <w:r>
        <w:rPr>
          <w:b/>
          <w:bCs/>
        </w:rPr>
        <w:t>Relative Entropy:</w:t>
      </w:r>
      <w:r>
        <w:t xml:space="preserve"> extra probability mass assigned to tail outcomes by the conditional vs. unconditional (historical) density. (ii) </w:t>
      </w:r>
      <w:r>
        <w:rPr>
          <w:b/>
          <w:bCs/>
        </w:rPr>
        <w:t>Expected Shortfall / Expected Longrise:</w:t>
      </w:r>
      <w:r>
        <w:t xml:space="preserve"> absolute measures of the average outcome in the lower/upper tail beyond a chosen probability threshold (e.g. 5%).</w:t>
      </w:r>
    </w:p>
    <w:p w14:paraId="31E46188" w14:textId="77777777" w:rsidR="000F3D25" w:rsidRPr="000F3D25" w:rsidRDefault="000F3D25" w:rsidP="000F3D25"/>
    <w:p w14:paraId="70698395" w14:textId="77777777" w:rsidR="006F2C46" w:rsidRPr="006F2C46" w:rsidRDefault="006F2C46" w:rsidP="006F2C46"/>
    <w:p w14:paraId="72622035" w14:textId="0C6D4223" w:rsidR="008E3AE5" w:rsidRPr="008E3AE5" w:rsidRDefault="008E3AE5" w:rsidP="00812DE9">
      <w:pPr>
        <w:ind w:left="360"/>
      </w:pPr>
    </w:p>
    <w:p w14:paraId="38DF5968" w14:textId="77777777" w:rsidR="008E3AE5" w:rsidRPr="008E3AE5" w:rsidRDefault="008E3AE5" w:rsidP="008E3AE5"/>
    <w:sectPr w:rsidR="008E3AE5" w:rsidRPr="008E3AE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368E1"/>
    <w:multiLevelType w:val="multilevel"/>
    <w:tmpl w:val="A0706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6A07A2"/>
    <w:multiLevelType w:val="hybridMultilevel"/>
    <w:tmpl w:val="E9BC5982"/>
    <w:lvl w:ilvl="0" w:tplc="3CE47D72">
      <w:start w:val="1"/>
      <w:numFmt w:val="bullet"/>
      <w:lvlText w:val="•"/>
      <w:lvlJc w:val="left"/>
      <w:pPr>
        <w:tabs>
          <w:tab w:val="num" w:pos="720"/>
        </w:tabs>
        <w:ind w:left="720" w:hanging="360"/>
      </w:pPr>
      <w:rPr>
        <w:rFonts w:ascii="Arial" w:hAnsi="Arial" w:hint="default"/>
      </w:rPr>
    </w:lvl>
    <w:lvl w:ilvl="1" w:tplc="23C6C926" w:tentative="1">
      <w:start w:val="1"/>
      <w:numFmt w:val="bullet"/>
      <w:lvlText w:val="•"/>
      <w:lvlJc w:val="left"/>
      <w:pPr>
        <w:tabs>
          <w:tab w:val="num" w:pos="1440"/>
        </w:tabs>
        <w:ind w:left="1440" w:hanging="360"/>
      </w:pPr>
      <w:rPr>
        <w:rFonts w:ascii="Arial" w:hAnsi="Arial" w:hint="default"/>
      </w:rPr>
    </w:lvl>
    <w:lvl w:ilvl="2" w:tplc="56DA7B4E" w:tentative="1">
      <w:start w:val="1"/>
      <w:numFmt w:val="bullet"/>
      <w:lvlText w:val="•"/>
      <w:lvlJc w:val="left"/>
      <w:pPr>
        <w:tabs>
          <w:tab w:val="num" w:pos="2160"/>
        </w:tabs>
        <w:ind w:left="2160" w:hanging="360"/>
      </w:pPr>
      <w:rPr>
        <w:rFonts w:ascii="Arial" w:hAnsi="Arial" w:hint="default"/>
      </w:rPr>
    </w:lvl>
    <w:lvl w:ilvl="3" w:tplc="D4624B84" w:tentative="1">
      <w:start w:val="1"/>
      <w:numFmt w:val="bullet"/>
      <w:lvlText w:val="•"/>
      <w:lvlJc w:val="left"/>
      <w:pPr>
        <w:tabs>
          <w:tab w:val="num" w:pos="2880"/>
        </w:tabs>
        <w:ind w:left="2880" w:hanging="360"/>
      </w:pPr>
      <w:rPr>
        <w:rFonts w:ascii="Arial" w:hAnsi="Arial" w:hint="default"/>
      </w:rPr>
    </w:lvl>
    <w:lvl w:ilvl="4" w:tplc="5578374E" w:tentative="1">
      <w:start w:val="1"/>
      <w:numFmt w:val="bullet"/>
      <w:lvlText w:val="•"/>
      <w:lvlJc w:val="left"/>
      <w:pPr>
        <w:tabs>
          <w:tab w:val="num" w:pos="3600"/>
        </w:tabs>
        <w:ind w:left="3600" w:hanging="360"/>
      </w:pPr>
      <w:rPr>
        <w:rFonts w:ascii="Arial" w:hAnsi="Arial" w:hint="default"/>
      </w:rPr>
    </w:lvl>
    <w:lvl w:ilvl="5" w:tplc="324A960C" w:tentative="1">
      <w:start w:val="1"/>
      <w:numFmt w:val="bullet"/>
      <w:lvlText w:val="•"/>
      <w:lvlJc w:val="left"/>
      <w:pPr>
        <w:tabs>
          <w:tab w:val="num" w:pos="4320"/>
        </w:tabs>
        <w:ind w:left="4320" w:hanging="360"/>
      </w:pPr>
      <w:rPr>
        <w:rFonts w:ascii="Arial" w:hAnsi="Arial" w:hint="default"/>
      </w:rPr>
    </w:lvl>
    <w:lvl w:ilvl="6" w:tplc="E724DC24" w:tentative="1">
      <w:start w:val="1"/>
      <w:numFmt w:val="bullet"/>
      <w:lvlText w:val="•"/>
      <w:lvlJc w:val="left"/>
      <w:pPr>
        <w:tabs>
          <w:tab w:val="num" w:pos="5040"/>
        </w:tabs>
        <w:ind w:left="5040" w:hanging="360"/>
      </w:pPr>
      <w:rPr>
        <w:rFonts w:ascii="Arial" w:hAnsi="Arial" w:hint="default"/>
      </w:rPr>
    </w:lvl>
    <w:lvl w:ilvl="7" w:tplc="F4502FEC" w:tentative="1">
      <w:start w:val="1"/>
      <w:numFmt w:val="bullet"/>
      <w:lvlText w:val="•"/>
      <w:lvlJc w:val="left"/>
      <w:pPr>
        <w:tabs>
          <w:tab w:val="num" w:pos="5760"/>
        </w:tabs>
        <w:ind w:left="5760" w:hanging="360"/>
      </w:pPr>
      <w:rPr>
        <w:rFonts w:ascii="Arial" w:hAnsi="Arial" w:hint="default"/>
      </w:rPr>
    </w:lvl>
    <w:lvl w:ilvl="8" w:tplc="B540C85A"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20F3502D"/>
    <w:multiLevelType w:val="hybridMultilevel"/>
    <w:tmpl w:val="32007578"/>
    <w:lvl w:ilvl="0" w:tplc="0194D35C">
      <w:start w:val="1"/>
      <w:numFmt w:val="bullet"/>
      <w:lvlText w:val="•"/>
      <w:lvlJc w:val="left"/>
      <w:pPr>
        <w:tabs>
          <w:tab w:val="num" w:pos="720"/>
        </w:tabs>
        <w:ind w:left="720" w:hanging="360"/>
      </w:pPr>
      <w:rPr>
        <w:rFonts w:ascii="Arial" w:hAnsi="Arial" w:hint="default"/>
      </w:rPr>
    </w:lvl>
    <w:lvl w:ilvl="1" w:tplc="158AA692" w:tentative="1">
      <w:start w:val="1"/>
      <w:numFmt w:val="bullet"/>
      <w:lvlText w:val="•"/>
      <w:lvlJc w:val="left"/>
      <w:pPr>
        <w:tabs>
          <w:tab w:val="num" w:pos="1440"/>
        </w:tabs>
        <w:ind w:left="1440" w:hanging="360"/>
      </w:pPr>
      <w:rPr>
        <w:rFonts w:ascii="Arial" w:hAnsi="Arial" w:hint="default"/>
      </w:rPr>
    </w:lvl>
    <w:lvl w:ilvl="2" w:tplc="A95A94F2" w:tentative="1">
      <w:start w:val="1"/>
      <w:numFmt w:val="bullet"/>
      <w:lvlText w:val="•"/>
      <w:lvlJc w:val="left"/>
      <w:pPr>
        <w:tabs>
          <w:tab w:val="num" w:pos="2160"/>
        </w:tabs>
        <w:ind w:left="2160" w:hanging="360"/>
      </w:pPr>
      <w:rPr>
        <w:rFonts w:ascii="Arial" w:hAnsi="Arial" w:hint="default"/>
      </w:rPr>
    </w:lvl>
    <w:lvl w:ilvl="3" w:tplc="6E88D4A8" w:tentative="1">
      <w:start w:val="1"/>
      <w:numFmt w:val="bullet"/>
      <w:lvlText w:val="•"/>
      <w:lvlJc w:val="left"/>
      <w:pPr>
        <w:tabs>
          <w:tab w:val="num" w:pos="2880"/>
        </w:tabs>
        <w:ind w:left="2880" w:hanging="360"/>
      </w:pPr>
      <w:rPr>
        <w:rFonts w:ascii="Arial" w:hAnsi="Arial" w:hint="default"/>
      </w:rPr>
    </w:lvl>
    <w:lvl w:ilvl="4" w:tplc="A6E8B4D8" w:tentative="1">
      <w:start w:val="1"/>
      <w:numFmt w:val="bullet"/>
      <w:lvlText w:val="•"/>
      <w:lvlJc w:val="left"/>
      <w:pPr>
        <w:tabs>
          <w:tab w:val="num" w:pos="3600"/>
        </w:tabs>
        <w:ind w:left="3600" w:hanging="360"/>
      </w:pPr>
      <w:rPr>
        <w:rFonts w:ascii="Arial" w:hAnsi="Arial" w:hint="default"/>
      </w:rPr>
    </w:lvl>
    <w:lvl w:ilvl="5" w:tplc="3B8E254E" w:tentative="1">
      <w:start w:val="1"/>
      <w:numFmt w:val="bullet"/>
      <w:lvlText w:val="•"/>
      <w:lvlJc w:val="left"/>
      <w:pPr>
        <w:tabs>
          <w:tab w:val="num" w:pos="4320"/>
        </w:tabs>
        <w:ind w:left="4320" w:hanging="360"/>
      </w:pPr>
      <w:rPr>
        <w:rFonts w:ascii="Arial" w:hAnsi="Arial" w:hint="default"/>
      </w:rPr>
    </w:lvl>
    <w:lvl w:ilvl="6" w:tplc="7688C23E" w:tentative="1">
      <w:start w:val="1"/>
      <w:numFmt w:val="bullet"/>
      <w:lvlText w:val="•"/>
      <w:lvlJc w:val="left"/>
      <w:pPr>
        <w:tabs>
          <w:tab w:val="num" w:pos="5040"/>
        </w:tabs>
        <w:ind w:left="5040" w:hanging="360"/>
      </w:pPr>
      <w:rPr>
        <w:rFonts w:ascii="Arial" w:hAnsi="Arial" w:hint="default"/>
      </w:rPr>
    </w:lvl>
    <w:lvl w:ilvl="7" w:tplc="419C539C" w:tentative="1">
      <w:start w:val="1"/>
      <w:numFmt w:val="bullet"/>
      <w:lvlText w:val="•"/>
      <w:lvlJc w:val="left"/>
      <w:pPr>
        <w:tabs>
          <w:tab w:val="num" w:pos="5760"/>
        </w:tabs>
        <w:ind w:left="5760" w:hanging="360"/>
      </w:pPr>
      <w:rPr>
        <w:rFonts w:ascii="Arial" w:hAnsi="Arial" w:hint="default"/>
      </w:rPr>
    </w:lvl>
    <w:lvl w:ilvl="8" w:tplc="F78C72C4"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25321CDB"/>
    <w:multiLevelType w:val="hybridMultilevel"/>
    <w:tmpl w:val="A540FCE0"/>
    <w:lvl w:ilvl="0" w:tplc="07582396">
      <w:start w:val="3"/>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31A3287"/>
    <w:multiLevelType w:val="hybridMultilevel"/>
    <w:tmpl w:val="32E6ED56"/>
    <w:lvl w:ilvl="0" w:tplc="8D9886B8">
      <w:start w:val="1"/>
      <w:numFmt w:val="bullet"/>
      <w:lvlText w:val="•"/>
      <w:lvlJc w:val="left"/>
      <w:pPr>
        <w:tabs>
          <w:tab w:val="num" w:pos="720"/>
        </w:tabs>
        <w:ind w:left="720" w:hanging="360"/>
      </w:pPr>
      <w:rPr>
        <w:rFonts w:ascii="Arial" w:hAnsi="Arial" w:hint="default"/>
      </w:rPr>
    </w:lvl>
    <w:lvl w:ilvl="1" w:tplc="E494B8A6" w:tentative="1">
      <w:start w:val="1"/>
      <w:numFmt w:val="bullet"/>
      <w:lvlText w:val="•"/>
      <w:lvlJc w:val="left"/>
      <w:pPr>
        <w:tabs>
          <w:tab w:val="num" w:pos="1440"/>
        </w:tabs>
        <w:ind w:left="1440" w:hanging="360"/>
      </w:pPr>
      <w:rPr>
        <w:rFonts w:ascii="Arial" w:hAnsi="Arial" w:hint="default"/>
      </w:rPr>
    </w:lvl>
    <w:lvl w:ilvl="2" w:tplc="4A5ACD68" w:tentative="1">
      <w:start w:val="1"/>
      <w:numFmt w:val="bullet"/>
      <w:lvlText w:val="•"/>
      <w:lvlJc w:val="left"/>
      <w:pPr>
        <w:tabs>
          <w:tab w:val="num" w:pos="2160"/>
        </w:tabs>
        <w:ind w:left="2160" w:hanging="360"/>
      </w:pPr>
      <w:rPr>
        <w:rFonts w:ascii="Arial" w:hAnsi="Arial" w:hint="default"/>
      </w:rPr>
    </w:lvl>
    <w:lvl w:ilvl="3" w:tplc="994EB704" w:tentative="1">
      <w:start w:val="1"/>
      <w:numFmt w:val="bullet"/>
      <w:lvlText w:val="•"/>
      <w:lvlJc w:val="left"/>
      <w:pPr>
        <w:tabs>
          <w:tab w:val="num" w:pos="2880"/>
        </w:tabs>
        <w:ind w:left="2880" w:hanging="360"/>
      </w:pPr>
      <w:rPr>
        <w:rFonts w:ascii="Arial" w:hAnsi="Arial" w:hint="default"/>
      </w:rPr>
    </w:lvl>
    <w:lvl w:ilvl="4" w:tplc="90EAE11E" w:tentative="1">
      <w:start w:val="1"/>
      <w:numFmt w:val="bullet"/>
      <w:lvlText w:val="•"/>
      <w:lvlJc w:val="left"/>
      <w:pPr>
        <w:tabs>
          <w:tab w:val="num" w:pos="3600"/>
        </w:tabs>
        <w:ind w:left="3600" w:hanging="360"/>
      </w:pPr>
      <w:rPr>
        <w:rFonts w:ascii="Arial" w:hAnsi="Arial" w:hint="default"/>
      </w:rPr>
    </w:lvl>
    <w:lvl w:ilvl="5" w:tplc="C900A894" w:tentative="1">
      <w:start w:val="1"/>
      <w:numFmt w:val="bullet"/>
      <w:lvlText w:val="•"/>
      <w:lvlJc w:val="left"/>
      <w:pPr>
        <w:tabs>
          <w:tab w:val="num" w:pos="4320"/>
        </w:tabs>
        <w:ind w:left="4320" w:hanging="360"/>
      </w:pPr>
      <w:rPr>
        <w:rFonts w:ascii="Arial" w:hAnsi="Arial" w:hint="default"/>
      </w:rPr>
    </w:lvl>
    <w:lvl w:ilvl="6" w:tplc="A2D65BAE" w:tentative="1">
      <w:start w:val="1"/>
      <w:numFmt w:val="bullet"/>
      <w:lvlText w:val="•"/>
      <w:lvlJc w:val="left"/>
      <w:pPr>
        <w:tabs>
          <w:tab w:val="num" w:pos="5040"/>
        </w:tabs>
        <w:ind w:left="5040" w:hanging="360"/>
      </w:pPr>
      <w:rPr>
        <w:rFonts w:ascii="Arial" w:hAnsi="Arial" w:hint="default"/>
      </w:rPr>
    </w:lvl>
    <w:lvl w:ilvl="7" w:tplc="85184AF2" w:tentative="1">
      <w:start w:val="1"/>
      <w:numFmt w:val="bullet"/>
      <w:lvlText w:val="•"/>
      <w:lvlJc w:val="left"/>
      <w:pPr>
        <w:tabs>
          <w:tab w:val="num" w:pos="5760"/>
        </w:tabs>
        <w:ind w:left="5760" w:hanging="360"/>
      </w:pPr>
      <w:rPr>
        <w:rFonts w:ascii="Arial" w:hAnsi="Arial" w:hint="default"/>
      </w:rPr>
    </w:lvl>
    <w:lvl w:ilvl="8" w:tplc="77D46F1E"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41824A53"/>
    <w:multiLevelType w:val="hybridMultilevel"/>
    <w:tmpl w:val="0A409F7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2707F39"/>
    <w:multiLevelType w:val="multilevel"/>
    <w:tmpl w:val="E84A0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565412D"/>
    <w:multiLevelType w:val="multilevel"/>
    <w:tmpl w:val="4DEE1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36901DB"/>
    <w:multiLevelType w:val="hybridMultilevel"/>
    <w:tmpl w:val="B524D3FA"/>
    <w:lvl w:ilvl="0" w:tplc="B5724D78">
      <w:start w:val="1"/>
      <w:numFmt w:val="bullet"/>
      <w:lvlText w:val="•"/>
      <w:lvlJc w:val="left"/>
      <w:pPr>
        <w:tabs>
          <w:tab w:val="num" w:pos="720"/>
        </w:tabs>
        <w:ind w:left="720" w:hanging="360"/>
      </w:pPr>
      <w:rPr>
        <w:rFonts w:ascii="Arial" w:hAnsi="Arial" w:hint="default"/>
      </w:rPr>
    </w:lvl>
    <w:lvl w:ilvl="1" w:tplc="550E4BCC" w:tentative="1">
      <w:start w:val="1"/>
      <w:numFmt w:val="bullet"/>
      <w:lvlText w:val="•"/>
      <w:lvlJc w:val="left"/>
      <w:pPr>
        <w:tabs>
          <w:tab w:val="num" w:pos="1440"/>
        </w:tabs>
        <w:ind w:left="1440" w:hanging="360"/>
      </w:pPr>
      <w:rPr>
        <w:rFonts w:ascii="Arial" w:hAnsi="Arial" w:hint="default"/>
      </w:rPr>
    </w:lvl>
    <w:lvl w:ilvl="2" w:tplc="2586ECC2" w:tentative="1">
      <w:start w:val="1"/>
      <w:numFmt w:val="bullet"/>
      <w:lvlText w:val="•"/>
      <w:lvlJc w:val="left"/>
      <w:pPr>
        <w:tabs>
          <w:tab w:val="num" w:pos="2160"/>
        </w:tabs>
        <w:ind w:left="2160" w:hanging="360"/>
      </w:pPr>
      <w:rPr>
        <w:rFonts w:ascii="Arial" w:hAnsi="Arial" w:hint="default"/>
      </w:rPr>
    </w:lvl>
    <w:lvl w:ilvl="3" w:tplc="5CBE40B4" w:tentative="1">
      <w:start w:val="1"/>
      <w:numFmt w:val="bullet"/>
      <w:lvlText w:val="•"/>
      <w:lvlJc w:val="left"/>
      <w:pPr>
        <w:tabs>
          <w:tab w:val="num" w:pos="2880"/>
        </w:tabs>
        <w:ind w:left="2880" w:hanging="360"/>
      </w:pPr>
      <w:rPr>
        <w:rFonts w:ascii="Arial" w:hAnsi="Arial" w:hint="default"/>
      </w:rPr>
    </w:lvl>
    <w:lvl w:ilvl="4" w:tplc="C886583C" w:tentative="1">
      <w:start w:val="1"/>
      <w:numFmt w:val="bullet"/>
      <w:lvlText w:val="•"/>
      <w:lvlJc w:val="left"/>
      <w:pPr>
        <w:tabs>
          <w:tab w:val="num" w:pos="3600"/>
        </w:tabs>
        <w:ind w:left="3600" w:hanging="360"/>
      </w:pPr>
      <w:rPr>
        <w:rFonts w:ascii="Arial" w:hAnsi="Arial" w:hint="default"/>
      </w:rPr>
    </w:lvl>
    <w:lvl w:ilvl="5" w:tplc="8CC8639C" w:tentative="1">
      <w:start w:val="1"/>
      <w:numFmt w:val="bullet"/>
      <w:lvlText w:val="•"/>
      <w:lvlJc w:val="left"/>
      <w:pPr>
        <w:tabs>
          <w:tab w:val="num" w:pos="4320"/>
        </w:tabs>
        <w:ind w:left="4320" w:hanging="360"/>
      </w:pPr>
      <w:rPr>
        <w:rFonts w:ascii="Arial" w:hAnsi="Arial" w:hint="default"/>
      </w:rPr>
    </w:lvl>
    <w:lvl w:ilvl="6" w:tplc="C14280B8" w:tentative="1">
      <w:start w:val="1"/>
      <w:numFmt w:val="bullet"/>
      <w:lvlText w:val="•"/>
      <w:lvlJc w:val="left"/>
      <w:pPr>
        <w:tabs>
          <w:tab w:val="num" w:pos="5040"/>
        </w:tabs>
        <w:ind w:left="5040" w:hanging="360"/>
      </w:pPr>
      <w:rPr>
        <w:rFonts w:ascii="Arial" w:hAnsi="Arial" w:hint="default"/>
      </w:rPr>
    </w:lvl>
    <w:lvl w:ilvl="7" w:tplc="710067EA" w:tentative="1">
      <w:start w:val="1"/>
      <w:numFmt w:val="bullet"/>
      <w:lvlText w:val="•"/>
      <w:lvlJc w:val="left"/>
      <w:pPr>
        <w:tabs>
          <w:tab w:val="num" w:pos="5760"/>
        </w:tabs>
        <w:ind w:left="5760" w:hanging="360"/>
      </w:pPr>
      <w:rPr>
        <w:rFonts w:ascii="Arial" w:hAnsi="Arial" w:hint="default"/>
      </w:rPr>
    </w:lvl>
    <w:lvl w:ilvl="8" w:tplc="109A34B0"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660A4F61"/>
    <w:multiLevelType w:val="multilevel"/>
    <w:tmpl w:val="08C49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2F737E4"/>
    <w:multiLevelType w:val="hybridMultilevel"/>
    <w:tmpl w:val="E0B413BA"/>
    <w:lvl w:ilvl="0" w:tplc="3F308782">
      <w:start w:val="1"/>
      <w:numFmt w:val="bullet"/>
      <w:lvlText w:val="•"/>
      <w:lvlJc w:val="left"/>
      <w:pPr>
        <w:tabs>
          <w:tab w:val="num" w:pos="720"/>
        </w:tabs>
        <w:ind w:left="720" w:hanging="360"/>
      </w:pPr>
      <w:rPr>
        <w:rFonts w:ascii="Arial" w:hAnsi="Arial" w:hint="default"/>
      </w:rPr>
    </w:lvl>
    <w:lvl w:ilvl="1" w:tplc="1208244A">
      <w:numFmt w:val="bullet"/>
      <w:lvlText w:val="•"/>
      <w:lvlJc w:val="left"/>
      <w:pPr>
        <w:tabs>
          <w:tab w:val="num" w:pos="1440"/>
        </w:tabs>
        <w:ind w:left="1440" w:hanging="360"/>
      </w:pPr>
      <w:rPr>
        <w:rFonts w:ascii="Arial" w:hAnsi="Arial" w:hint="default"/>
      </w:rPr>
    </w:lvl>
    <w:lvl w:ilvl="2" w:tplc="B442F3EA" w:tentative="1">
      <w:start w:val="1"/>
      <w:numFmt w:val="bullet"/>
      <w:lvlText w:val="•"/>
      <w:lvlJc w:val="left"/>
      <w:pPr>
        <w:tabs>
          <w:tab w:val="num" w:pos="2160"/>
        </w:tabs>
        <w:ind w:left="2160" w:hanging="360"/>
      </w:pPr>
      <w:rPr>
        <w:rFonts w:ascii="Arial" w:hAnsi="Arial" w:hint="default"/>
      </w:rPr>
    </w:lvl>
    <w:lvl w:ilvl="3" w:tplc="E0CCA9E2" w:tentative="1">
      <w:start w:val="1"/>
      <w:numFmt w:val="bullet"/>
      <w:lvlText w:val="•"/>
      <w:lvlJc w:val="left"/>
      <w:pPr>
        <w:tabs>
          <w:tab w:val="num" w:pos="2880"/>
        </w:tabs>
        <w:ind w:left="2880" w:hanging="360"/>
      </w:pPr>
      <w:rPr>
        <w:rFonts w:ascii="Arial" w:hAnsi="Arial" w:hint="default"/>
      </w:rPr>
    </w:lvl>
    <w:lvl w:ilvl="4" w:tplc="C6CE79A0" w:tentative="1">
      <w:start w:val="1"/>
      <w:numFmt w:val="bullet"/>
      <w:lvlText w:val="•"/>
      <w:lvlJc w:val="left"/>
      <w:pPr>
        <w:tabs>
          <w:tab w:val="num" w:pos="3600"/>
        </w:tabs>
        <w:ind w:left="3600" w:hanging="360"/>
      </w:pPr>
      <w:rPr>
        <w:rFonts w:ascii="Arial" w:hAnsi="Arial" w:hint="default"/>
      </w:rPr>
    </w:lvl>
    <w:lvl w:ilvl="5" w:tplc="68D88E1E" w:tentative="1">
      <w:start w:val="1"/>
      <w:numFmt w:val="bullet"/>
      <w:lvlText w:val="•"/>
      <w:lvlJc w:val="left"/>
      <w:pPr>
        <w:tabs>
          <w:tab w:val="num" w:pos="4320"/>
        </w:tabs>
        <w:ind w:left="4320" w:hanging="360"/>
      </w:pPr>
      <w:rPr>
        <w:rFonts w:ascii="Arial" w:hAnsi="Arial" w:hint="default"/>
      </w:rPr>
    </w:lvl>
    <w:lvl w:ilvl="6" w:tplc="98627C6C" w:tentative="1">
      <w:start w:val="1"/>
      <w:numFmt w:val="bullet"/>
      <w:lvlText w:val="•"/>
      <w:lvlJc w:val="left"/>
      <w:pPr>
        <w:tabs>
          <w:tab w:val="num" w:pos="5040"/>
        </w:tabs>
        <w:ind w:left="5040" w:hanging="360"/>
      </w:pPr>
      <w:rPr>
        <w:rFonts w:ascii="Arial" w:hAnsi="Arial" w:hint="default"/>
      </w:rPr>
    </w:lvl>
    <w:lvl w:ilvl="7" w:tplc="D11C97B8" w:tentative="1">
      <w:start w:val="1"/>
      <w:numFmt w:val="bullet"/>
      <w:lvlText w:val="•"/>
      <w:lvlJc w:val="left"/>
      <w:pPr>
        <w:tabs>
          <w:tab w:val="num" w:pos="5760"/>
        </w:tabs>
        <w:ind w:left="5760" w:hanging="360"/>
      </w:pPr>
      <w:rPr>
        <w:rFonts w:ascii="Arial" w:hAnsi="Arial" w:hint="default"/>
      </w:rPr>
    </w:lvl>
    <w:lvl w:ilvl="8" w:tplc="D528E576"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737B0054"/>
    <w:multiLevelType w:val="hybridMultilevel"/>
    <w:tmpl w:val="D35893A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D487D54"/>
    <w:multiLevelType w:val="hybridMultilevel"/>
    <w:tmpl w:val="848C7CCE"/>
    <w:lvl w:ilvl="0" w:tplc="8BEC685C">
      <w:start w:val="1"/>
      <w:numFmt w:val="bullet"/>
      <w:lvlText w:val="•"/>
      <w:lvlJc w:val="left"/>
      <w:pPr>
        <w:tabs>
          <w:tab w:val="num" w:pos="720"/>
        </w:tabs>
        <w:ind w:left="720" w:hanging="360"/>
      </w:pPr>
      <w:rPr>
        <w:rFonts w:ascii="Arial" w:hAnsi="Arial" w:hint="default"/>
      </w:rPr>
    </w:lvl>
    <w:lvl w:ilvl="1" w:tplc="F07E9252" w:tentative="1">
      <w:start w:val="1"/>
      <w:numFmt w:val="bullet"/>
      <w:lvlText w:val="•"/>
      <w:lvlJc w:val="left"/>
      <w:pPr>
        <w:tabs>
          <w:tab w:val="num" w:pos="1440"/>
        </w:tabs>
        <w:ind w:left="1440" w:hanging="360"/>
      </w:pPr>
      <w:rPr>
        <w:rFonts w:ascii="Arial" w:hAnsi="Arial" w:hint="default"/>
      </w:rPr>
    </w:lvl>
    <w:lvl w:ilvl="2" w:tplc="E576660C" w:tentative="1">
      <w:start w:val="1"/>
      <w:numFmt w:val="bullet"/>
      <w:lvlText w:val="•"/>
      <w:lvlJc w:val="left"/>
      <w:pPr>
        <w:tabs>
          <w:tab w:val="num" w:pos="2160"/>
        </w:tabs>
        <w:ind w:left="2160" w:hanging="360"/>
      </w:pPr>
      <w:rPr>
        <w:rFonts w:ascii="Arial" w:hAnsi="Arial" w:hint="default"/>
      </w:rPr>
    </w:lvl>
    <w:lvl w:ilvl="3" w:tplc="30B4F0E4" w:tentative="1">
      <w:start w:val="1"/>
      <w:numFmt w:val="bullet"/>
      <w:lvlText w:val="•"/>
      <w:lvlJc w:val="left"/>
      <w:pPr>
        <w:tabs>
          <w:tab w:val="num" w:pos="2880"/>
        </w:tabs>
        <w:ind w:left="2880" w:hanging="360"/>
      </w:pPr>
      <w:rPr>
        <w:rFonts w:ascii="Arial" w:hAnsi="Arial" w:hint="default"/>
      </w:rPr>
    </w:lvl>
    <w:lvl w:ilvl="4" w:tplc="E53CE702" w:tentative="1">
      <w:start w:val="1"/>
      <w:numFmt w:val="bullet"/>
      <w:lvlText w:val="•"/>
      <w:lvlJc w:val="left"/>
      <w:pPr>
        <w:tabs>
          <w:tab w:val="num" w:pos="3600"/>
        </w:tabs>
        <w:ind w:left="3600" w:hanging="360"/>
      </w:pPr>
      <w:rPr>
        <w:rFonts w:ascii="Arial" w:hAnsi="Arial" w:hint="default"/>
      </w:rPr>
    </w:lvl>
    <w:lvl w:ilvl="5" w:tplc="F1D4080E" w:tentative="1">
      <w:start w:val="1"/>
      <w:numFmt w:val="bullet"/>
      <w:lvlText w:val="•"/>
      <w:lvlJc w:val="left"/>
      <w:pPr>
        <w:tabs>
          <w:tab w:val="num" w:pos="4320"/>
        </w:tabs>
        <w:ind w:left="4320" w:hanging="360"/>
      </w:pPr>
      <w:rPr>
        <w:rFonts w:ascii="Arial" w:hAnsi="Arial" w:hint="default"/>
      </w:rPr>
    </w:lvl>
    <w:lvl w:ilvl="6" w:tplc="62C8EDD2" w:tentative="1">
      <w:start w:val="1"/>
      <w:numFmt w:val="bullet"/>
      <w:lvlText w:val="•"/>
      <w:lvlJc w:val="left"/>
      <w:pPr>
        <w:tabs>
          <w:tab w:val="num" w:pos="5040"/>
        </w:tabs>
        <w:ind w:left="5040" w:hanging="360"/>
      </w:pPr>
      <w:rPr>
        <w:rFonts w:ascii="Arial" w:hAnsi="Arial" w:hint="default"/>
      </w:rPr>
    </w:lvl>
    <w:lvl w:ilvl="7" w:tplc="1234BF64" w:tentative="1">
      <w:start w:val="1"/>
      <w:numFmt w:val="bullet"/>
      <w:lvlText w:val="•"/>
      <w:lvlJc w:val="left"/>
      <w:pPr>
        <w:tabs>
          <w:tab w:val="num" w:pos="5760"/>
        </w:tabs>
        <w:ind w:left="5760" w:hanging="360"/>
      </w:pPr>
      <w:rPr>
        <w:rFonts w:ascii="Arial" w:hAnsi="Arial" w:hint="default"/>
      </w:rPr>
    </w:lvl>
    <w:lvl w:ilvl="8" w:tplc="F9666FEC" w:tentative="1">
      <w:start w:val="1"/>
      <w:numFmt w:val="bullet"/>
      <w:lvlText w:val="•"/>
      <w:lvlJc w:val="left"/>
      <w:pPr>
        <w:tabs>
          <w:tab w:val="num" w:pos="6480"/>
        </w:tabs>
        <w:ind w:left="6480" w:hanging="360"/>
      </w:pPr>
      <w:rPr>
        <w:rFonts w:ascii="Arial" w:hAnsi="Arial" w:hint="default"/>
      </w:rPr>
    </w:lvl>
  </w:abstractNum>
  <w:abstractNum w:abstractNumId="13" w15:restartNumberingAfterBreak="0">
    <w:nsid w:val="7DFC09A8"/>
    <w:multiLevelType w:val="multilevel"/>
    <w:tmpl w:val="287EC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2144283">
    <w:abstractNumId w:val="11"/>
  </w:num>
  <w:num w:numId="2" w16cid:durableId="661278047">
    <w:abstractNumId w:val="3"/>
  </w:num>
  <w:num w:numId="3" w16cid:durableId="537935079">
    <w:abstractNumId w:val="2"/>
  </w:num>
  <w:num w:numId="4" w16cid:durableId="842353049">
    <w:abstractNumId w:val="10"/>
  </w:num>
  <w:num w:numId="5" w16cid:durableId="1329551314">
    <w:abstractNumId w:val="8"/>
  </w:num>
  <w:num w:numId="6" w16cid:durableId="1569071993">
    <w:abstractNumId w:val="5"/>
  </w:num>
  <w:num w:numId="7" w16cid:durableId="1306544973">
    <w:abstractNumId w:val="1"/>
  </w:num>
  <w:num w:numId="8" w16cid:durableId="508103951">
    <w:abstractNumId w:val="12"/>
  </w:num>
  <w:num w:numId="9" w16cid:durableId="769201095">
    <w:abstractNumId w:val="6"/>
  </w:num>
  <w:num w:numId="10" w16cid:durableId="107046381">
    <w:abstractNumId w:val="9"/>
  </w:num>
  <w:num w:numId="11" w16cid:durableId="360715070">
    <w:abstractNumId w:val="13"/>
  </w:num>
  <w:num w:numId="12" w16cid:durableId="1023824971">
    <w:abstractNumId w:val="7"/>
  </w:num>
  <w:num w:numId="13" w16cid:durableId="650603031">
    <w:abstractNumId w:val="0"/>
  </w:num>
  <w:num w:numId="14" w16cid:durableId="49330042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4DDD"/>
    <w:rsid w:val="000F3D25"/>
    <w:rsid w:val="00183E57"/>
    <w:rsid w:val="002B4DDD"/>
    <w:rsid w:val="002F3C26"/>
    <w:rsid w:val="003E5424"/>
    <w:rsid w:val="00567D5B"/>
    <w:rsid w:val="006548ED"/>
    <w:rsid w:val="00657579"/>
    <w:rsid w:val="006870E9"/>
    <w:rsid w:val="006F2C46"/>
    <w:rsid w:val="007B7A85"/>
    <w:rsid w:val="00812DE9"/>
    <w:rsid w:val="0085054F"/>
    <w:rsid w:val="008E3AE5"/>
    <w:rsid w:val="00991493"/>
    <w:rsid w:val="00A53443"/>
    <w:rsid w:val="00C315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BB74B7"/>
  <w15:chartTrackingRefBased/>
  <w15:docId w15:val="{8D831F70-B8A4-42AB-B15A-3C81A75B51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4DD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B4DD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B4DD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B4DD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B4DD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B4D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4D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4D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4D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4DD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B4DD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B4DD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B4DD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B4DD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B4D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4D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4D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4DDD"/>
    <w:rPr>
      <w:rFonts w:eastAsiaTheme="majorEastAsia" w:cstheme="majorBidi"/>
      <w:color w:val="272727" w:themeColor="text1" w:themeTint="D8"/>
    </w:rPr>
  </w:style>
  <w:style w:type="paragraph" w:styleId="Title">
    <w:name w:val="Title"/>
    <w:basedOn w:val="Normal"/>
    <w:next w:val="Normal"/>
    <w:link w:val="TitleChar"/>
    <w:uiPriority w:val="10"/>
    <w:qFormat/>
    <w:rsid w:val="002B4D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4D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4D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4D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4DDD"/>
    <w:pPr>
      <w:spacing w:before="160"/>
      <w:jc w:val="center"/>
    </w:pPr>
    <w:rPr>
      <w:i/>
      <w:iCs/>
      <w:color w:val="404040" w:themeColor="text1" w:themeTint="BF"/>
    </w:rPr>
  </w:style>
  <w:style w:type="character" w:customStyle="1" w:styleId="QuoteChar">
    <w:name w:val="Quote Char"/>
    <w:basedOn w:val="DefaultParagraphFont"/>
    <w:link w:val="Quote"/>
    <w:uiPriority w:val="29"/>
    <w:rsid w:val="002B4DDD"/>
    <w:rPr>
      <w:i/>
      <w:iCs/>
      <w:color w:val="404040" w:themeColor="text1" w:themeTint="BF"/>
    </w:rPr>
  </w:style>
  <w:style w:type="paragraph" w:styleId="ListParagraph">
    <w:name w:val="List Paragraph"/>
    <w:basedOn w:val="Normal"/>
    <w:uiPriority w:val="34"/>
    <w:qFormat/>
    <w:rsid w:val="002B4DDD"/>
    <w:pPr>
      <w:ind w:left="720"/>
      <w:contextualSpacing/>
    </w:pPr>
  </w:style>
  <w:style w:type="character" w:styleId="IntenseEmphasis">
    <w:name w:val="Intense Emphasis"/>
    <w:basedOn w:val="DefaultParagraphFont"/>
    <w:uiPriority w:val="21"/>
    <w:qFormat/>
    <w:rsid w:val="002B4DDD"/>
    <w:rPr>
      <w:i/>
      <w:iCs/>
      <w:color w:val="0F4761" w:themeColor="accent1" w:themeShade="BF"/>
    </w:rPr>
  </w:style>
  <w:style w:type="paragraph" w:styleId="IntenseQuote">
    <w:name w:val="Intense Quote"/>
    <w:basedOn w:val="Normal"/>
    <w:next w:val="Normal"/>
    <w:link w:val="IntenseQuoteChar"/>
    <w:uiPriority w:val="30"/>
    <w:qFormat/>
    <w:rsid w:val="002B4D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B4DDD"/>
    <w:rPr>
      <w:i/>
      <w:iCs/>
      <w:color w:val="0F4761" w:themeColor="accent1" w:themeShade="BF"/>
    </w:rPr>
  </w:style>
  <w:style w:type="character" w:styleId="IntenseReference">
    <w:name w:val="Intense Reference"/>
    <w:basedOn w:val="DefaultParagraphFont"/>
    <w:uiPriority w:val="32"/>
    <w:qFormat/>
    <w:rsid w:val="002B4DD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174</TotalTime>
  <Pages>1</Pages>
  <Words>1299</Words>
  <Characters>7410</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Alejandro Rodriguez Garrido</dc:creator>
  <cp:keywords/>
  <dc:description/>
  <cp:lastModifiedBy>Jose Alejandro Rodriguez Garrido</cp:lastModifiedBy>
  <cp:revision>3</cp:revision>
  <dcterms:created xsi:type="dcterms:W3CDTF">2026-04-21T09:01:00Z</dcterms:created>
  <dcterms:modified xsi:type="dcterms:W3CDTF">2026-04-21T11:55:00Z</dcterms:modified>
</cp:coreProperties>
</file>