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F6369" w:rsidRDefault="00000000">
      <w:pPr>
        <w:pStyle w:val="Heading1"/>
      </w:pPr>
      <w:r>
        <w:t>Presentation Script</w:t>
      </w:r>
    </w:p>
    <w:p w14:paraId="00000002" w14:textId="77777777" w:rsidR="00AF6369" w:rsidRDefault="00000000">
      <w:r>
        <w:t>Hello, my name is Alejandro, and today I am going to present Oil-at-Risk: a framework for studying oil price vulnerabilities and their exposure to geopolitical risk.</w:t>
      </w:r>
    </w:p>
    <w:p w14:paraId="00000003" w14:textId="77777777" w:rsidR="00AF6369" w:rsidRDefault="00000000">
      <w:pPr>
        <w:pStyle w:val="Heading2"/>
      </w:pPr>
      <w:r>
        <w:t>Acknowledgements</w:t>
      </w:r>
    </w:p>
    <w:p w14:paraId="00000004" w14:textId="77777777" w:rsidR="00AF6369" w:rsidRDefault="00000000">
      <w:r>
        <w:t xml:space="preserve">Before starting, I would like to thank my professors in the master’s </w:t>
      </w:r>
      <w:proofErr w:type="spellStart"/>
      <w:r>
        <w:t>programme</w:t>
      </w:r>
      <w:proofErr w:type="spellEnd"/>
      <w:r>
        <w:t xml:space="preserve">, and especially my supervisors, Diego Fresoli and Pilar </w:t>
      </w:r>
      <w:proofErr w:type="spellStart"/>
      <w:r>
        <w:t>Poncela</w:t>
      </w:r>
      <w:proofErr w:type="spellEnd"/>
      <w:r>
        <w:t>, for their continuous support over the last months in the development of this thesis.</w:t>
      </w:r>
    </w:p>
    <w:p w14:paraId="00000005" w14:textId="77777777" w:rsidR="00AF6369" w:rsidRDefault="00000000">
      <w:pPr>
        <w:pStyle w:val="Heading2"/>
      </w:pPr>
      <w:r>
        <w:t>Motivation</w:t>
      </w:r>
    </w:p>
    <w:p w14:paraId="5D0CD554" w14:textId="547FEE18" w:rsidR="000B3D82" w:rsidRDefault="000B3D82" w:rsidP="000B3D82">
      <w:pPr>
        <w:pStyle w:val="ListParagraph"/>
        <w:numPr>
          <w:ilvl w:val="0"/>
          <w:numId w:val="4"/>
        </w:numPr>
      </w:pPr>
      <w:r>
        <w:t>In the proposal we stated that oil prices are a primary concern for investors, producers and economist because they are an essential input to many strategic sectors and they are a primary driver of inflation.</w:t>
      </w:r>
    </w:p>
    <w:p w14:paraId="7662B569" w14:textId="1AD2DA32" w:rsidR="000B3D82" w:rsidRDefault="000B3D82" w:rsidP="000B3D82">
      <w:pPr>
        <w:pStyle w:val="ListParagraph"/>
        <w:numPr>
          <w:ilvl w:val="0"/>
          <w:numId w:val="4"/>
        </w:numPr>
      </w:pPr>
      <w:r>
        <w:t xml:space="preserve">We also talked about how mean-based models failed the data due to the </w:t>
      </w:r>
      <w:proofErr w:type="spellStart"/>
      <w:r>
        <w:t>existance</w:t>
      </w:r>
      <w:proofErr w:type="spellEnd"/>
      <w:r>
        <w:t xml:space="preserve"> of influential observations, volatility clustering and heavy tails</w:t>
      </w:r>
    </w:p>
    <w:p w14:paraId="0000000D" w14:textId="11113AE3" w:rsidR="00AF6369" w:rsidRDefault="00000000">
      <w:r>
        <w:t>Given these arguments, we decided to adapt the Growth-at-Risk framework of Adrian et al. (2019) to study the vulnerability of daily oil prices.</w:t>
      </w:r>
    </w:p>
    <w:p w14:paraId="0000000E" w14:textId="77777777" w:rsidR="00AF6369" w:rsidRDefault="00AF6369"/>
    <w:p w14:paraId="0000000F" w14:textId="77777777" w:rsidR="00AF6369" w:rsidRDefault="00000000">
      <w:pPr>
        <w:pStyle w:val="Heading2"/>
      </w:pPr>
      <w:r>
        <w:br w:type="page"/>
      </w:r>
    </w:p>
    <w:p w14:paraId="00000010" w14:textId="77777777" w:rsidR="00AF6369" w:rsidRDefault="00000000">
      <w:pPr>
        <w:pStyle w:val="Heading2"/>
      </w:pPr>
      <w:r>
        <w:lastRenderedPageBreak/>
        <w:t>Introduction</w:t>
      </w:r>
    </w:p>
    <w:p w14:paraId="00000016" w14:textId="781ECB55" w:rsidR="00AF6369" w:rsidRDefault="00AF6369" w:rsidP="000B3D82"/>
    <w:p w14:paraId="00000017" w14:textId="3506CCCC" w:rsidR="00AF6369" w:rsidRDefault="00000000">
      <w:r>
        <w:t>Th</w:t>
      </w:r>
      <w:r w:rsidR="000B3D82">
        <w:t>e presentation is structured as follows</w:t>
      </w:r>
      <w:r>
        <w:t>:</w:t>
      </w:r>
    </w:p>
    <w:p w14:paraId="00000018" w14:textId="5F683B95" w:rsidR="00AF6369" w:rsidRDefault="00000000">
      <w:pPr>
        <w:numPr>
          <w:ilvl w:val="0"/>
          <w:numId w:val="2"/>
        </w:numPr>
        <w:pBdr>
          <w:top w:val="nil"/>
          <w:left w:val="nil"/>
          <w:bottom w:val="nil"/>
          <w:right w:val="nil"/>
          <w:between w:val="nil"/>
        </w:pBdr>
      </w:pPr>
      <w:r>
        <w:rPr>
          <w:color w:val="000000"/>
          <w:sz w:val="22"/>
          <w:szCs w:val="22"/>
        </w:rPr>
        <w:t xml:space="preserve">First, we will review the existing literature and locate this thesis within it — that is, the main research question we are trying to answer: how exposed </w:t>
      </w:r>
      <w:r w:rsidR="00404F2F">
        <w:rPr>
          <w:color w:val="000000"/>
          <w:sz w:val="22"/>
          <w:szCs w:val="22"/>
        </w:rPr>
        <w:t>future oil prices are</w:t>
      </w:r>
      <w:r>
        <w:rPr>
          <w:color w:val="000000"/>
          <w:sz w:val="22"/>
          <w:szCs w:val="22"/>
        </w:rPr>
        <w:t xml:space="preserve"> to extreme geopolitical and market risks, and can that exposure be anticipated?</w:t>
      </w:r>
    </w:p>
    <w:p w14:paraId="00000019" w14:textId="74733C07" w:rsidR="00AF6369" w:rsidRDefault="00000000">
      <w:pPr>
        <w:numPr>
          <w:ilvl w:val="0"/>
          <w:numId w:val="2"/>
        </w:numPr>
        <w:pBdr>
          <w:top w:val="nil"/>
          <w:left w:val="nil"/>
          <w:bottom w:val="nil"/>
          <w:right w:val="nil"/>
          <w:between w:val="nil"/>
        </w:pBdr>
      </w:pPr>
      <w:r>
        <w:rPr>
          <w:color w:val="000000"/>
          <w:sz w:val="22"/>
          <w:szCs w:val="22"/>
        </w:rPr>
        <w:t xml:space="preserve">We will then take a brief look at the data we use and at the </w:t>
      </w:r>
      <w:r w:rsidR="00404F2F">
        <w:rPr>
          <w:color w:val="000000"/>
          <w:sz w:val="22"/>
          <w:szCs w:val="22"/>
        </w:rPr>
        <w:t>specifications</w:t>
      </w:r>
      <w:r>
        <w:rPr>
          <w:color w:val="000000"/>
          <w:sz w:val="22"/>
          <w:szCs w:val="22"/>
        </w:rPr>
        <w:t xml:space="preserve"> we propose.</w:t>
      </w:r>
    </w:p>
    <w:p w14:paraId="7299E225" w14:textId="263E028C" w:rsidR="000B3D82" w:rsidRPr="000B3D82" w:rsidRDefault="00000000" w:rsidP="000B3D82">
      <w:pPr>
        <w:numPr>
          <w:ilvl w:val="0"/>
          <w:numId w:val="2"/>
        </w:numPr>
        <w:pBdr>
          <w:top w:val="nil"/>
          <w:left w:val="nil"/>
          <w:bottom w:val="nil"/>
          <w:right w:val="nil"/>
          <w:between w:val="nil"/>
        </w:pBdr>
      </w:pPr>
      <w:r>
        <w:rPr>
          <w:color w:val="000000"/>
          <w:sz w:val="22"/>
          <w:szCs w:val="22"/>
        </w:rPr>
        <w:t>After that, we will follow the</w:t>
      </w:r>
      <w:r w:rsidR="000B3D82">
        <w:rPr>
          <w:color w:val="000000"/>
          <w:sz w:val="22"/>
          <w:szCs w:val="22"/>
        </w:rPr>
        <w:t xml:space="preserve"> model pipeline, which includes</w:t>
      </w:r>
    </w:p>
    <w:p w14:paraId="2B92C74A" w14:textId="6C18E20E" w:rsidR="000B3D82" w:rsidRDefault="000B3D82" w:rsidP="000B3D82">
      <w:pPr>
        <w:pBdr>
          <w:top w:val="nil"/>
          <w:left w:val="nil"/>
          <w:bottom w:val="nil"/>
          <w:right w:val="nil"/>
          <w:between w:val="nil"/>
        </w:pBdr>
        <w:ind w:left="720"/>
      </w:pPr>
      <w:r>
        <w:rPr>
          <w:color w:val="000000"/>
          <w:sz w:val="22"/>
          <w:szCs w:val="22"/>
        </w:rPr>
        <w:t xml:space="preserve">Defining an specification for the quantile regression, performing a direct forecast to a selected horizon, from the discrete forecasted quantiles we will fit a parametric density </w:t>
      </w:r>
      <w:r w:rsidR="00404F2F">
        <w:rPr>
          <w:color w:val="000000"/>
          <w:sz w:val="22"/>
          <w:szCs w:val="22"/>
        </w:rPr>
        <w:t>function</w:t>
      </w:r>
      <w:r>
        <w:rPr>
          <w:color w:val="000000"/>
          <w:sz w:val="22"/>
          <w:szCs w:val="22"/>
        </w:rPr>
        <w:t xml:space="preserve">, from which we will extract some risk metrics, and finally, we will </w:t>
      </w:r>
      <w:r w:rsidR="00404F2F">
        <w:rPr>
          <w:color w:val="000000"/>
          <w:sz w:val="22"/>
          <w:szCs w:val="22"/>
        </w:rPr>
        <w:t>assess</w:t>
      </w:r>
      <w:r>
        <w:rPr>
          <w:color w:val="000000"/>
          <w:sz w:val="22"/>
          <w:szCs w:val="22"/>
        </w:rPr>
        <w:t xml:space="preserve"> if there exist predictive power in the metrics</w:t>
      </w:r>
    </w:p>
    <w:p w14:paraId="0000001B" w14:textId="2A0C0E71" w:rsidR="00AF6369" w:rsidRDefault="00000000" w:rsidP="000B3D82">
      <w:pPr>
        <w:numPr>
          <w:ilvl w:val="0"/>
          <w:numId w:val="2"/>
        </w:numPr>
        <w:pBdr>
          <w:top w:val="nil"/>
          <w:left w:val="nil"/>
          <w:bottom w:val="nil"/>
          <w:right w:val="nil"/>
          <w:between w:val="nil"/>
        </w:pBdr>
      </w:pPr>
      <w:r w:rsidRPr="000B3D82">
        <w:rPr>
          <w:color w:val="000000"/>
          <w:sz w:val="22"/>
          <w:szCs w:val="22"/>
        </w:rPr>
        <w:t>Finally, we will conclude and leave some time for questions.</w:t>
      </w:r>
    </w:p>
    <w:p w14:paraId="0000001C" w14:textId="77777777" w:rsidR="00AF6369" w:rsidRDefault="00000000">
      <w:pPr>
        <w:pStyle w:val="Heading2"/>
      </w:pPr>
      <w:r>
        <w:br w:type="page"/>
      </w:r>
    </w:p>
    <w:p w14:paraId="0000001D" w14:textId="77777777" w:rsidR="00AF6369" w:rsidRDefault="00000000">
      <w:pPr>
        <w:pStyle w:val="Heading2"/>
      </w:pPr>
      <w:r>
        <w:lastRenderedPageBreak/>
        <w:t>Literature review</w:t>
      </w:r>
    </w:p>
    <w:p w14:paraId="0000001E" w14:textId="77777777" w:rsidR="00AF6369" w:rsidRDefault="00000000">
      <w:pPr>
        <w:numPr>
          <w:ilvl w:val="0"/>
          <w:numId w:val="2"/>
        </w:numPr>
        <w:pBdr>
          <w:top w:val="nil"/>
          <w:left w:val="nil"/>
          <w:bottom w:val="nil"/>
          <w:right w:val="nil"/>
          <w:between w:val="nil"/>
        </w:pBdr>
      </w:pPr>
      <w:r>
        <w:rPr>
          <w:color w:val="000000"/>
          <w:sz w:val="22"/>
          <w:szCs w:val="22"/>
        </w:rPr>
        <w:t xml:space="preserve">The main research behind this thesis is the paper by Adrian, </w:t>
      </w:r>
      <w:proofErr w:type="spellStart"/>
      <w:r>
        <w:rPr>
          <w:color w:val="000000"/>
          <w:sz w:val="22"/>
          <w:szCs w:val="22"/>
        </w:rPr>
        <w:t>Boyarchenko</w:t>
      </w:r>
      <w:proofErr w:type="spellEnd"/>
      <w:r>
        <w:rPr>
          <w:color w:val="000000"/>
          <w:sz w:val="22"/>
          <w:szCs w:val="22"/>
        </w:rPr>
        <w:t xml:space="preserve"> and Giannone (2019), who model the conditional distribution of GDP growth as a function of financial conditions. They show that adverse financial conditions greatly </w:t>
      </w:r>
      <w:r w:rsidRPr="00404F2F">
        <w:rPr>
          <w:color w:val="000000"/>
          <w:sz w:val="22"/>
          <w:szCs w:val="22"/>
          <w:highlight w:val="yellow"/>
        </w:rPr>
        <w:t>deteriorate</w:t>
      </w:r>
      <w:r>
        <w:rPr>
          <w:color w:val="000000"/>
          <w:sz w:val="22"/>
          <w:szCs w:val="22"/>
        </w:rPr>
        <w:t xml:space="preserve"> the lower quantiles of the growth distribution</w:t>
      </w:r>
      <w:r>
        <w:rPr>
          <w:sz w:val="22"/>
          <w:szCs w:val="22"/>
        </w:rPr>
        <w:t>.</w:t>
      </w:r>
    </w:p>
    <w:p w14:paraId="0000001F" w14:textId="77777777" w:rsidR="00AF6369" w:rsidRDefault="00000000">
      <w:pPr>
        <w:numPr>
          <w:ilvl w:val="0"/>
          <w:numId w:val="2"/>
        </w:numPr>
        <w:pBdr>
          <w:top w:val="nil"/>
          <w:left w:val="nil"/>
          <w:bottom w:val="nil"/>
          <w:right w:val="nil"/>
          <w:between w:val="nil"/>
        </w:pBdr>
      </w:pPr>
      <w:r>
        <w:rPr>
          <w:color w:val="000000"/>
          <w:sz w:val="22"/>
          <w:szCs w:val="22"/>
        </w:rPr>
        <w:t xml:space="preserve">Their original setup ran quantile regressions at a small set of target quantiles, run a direct </w:t>
      </w:r>
      <w:r>
        <w:rPr>
          <w:sz w:val="22"/>
          <w:szCs w:val="22"/>
        </w:rPr>
        <w:t xml:space="preserve">forecasting on some selected horizons, and </w:t>
      </w:r>
      <w:r>
        <w:rPr>
          <w:color w:val="000000"/>
          <w:sz w:val="22"/>
          <w:szCs w:val="22"/>
        </w:rPr>
        <w:t>fitted a skewed-t distribution to those quantiles, then they extracted risk metrics from the resulting density to study vulnerability.</w:t>
      </w:r>
    </w:p>
    <w:p w14:paraId="00000020" w14:textId="77777777" w:rsidR="00AF6369" w:rsidRDefault="00000000">
      <w:pPr>
        <w:numPr>
          <w:ilvl w:val="0"/>
          <w:numId w:val="2"/>
        </w:numPr>
        <w:pBdr>
          <w:top w:val="nil"/>
          <w:left w:val="nil"/>
          <w:bottom w:val="nil"/>
          <w:right w:val="nil"/>
          <w:between w:val="nil"/>
        </w:pBdr>
      </w:pPr>
      <w:r>
        <w:rPr>
          <w:color w:val="000000"/>
          <w:sz w:val="22"/>
          <w:szCs w:val="22"/>
        </w:rPr>
        <w:t xml:space="preserve">That original architecture was designed for quarterly data and </w:t>
      </w:r>
      <w:r>
        <w:rPr>
          <w:sz w:val="22"/>
          <w:szCs w:val="22"/>
        </w:rPr>
        <w:t>macroeconomic indicators</w:t>
      </w:r>
      <w:r>
        <w:rPr>
          <w:color w:val="000000"/>
          <w:sz w:val="22"/>
          <w:szCs w:val="22"/>
        </w:rPr>
        <w:t xml:space="preserve">, so we </w:t>
      </w:r>
      <w:r>
        <w:rPr>
          <w:sz w:val="22"/>
          <w:szCs w:val="22"/>
        </w:rPr>
        <w:t>adapted</w:t>
      </w:r>
      <w:r>
        <w:rPr>
          <w:color w:val="000000"/>
          <w:sz w:val="22"/>
          <w:szCs w:val="22"/>
        </w:rPr>
        <w:t xml:space="preserve"> it to exploit the high-frequency data </w:t>
      </w:r>
      <w:r>
        <w:rPr>
          <w:sz w:val="22"/>
          <w:szCs w:val="22"/>
        </w:rPr>
        <w:t xml:space="preserve">and </w:t>
      </w:r>
      <w:r>
        <w:rPr>
          <w:color w:val="000000"/>
          <w:sz w:val="22"/>
          <w:szCs w:val="22"/>
        </w:rPr>
        <w:t xml:space="preserve"> financial markets and to approach a familiar but different problem.</w:t>
      </w:r>
    </w:p>
    <w:p w14:paraId="00000021" w14:textId="5507A71D" w:rsidR="00AF6369" w:rsidRDefault="00000000">
      <w:r w:rsidRPr="007357F3">
        <w:rPr>
          <w:highlight w:val="yellow"/>
        </w:rPr>
        <w:t xml:space="preserve">As a whole, the adapted methodology rests on </w:t>
      </w:r>
      <w:r w:rsidR="007D3981" w:rsidRPr="007357F3">
        <w:rPr>
          <w:highlight w:val="yellow"/>
        </w:rPr>
        <w:t>four</w:t>
      </w:r>
      <w:r w:rsidRPr="007357F3">
        <w:rPr>
          <w:highlight w:val="yellow"/>
        </w:rPr>
        <w:t xml:space="preserve"> pillars:</w:t>
      </w:r>
    </w:p>
    <w:p w14:paraId="00000022" w14:textId="6FEE640E" w:rsidR="00AF6369" w:rsidRDefault="00000000">
      <w:pPr>
        <w:numPr>
          <w:ilvl w:val="0"/>
          <w:numId w:val="2"/>
        </w:numPr>
        <w:pBdr>
          <w:top w:val="nil"/>
          <w:left w:val="nil"/>
          <w:bottom w:val="nil"/>
          <w:right w:val="nil"/>
          <w:between w:val="nil"/>
        </w:pBdr>
      </w:pPr>
      <w:r>
        <w:rPr>
          <w:color w:val="000000"/>
          <w:sz w:val="22"/>
          <w:szCs w:val="22"/>
        </w:rPr>
        <w:t xml:space="preserve">Koenker and Bassett (1978), who </w:t>
      </w:r>
      <w:r w:rsidR="00886930">
        <w:rPr>
          <w:color w:val="000000"/>
          <w:sz w:val="22"/>
          <w:szCs w:val="22"/>
        </w:rPr>
        <w:t>formalized</w:t>
      </w:r>
      <w:r>
        <w:rPr>
          <w:color w:val="000000"/>
          <w:sz w:val="22"/>
          <w:szCs w:val="22"/>
        </w:rPr>
        <w:t xml:space="preserve"> quantile regression and its main diagnostic tools. This is the same QR machinery used by the original authors, so no changes here.</w:t>
      </w:r>
    </w:p>
    <w:p w14:paraId="00000023" w14:textId="77777777" w:rsidR="00AF6369" w:rsidRDefault="00000000">
      <w:pPr>
        <w:numPr>
          <w:ilvl w:val="0"/>
          <w:numId w:val="2"/>
        </w:numPr>
        <w:pBdr>
          <w:top w:val="nil"/>
          <w:left w:val="nil"/>
          <w:bottom w:val="nil"/>
          <w:right w:val="nil"/>
          <w:between w:val="nil"/>
        </w:pBdr>
      </w:pPr>
      <w:r>
        <w:rPr>
          <w:color w:val="000000"/>
          <w:sz w:val="22"/>
          <w:szCs w:val="22"/>
        </w:rPr>
        <w:t xml:space="preserve">Engle and Manganelli (2004), who introduced the </w:t>
      </w:r>
      <w:proofErr w:type="spellStart"/>
      <w:r>
        <w:rPr>
          <w:color w:val="000000"/>
          <w:sz w:val="22"/>
          <w:szCs w:val="22"/>
        </w:rPr>
        <w:t>CAViaR</w:t>
      </w:r>
      <w:proofErr w:type="spellEnd"/>
      <w:r>
        <w:rPr>
          <w:color w:val="000000"/>
          <w:sz w:val="22"/>
          <w:szCs w:val="22"/>
        </w:rPr>
        <w:t xml:space="preserve"> models. As we will see later, their key insight is imported into two alternative specifications for our quantile regression.</w:t>
      </w:r>
    </w:p>
    <w:p w14:paraId="00000024" w14:textId="77777777" w:rsidR="00AF6369" w:rsidRDefault="00000000">
      <w:pPr>
        <w:numPr>
          <w:ilvl w:val="0"/>
          <w:numId w:val="2"/>
        </w:numPr>
        <w:pBdr>
          <w:top w:val="nil"/>
          <w:left w:val="nil"/>
          <w:bottom w:val="nil"/>
          <w:right w:val="nil"/>
          <w:between w:val="nil"/>
        </w:pBdr>
      </w:pPr>
      <w:r>
        <w:rPr>
          <w:color w:val="000000"/>
          <w:sz w:val="22"/>
          <w:szCs w:val="22"/>
        </w:rPr>
        <w:t xml:space="preserve">Johnson (1949): we depart from the Azzalini skewed-t distribution used in the canonical framework and adopt the Johnson SU, one of the most widely used distributions for modelling financial returns. </w:t>
      </w:r>
    </w:p>
    <w:p w14:paraId="00000025" w14:textId="77777777" w:rsidR="00AF6369" w:rsidRDefault="00000000">
      <w:pPr>
        <w:numPr>
          <w:ilvl w:val="0"/>
          <w:numId w:val="2"/>
        </w:numPr>
        <w:pBdr>
          <w:top w:val="nil"/>
          <w:left w:val="nil"/>
          <w:bottom w:val="nil"/>
          <w:right w:val="nil"/>
          <w:between w:val="nil"/>
        </w:pBdr>
      </w:pPr>
      <w:proofErr w:type="spellStart"/>
      <w:r>
        <w:rPr>
          <w:color w:val="000000"/>
          <w:sz w:val="22"/>
          <w:szCs w:val="22"/>
        </w:rPr>
        <w:t>Kullback</w:t>
      </w:r>
      <w:proofErr w:type="spellEnd"/>
      <w:r>
        <w:rPr>
          <w:color w:val="000000"/>
          <w:sz w:val="22"/>
          <w:szCs w:val="22"/>
        </w:rPr>
        <w:t xml:space="preserve"> and Leibler (1951), building on Shannon’s information theory: their relative entropy is our main vulnerability metric.</w:t>
      </w:r>
    </w:p>
    <w:p w14:paraId="00000026" w14:textId="77777777" w:rsidR="00AF6369" w:rsidRDefault="00000000">
      <w:pPr>
        <w:pStyle w:val="Heading2"/>
      </w:pPr>
      <w:r>
        <w:t>Contribution</w:t>
      </w:r>
    </w:p>
    <w:p w14:paraId="00000027" w14:textId="77777777" w:rsidR="00AF6369" w:rsidRDefault="00000000">
      <w:r>
        <w:t>This brings me to the main contribution of this thesis, which is to adapt a novel framework to study the vulnerability of oil prices. This includes:</w:t>
      </w:r>
    </w:p>
    <w:p w14:paraId="00000028" w14:textId="2B528B53" w:rsidR="00AF6369" w:rsidRDefault="00000000">
      <w:pPr>
        <w:numPr>
          <w:ilvl w:val="0"/>
          <w:numId w:val="2"/>
        </w:numPr>
        <w:pBdr>
          <w:top w:val="nil"/>
          <w:left w:val="nil"/>
          <w:bottom w:val="nil"/>
          <w:right w:val="nil"/>
          <w:between w:val="nil"/>
        </w:pBdr>
      </w:pPr>
      <w:r>
        <w:rPr>
          <w:color w:val="000000"/>
          <w:sz w:val="22"/>
          <w:szCs w:val="22"/>
        </w:rPr>
        <w:t>The implementation of</w:t>
      </w:r>
      <w:r>
        <w:rPr>
          <w:sz w:val="22"/>
          <w:szCs w:val="22"/>
        </w:rPr>
        <w:t xml:space="preserve"> familiar </w:t>
      </w:r>
      <w:r>
        <w:rPr>
          <w:color w:val="000000"/>
          <w:sz w:val="22"/>
          <w:szCs w:val="22"/>
        </w:rPr>
        <w:t>quantile models inside the architecture</w:t>
      </w:r>
      <w:r w:rsidR="00F44DC8">
        <w:rPr>
          <w:color w:val="000000"/>
          <w:sz w:val="22"/>
          <w:szCs w:val="22"/>
        </w:rPr>
        <w:t xml:space="preserve">, as well as a financial </w:t>
      </w:r>
    </w:p>
    <w:p w14:paraId="00000029" w14:textId="698D00FA" w:rsidR="00AF6369" w:rsidRDefault="00000000" w:rsidP="00F44DC8">
      <w:pPr>
        <w:pBdr>
          <w:top w:val="nil"/>
          <w:left w:val="nil"/>
          <w:bottom w:val="nil"/>
          <w:right w:val="nil"/>
          <w:between w:val="nil"/>
        </w:pBdr>
        <w:ind w:left="720"/>
      </w:pPr>
      <w:r>
        <w:rPr>
          <w:color w:val="000000"/>
          <w:sz w:val="22"/>
          <w:szCs w:val="22"/>
        </w:rPr>
        <w:t>finance-friendly alternative</w:t>
      </w:r>
      <w:r w:rsidR="00F44DC8">
        <w:rPr>
          <w:color w:val="000000"/>
          <w:sz w:val="22"/>
          <w:szCs w:val="22"/>
        </w:rPr>
        <w:t xml:space="preserve"> distribution</w:t>
      </w:r>
      <w:r>
        <w:rPr>
          <w:color w:val="000000"/>
          <w:sz w:val="22"/>
          <w:szCs w:val="22"/>
        </w:rPr>
        <w:t>, the Johnson SU.</w:t>
      </w:r>
    </w:p>
    <w:p w14:paraId="0000002A" w14:textId="46244EF5" w:rsidR="00AF6369" w:rsidRDefault="00F44DC8">
      <w:pPr>
        <w:numPr>
          <w:ilvl w:val="0"/>
          <w:numId w:val="2"/>
        </w:numPr>
        <w:pBdr>
          <w:top w:val="nil"/>
          <w:left w:val="nil"/>
          <w:bottom w:val="nil"/>
          <w:right w:val="nil"/>
          <w:between w:val="nil"/>
        </w:pBdr>
      </w:pPr>
      <w:r>
        <w:t>Show how the risk metrics may carry predictive power.</w:t>
      </w:r>
    </w:p>
    <w:p w14:paraId="0000002B" w14:textId="77777777" w:rsidR="00AF6369" w:rsidRDefault="00000000">
      <w:pPr>
        <w:numPr>
          <w:ilvl w:val="0"/>
          <w:numId w:val="2"/>
        </w:numPr>
        <w:pBdr>
          <w:top w:val="nil"/>
          <w:left w:val="nil"/>
          <w:bottom w:val="nil"/>
          <w:right w:val="nil"/>
          <w:between w:val="nil"/>
        </w:pBdr>
      </w:pPr>
      <w:r>
        <w:rPr>
          <w:color w:val="000000"/>
          <w:sz w:val="22"/>
          <w:szCs w:val="22"/>
        </w:rPr>
        <w:t>The release of an open-source Python module to replicate the full pipeline or extend it to other research. I will say a bit more about this at the end, time permitting.</w:t>
      </w:r>
    </w:p>
    <w:p w14:paraId="0000002C" w14:textId="77777777" w:rsidR="00AF6369" w:rsidRDefault="00AF6369"/>
    <w:p w14:paraId="0000002D" w14:textId="77777777" w:rsidR="00AF6369" w:rsidRDefault="00000000">
      <w:r>
        <w:t>That is the thesis itself; but the interest of this presentation is not only to present this application and the research I have done, but also to explain the framework in case any of you find it useful for studying other phenomena, as other authors have done.</w:t>
      </w:r>
    </w:p>
    <w:p w14:paraId="0000002E" w14:textId="77777777" w:rsidR="00AF6369" w:rsidRDefault="00AF6369"/>
    <w:p w14:paraId="0000002F" w14:textId="77777777" w:rsidR="00AF6369" w:rsidRDefault="00000000">
      <w:r>
        <w:t xml:space="preserve">And for your information, this framework is currently being used at the IMF to study house prices at risk (Alter and Mahoney, 2020) and to perform other surveillance tasks (Prasad et al., 2019); there are also adaptations at the ECB to study inflation at risk (for example, Lenza, </w:t>
      </w:r>
      <w:proofErr w:type="spellStart"/>
      <w:r>
        <w:t>Moutachaker</w:t>
      </w:r>
      <w:proofErr w:type="spellEnd"/>
      <w:r>
        <w:t xml:space="preserve"> and Paredes, 2023).</w:t>
      </w:r>
    </w:p>
    <w:p w14:paraId="00000030" w14:textId="77777777" w:rsidR="00AF6369" w:rsidRDefault="00AF6369"/>
    <w:p w14:paraId="00000031" w14:textId="77777777" w:rsidR="00AF6369" w:rsidRDefault="00000000">
      <w:pPr>
        <w:pStyle w:val="Heading2"/>
      </w:pPr>
      <w:r>
        <w:br w:type="page"/>
      </w:r>
    </w:p>
    <w:p w14:paraId="00000032" w14:textId="77777777" w:rsidR="00AF6369" w:rsidRDefault="00000000">
      <w:pPr>
        <w:pStyle w:val="Heading2"/>
      </w:pPr>
      <w:r>
        <w:lastRenderedPageBreak/>
        <w:t>Data</w:t>
      </w:r>
    </w:p>
    <w:p w14:paraId="3C2D4918" w14:textId="77777777" w:rsidR="00044CFB" w:rsidRDefault="00000000" w:rsidP="00044CFB">
      <w:r>
        <w:t xml:space="preserve">Among many others tried, our specification is mostly built on top of risk measures, meaning that in this application, we are </w:t>
      </w:r>
      <w:r>
        <w:rPr>
          <w:b/>
          <w:bCs/>
          <w:u w:val="single"/>
        </w:rPr>
        <w:t>interested in the vulnerability of oil prices to specific sources of risk</w:t>
      </w:r>
      <w:r>
        <w:t xml:space="preserve">. </w:t>
      </w:r>
    </w:p>
    <w:p w14:paraId="00000038" w14:textId="31BB71ED" w:rsidR="00AF6369" w:rsidRDefault="00000000" w:rsidP="00044CFB">
      <w:pPr>
        <w:pStyle w:val="ListParagraph"/>
        <w:numPr>
          <w:ilvl w:val="0"/>
          <w:numId w:val="4"/>
        </w:numPr>
      </w:pPr>
      <w:r>
        <w:t>There is also a vast literature on the relationship between risk and oil prices, and on the asymmetric nature of that relationship. This project takes that relationship as given, and will not try to prove it further.</w:t>
      </w:r>
    </w:p>
    <w:p w14:paraId="00000039" w14:textId="60E184EC" w:rsidR="00AF6369" w:rsidRDefault="00044CFB">
      <w:pPr>
        <w:numPr>
          <w:ilvl w:val="0"/>
          <w:numId w:val="2"/>
        </w:numPr>
        <w:pBdr>
          <w:top w:val="nil"/>
          <w:left w:val="nil"/>
          <w:bottom w:val="nil"/>
          <w:right w:val="nil"/>
          <w:between w:val="nil"/>
        </w:pBdr>
      </w:pPr>
      <w:r>
        <w:rPr>
          <w:color w:val="000000"/>
          <w:sz w:val="22"/>
          <w:szCs w:val="22"/>
        </w:rPr>
        <w:t xml:space="preserve">Our main dependent variable will be the oil prices. </w:t>
      </w:r>
      <w:r w:rsidR="00000000">
        <w:rPr>
          <w:color w:val="000000"/>
          <w:sz w:val="22"/>
          <w:szCs w:val="22"/>
        </w:rPr>
        <w:t>We work with the daily log-returns of Brent crude oil as our “oil prices”. We chose Brent over WTI — the other main crude benchmark — because Brent is more common in the literature, as it better reflects international market conditions; WTI is too tied to US conditions.</w:t>
      </w:r>
    </w:p>
    <w:p w14:paraId="0000003A" w14:textId="77777777" w:rsidR="00AF6369" w:rsidRDefault="00000000" w:rsidP="00044CFB">
      <w:pPr>
        <w:pBdr>
          <w:top w:val="nil"/>
          <w:left w:val="nil"/>
          <w:bottom w:val="nil"/>
          <w:right w:val="nil"/>
          <w:between w:val="nil"/>
        </w:pBdr>
        <w:ind w:left="720"/>
      </w:pPr>
      <w:r>
        <w:rPr>
          <w:color w:val="000000"/>
          <w:sz w:val="22"/>
          <w:szCs w:val="22"/>
        </w:rPr>
        <w:t>Brent is available at daily frequency, from January 1990 to April 2026, via FRED.</w:t>
      </w:r>
    </w:p>
    <w:p w14:paraId="0000003B" w14:textId="77777777" w:rsidR="00AF6369" w:rsidRDefault="00000000">
      <w:r>
        <w:t>The main regressors are meant to capture different sources of risk:</w:t>
      </w:r>
    </w:p>
    <w:p w14:paraId="0000003C" w14:textId="44342ECE" w:rsidR="00AF6369" w:rsidRDefault="00000000">
      <w:pPr>
        <w:numPr>
          <w:ilvl w:val="0"/>
          <w:numId w:val="2"/>
        </w:numPr>
        <w:pBdr>
          <w:top w:val="nil"/>
          <w:left w:val="nil"/>
          <w:bottom w:val="nil"/>
          <w:right w:val="nil"/>
          <w:between w:val="nil"/>
        </w:pBdr>
      </w:pPr>
      <w:r>
        <w:rPr>
          <w:color w:val="000000"/>
          <w:sz w:val="22"/>
          <w:szCs w:val="22"/>
        </w:rPr>
        <w:t>The 7-day moving average of the daily Geopolitical Risk Index, built by Caldara and Iacoviello. This is the main regressor of the thesis: it captures geopolitical risk as perceived by the media.</w:t>
      </w:r>
      <w:r w:rsidR="00044CFB">
        <w:rPr>
          <w:color w:val="000000"/>
          <w:sz w:val="22"/>
          <w:szCs w:val="22"/>
        </w:rPr>
        <w:t xml:space="preserve"> It is built by performing a dictionary search on major US newspaper, providing a sentiment score which is later </w:t>
      </w:r>
      <w:r w:rsidR="00106B4B">
        <w:rPr>
          <w:color w:val="000000"/>
          <w:sz w:val="22"/>
          <w:szCs w:val="22"/>
        </w:rPr>
        <w:t>transformed</w:t>
      </w:r>
      <w:r w:rsidR="00044CFB">
        <w:rPr>
          <w:color w:val="000000"/>
          <w:sz w:val="22"/>
          <w:szCs w:val="22"/>
        </w:rPr>
        <w:t xml:space="preserve"> into </w:t>
      </w:r>
      <w:r w:rsidR="00106B4B">
        <w:rPr>
          <w:color w:val="000000"/>
          <w:sz w:val="22"/>
          <w:szCs w:val="22"/>
        </w:rPr>
        <w:t>an</w:t>
      </w:r>
      <w:r w:rsidR="00F44849">
        <w:rPr>
          <w:color w:val="000000"/>
          <w:sz w:val="22"/>
          <w:szCs w:val="22"/>
        </w:rPr>
        <w:t>8</w:t>
      </w:r>
      <w:r w:rsidR="00044CFB">
        <w:rPr>
          <w:color w:val="000000"/>
          <w:sz w:val="22"/>
          <w:szCs w:val="22"/>
        </w:rPr>
        <w:t xml:space="preserve"> index. </w:t>
      </w:r>
    </w:p>
    <w:p w14:paraId="0000003D" w14:textId="64E735B9" w:rsidR="00AF6369" w:rsidRDefault="00000000">
      <w:pPr>
        <w:numPr>
          <w:ilvl w:val="0"/>
          <w:numId w:val="2"/>
        </w:numPr>
        <w:rPr>
          <w:sz w:val="22"/>
          <w:szCs w:val="22"/>
        </w:rPr>
      </w:pPr>
      <w:r>
        <w:rPr>
          <w:sz w:val="22"/>
          <w:szCs w:val="22"/>
        </w:rPr>
        <w:t xml:space="preserve">And the Baltic Dry Index — which captures the logistic cost of shipping </w:t>
      </w:r>
      <w:r w:rsidR="00B924E1">
        <w:rPr>
          <w:sz w:val="22"/>
          <w:szCs w:val="22"/>
        </w:rPr>
        <w:t>commodities</w:t>
      </w:r>
      <w:r>
        <w:rPr>
          <w:sz w:val="22"/>
          <w:szCs w:val="22"/>
        </w:rPr>
        <w:t xml:space="preserve">. This index captures possible logistical disruptions in the oil distribution chain as another source of risk (Bakshi, Panayotov and </w:t>
      </w:r>
      <w:proofErr w:type="spellStart"/>
      <w:r>
        <w:rPr>
          <w:sz w:val="22"/>
          <w:szCs w:val="22"/>
        </w:rPr>
        <w:t>Skoulakis</w:t>
      </w:r>
      <w:proofErr w:type="spellEnd"/>
      <w:r>
        <w:rPr>
          <w:sz w:val="22"/>
          <w:szCs w:val="22"/>
        </w:rPr>
        <w:t>, 2011).</w:t>
      </w:r>
    </w:p>
    <w:p w14:paraId="0000003E" w14:textId="77777777" w:rsidR="00AF6369" w:rsidRDefault="00000000">
      <w:pPr>
        <w:numPr>
          <w:ilvl w:val="0"/>
          <w:numId w:val="2"/>
        </w:numPr>
        <w:pBdr>
          <w:top w:val="nil"/>
          <w:left w:val="nil"/>
          <w:bottom w:val="nil"/>
          <w:right w:val="nil"/>
          <w:between w:val="nil"/>
        </w:pBdr>
      </w:pPr>
      <w:r>
        <w:rPr>
          <w:color w:val="000000"/>
          <w:sz w:val="22"/>
          <w:szCs w:val="22"/>
        </w:rPr>
        <w:t>The US Dollar Index. Oil is traded mostly in dollars, so this index controls for exchange-rate effects in price movements (Chen, Rogoff and Rossi, 2008: “Can exchange rates forecast commodity prices?”).</w:t>
      </w:r>
    </w:p>
    <w:p w14:paraId="0000003F" w14:textId="77777777" w:rsidR="00AF6369" w:rsidRDefault="00000000">
      <w:pPr>
        <w:numPr>
          <w:ilvl w:val="0"/>
          <w:numId w:val="2"/>
        </w:numPr>
        <w:pBdr>
          <w:top w:val="nil"/>
          <w:left w:val="nil"/>
          <w:bottom w:val="nil"/>
          <w:right w:val="nil"/>
          <w:between w:val="nil"/>
        </w:pBdr>
      </w:pPr>
      <w:r>
        <w:rPr>
          <w:color w:val="000000"/>
          <w:sz w:val="22"/>
          <w:szCs w:val="22"/>
        </w:rPr>
        <w:t>Realized volatility, which brings predictive power to the specification and captures volatility clustering and sudden changes in speculation (</w:t>
      </w:r>
      <w:proofErr w:type="spellStart"/>
      <w:r>
        <w:rPr>
          <w:color w:val="000000"/>
          <w:sz w:val="22"/>
          <w:szCs w:val="22"/>
        </w:rPr>
        <w:t>Cenesizoglu</w:t>
      </w:r>
      <w:proofErr w:type="spellEnd"/>
      <w:r>
        <w:rPr>
          <w:color w:val="000000"/>
          <w:sz w:val="22"/>
          <w:szCs w:val="22"/>
        </w:rPr>
        <w:t xml:space="preserve"> and Timmermann: “Is the distribution of stock returns predictable?”).</w:t>
      </w:r>
    </w:p>
    <w:p w14:paraId="00000040" w14:textId="77777777" w:rsidR="00AF6369" w:rsidRDefault="00000000">
      <w:pPr>
        <w:pStyle w:val="Heading2"/>
      </w:pPr>
      <w:r>
        <w:br w:type="page"/>
      </w:r>
    </w:p>
    <w:p w14:paraId="00000041" w14:textId="77777777" w:rsidR="00AF6369" w:rsidRDefault="00000000">
      <w:pPr>
        <w:pStyle w:val="Heading2"/>
      </w:pPr>
      <w:r>
        <w:lastRenderedPageBreak/>
        <w:t>QR</w:t>
      </w:r>
    </w:p>
    <w:p w14:paraId="00000042" w14:textId="77777777" w:rsidR="00AF6369" w:rsidRDefault="00000000">
      <w:r>
        <w:t>Given all this, the specification is the following, and it is kept identical across all quantiles for simplicity and comparability. We did not include more variables, to prevent multicollinearity and preserve parsimony.</w:t>
      </w:r>
    </w:p>
    <w:p w14:paraId="00000043" w14:textId="77777777" w:rsidR="00AF6369" w:rsidRDefault="00000000">
      <w:r>
        <w:t>Our main in-sample results are:</w:t>
      </w:r>
    </w:p>
    <w:p w14:paraId="00000044" w14:textId="77777777" w:rsidR="00AF6369" w:rsidRDefault="00000000">
      <w:pPr>
        <w:numPr>
          <w:ilvl w:val="0"/>
          <w:numId w:val="2"/>
        </w:numPr>
        <w:pBdr>
          <w:top w:val="nil"/>
          <w:left w:val="nil"/>
          <w:bottom w:val="nil"/>
          <w:right w:val="nil"/>
          <w:between w:val="nil"/>
        </w:pBdr>
      </w:pPr>
      <w:r>
        <w:rPr>
          <w:color w:val="000000"/>
          <w:sz w:val="22"/>
          <w:szCs w:val="22"/>
        </w:rPr>
        <w:t>Good explanatory power in the tails, much less at the median — as expected, since the median daily return carries almost no signal.</w:t>
      </w:r>
    </w:p>
    <w:p w14:paraId="00000045" w14:textId="77777777" w:rsidR="00AF6369" w:rsidRDefault="00000000">
      <w:pPr>
        <w:numPr>
          <w:ilvl w:val="0"/>
          <w:numId w:val="2"/>
        </w:numPr>
        <w:pBdr>
          <w:top w:val="nil"/>
          <w:left w:val="nil"/>
          <w:bottom w:val="nil"/>
          <w:right w:val="nil"/>
          <w:between w:val="nil"/>
        </w:pBdr>
      </w:pPr>
      <w:r>
        <w:rPr>
          <w:color w:val="000000"/>
          <w:sz w:val="22"/>
          <w:szCs w:val="22"/>
        </w:rPr>
        <w:t>An asymmetric effect of geopolitical risk on the tails, given by the sign of the coefficients. However, no causal conclusions can be drawn from a quantile regression alone, unless it is paired with other identification techniques such as instrumental-variable quantile regression (</w:t>
      </w:r>
      <w:proofErr w:type="spellStart"/>
      <w:r>
        <w:rPr>
          <w:color w:val="000000"/>
          <w:sz w:val="22"/>
          <w:szCs w:val="22"/>
        </w:rPr>
        <w:t>Chernozhukov</w:t>
      </w:r>
      <w:proofErr w:type="spellEnd"/>
      <w:r>
        <w:rPr>
          <w:color w:val="000000"/>
          <w:sz w:val="22"/>
          <w:szCs w:val="22"/>
        </w:rPr>
        <w:t xml:space="preserve"> and Hansen, 2004–2008).</w:t>
      </w:r>
    </w:p>
    <w:p w14:paraId="00000046" w14:textId="77777777" w:rsidR="00AF6369" w:rsidRDefault="00000000">
      <w:pPr>
        <w:pStyle w:val="Heading2"/>
      </w:pPr>
      <w:r>
        <w:t>Direct forecasting</w:t>
      </w:r>
    </w:p>
    <w:p w14:paraId="00000047" w14:textId="77777777" w:rsidR="00AF6369" w:rsidRDefault="00000000">
      <w:r>
        <w:t>The first thing to note is that we cannot iterate quantile forecasts forward the way we iterate the expected value in other well-known time-series models — quantiles do not obey a law of iterated expectations. For that reason, we use direct forecasting, where each forecast horizon gets its own dedicated regression.</w:t>
      </w:r>
    </w:p>
    <w:p w14:paraId="00000048" w14:textId="77777777" w:rsidR="00AF6369" w:rsidRDefault="00AF6369"/>
    <w:p w14:paraId="00000049" w14:textId="77777777" w:rsidR="00AF6369" w:rsidRDefault="00000000">
      <w:r>
        <w:t>The computational setting involves:</w:t>
      </w:r>
    </w:p>
    <w:p w14:paraId="0000004A" w14:textId="77777777" w:rsidR="00AF6369" w:rsidRDefault="00000000">
      <w:pPr>
        <w:numPr>
          <w:ilvl w:val="0"/>
          <w:numId w:val="2"/>
        </w:numPr>
        <w:pBdr>
          <w:top w:val="nil"/>
          <w:left w:val="nil"/>
          <w:bottom w:val="nil"/>
          <w:right w:val="nil"/>
          <w:between w:val="nil"/>
        </w:pBdr>
      </w:pPr>
      <w:r>
        <w:rPr>
          <w:color w:val="000000"/>
          <w:sz w:val="22"/>
          <w:szCs w:val="22"/>
        </w:rPr>
        <w:t>A 1,000-observation rolling window, covering roughly four trading years of data. We want our mo</w:t>
      </w:r>
      <w:r>
        <w:rPr>
          <w:sz w:val="22"/>
          <w:szCs w:val="22"/>
        </w:rPr>
        <w:t>del to have enough data, but we do not want it to remember old market regimes.</w:t>
      </w:r>
    </w:p>
    <w:p w14:paraId="0000004B" w14:textId="77777777" w:rsidR="00AF6369" w:rsidRDefault="00000000">
      <w:pPr>
        <w:numPr>
          <w:ilvl w:val="0"/>
          <w:numId w:val="2"/>
        </w:numPr>
        <w:pBdr>
          <w:top w:val="nil"/>
          <w:left w:val="nil"/>
          <w:bottom w:val="nil"/>
          <w:right w:val="nil"/>
          <w:between w:val="nil"/>
        </w:pBdr>
      </w:pPr>
      <w:r>
        <w:rPr>
          <w:color w:val="000000"/>
          <w:sz w:val="22"/>
          <w:szCs w:val="22"/>
        </w:rPr>
        <w:t>The model is independently evaluated on the last three years of data through recursive out-of-sample estimation, advancing one day at a time.</w:t>
      </w:r>
    </w:p>
    <w:p w14:paraId="0000004C" w14:textId="6AEABB9E" w:rsidR="00AF6369" w:rsidRPr="009F4D89" w:rsidRDefault="00000000">
      <w:pPr>
        <w:numPr>
          <w:ilvl w:val="0"/>
          <w:numId w:val="2"/>
        </w:numPr>
        <w:pBdr>
          <w:top w:val="nil"/>
          <w:left w:val="nil"/>
          <w:bottom w:val="nil"/>
          <w:right w:val="nil"/>
          <w:between w:val="nil"/>
        </w:pBdr>
      </w:pPr>
      <w:r>
        <w:rPr>
          <w:color w:val="000000"/>
          <w:sz w:val="22"/>
          <w:szCs w:val="22"/>
        </w:rPr>
        <w:t>A forecasting horizon of 5 periods, equivalent to a full trading week. Not too short, not too long.</w:t>
      </w:r>
      <w:r w:rsidR="009F4D89">
        <w:rPr>
          <w:color w:val="000000"/>
          <w:sz w:val="22"/>
          <w:szCs w:val="22"/>
        </w:rPr>
        <w:tab/>
      </w:r>
      <w:r w:rsidR="009F4D89">
        <w:rPr>
          <w:color w:val="000000"/>
          <w:sz w:val="22"/>
          <w:szCs w:val="22"/>
        </w:rPr>
        <w:tab/>
      </w:r>
      <w:r w:rsidR="009F4D89">
        <w:rPr>
          <w:color w:val="000000"/>
          <w:sz w:val="22"/>
          <w:szCs w:val="22"/>
        </w:rPr>
        <w:tab/>
      </w:r>
      <w:r w:rsidR="009F4D89">
        <w:rPr>
          <w:color w:val="000000"/>
          <w:sz w:val="22"/>
          <w:szCs w:val="22"/>
        </w:rPr>
        <w:tab/>
      </w:r>
      <w:r w:rsidR="009F4D89">
        <w:rPr>
          <w:color w:val="000000"/>
          <w:sz w:val="22"/>
          <w:szCs w:val="22"/>
        </w:rPr>
        <w:tab/>
      </w:r>
      <w:r w:rsidR="009F4D89">
        <w:rPr>
          <w:color w:val="000000"/>
          <w:sz w:val="22"/>
          <w:szCs w:val="22"/>
        </w:rPr>
        <w:tab/>
      </w:r>
      <w:r w:rsidR="009F4D89">
        <w:rPr>
          <w:color w:val="000000"/>
          <w:sz w:val="22"/>
          <w:szCs w:val="22"/>
        </w:rPr>
        <w:tab/>
      </w:r>
      <w:r w:rsidR="009F4D89">
        <w:rPr>
          <w:color w:val="000000"/>
          <w:sz w:val="22"/>
          <w:szCs w:val="22"/>
        </w:rPr>
        <w:tab/>
      </w:r>
      <w:r w:rsidR="009F4D89">
        <w:rPr>
          <w:color w:val="000000"/>
          <w:sz w:val="22"/>
          <w:szCs w:val="22"/>
        </w:rPr>
        <w:tab/>
      </w:r>
      <w:r w:rsidR="009F4D89">
        <w:rPr>
          <w:color w:val="000000"/>
          <w:sz w:val="22"/>
          <w:szCs w:val="22"/>
        </w:rPr>
        <w:tab/>
      </w:r>
      <w:r w:rsidR="009F4D89">
        <w:rPr>
          <w:color w:val="000000"/>
          <w:sz w:val="22"/>
          <w:szCs w:val="22"/>
        </w:rPr>
        <w:tab/>
      </w:r>
    </w:p>
    <w:p w14:paraId="285BE17D" w14:textId="14E6D7ED" w:rsidR="009F4D89" w:rsidRPr="009F4D89" w:rsidRDefault="009F4D89" w:rsidP="009F4D89">
      <w:pPr>
        <w:pBdr>
          <w:top w:val="nil"/>
          <w:left w:val="nil"/>
          <w:bottom w:val="nil"/>
          <w:right w:val="nil"/>
          <w:between w:val="nil"/>
        </w:pBdr>
        <w:rPr>
          <w:i/>
          <w:iCs/>
        </w:rPr>
      </w:pPr>
      <w:r>
        <w:rPr>
          <w:i/>
          <w:iCs/>
          <w:color w:val="000000"/>
          <w:sz w:val="22"/>
          <w:szCs w:val="22"/>
        </w:rPr>
        <w:t xml:space="preserve">The problem is that for each forecast, we have 7 estimated values and 1 realized value, so wits not that </w:t>
      </w:r>
      <w:proofErr w:type="spellStart"/>
      <w:r>
        <w:rPr>
          <w:i/>
          <w:iCs/>
          <w:color w:val="000000"/>
          <w:sz w:val="22"/>
          <w:szCs w:val="22"/>
        </w:rPr>
        <w:t>strightn</w:t>
      </w:r>
      <w:proofErr w:type="spellEnd"/>
      <w:r>
        <w:rPr>
          <w:i/>
          <w:iCs/>
          <w:color w:val="000000"/>
          <w:sz w:val="22"/>
          <w:szCs w:val="22"/>
        </w:rPr>
        <w:t xml:space="preserve"> </w:t>
      </w:r>
      <w:proofErr w:type="spellStart"/>
      <w:r>
        <w:rPr>
          <w:i/>
          <w:iCs/>
          <w:color w:val="000000"/>
          <w:sz w:val="22"/>
          <w:szCs w:val="22"/>
        </w:rPr>
        <w:t>fowared</w:t>
      </w:r>
      <w:proofErr w:type="spellEnd"/>
      <w:r>
        <w:rPr>
          <w:i/>
          <w:iCs/>
          <w:color w:val="000000"/>
          <w:sz w:val="22"/>
          <w:szCs w:val="22"/>
        </w:rPr>
        <w:t xml:space="preserve"> to evaluate the </w:t>
      </w:r>
      <w:r w:rsidR="00A047CB">
        <w:rPr>
          <w:i/>
          <w:iCs/>
          <w:color w:val="000000"/>
          <w:sz w:val="22"/>
          <w:szCs w:val="22"/>
        </w:rPr>
        <w:t>forecast.</w:t>
      </w:r>
    </w:p>
    <w:p w14:paraId="0000004D" w14:textId="77777777" w:rsidR="00AF6369" w:rsidRPr="009F4D89" w:rsidRDefault="00000000">
      <w:pPr>
        <w:rPr>
          <w:b/>
          <w:bCs/>
          <w:u w:val="single"/>
        </w:rPr>
      </w:pPr>
      <w:r w:rsidRPr="009F4D89">
        <w:rPr>
          <w:b/>
          <w:bCs/>
          <w:u w:val="single"/>
        </w:rPr>
        <w:t>Since we want a model that captures extreme tail events, it is natural to focus on them. For this reason, we build a breach indicator, which takes the value 1 when the observed return falls outside our forecast quantile envelope.</w:t>
      </w:r>
    </w:p>
    <w:p w14:paraId="0000004E" w14:textId="77777777" w:rsidR="00AF6369" w:rsidRDefault="00AF6369"/>
    <w:p w14:paraId="0000004F" w14:textId="77777777" w:rsidR="00AF6369" w:rsidRDefault="00000000">
      <w:r>
        <w:t>We observe that the breaches cluster around market stress episodes, meaning that our model systematically fails to capture tail events during some periods.</w:t>
      </w:r>
    </w:p>
    <w:p w14:paraId="00000050" w14:textId="77777777" w:rsidR="00AF6369" w:rsidRDefault="00AF6369"/>
    <w:p w14:paraId="00000051" w14:textId="77777777" w:rsidR="00AF6369" w:rsidRDefault="00000000">
      <w:r>
        <w:t xml:space="preserve">To fix this, we decided to give the model memory of its own failures. We import the </w:t>
      </w:r>
      <w:proofErr w:type="spellStart"/>
      <w:r>
        <w:t>CAViaR</w:t>
      </w:r>
      <w:proofErr w:type="spellEnd"/>
      <w:r>
        <w:t xml:space="preserve"> models proposed by Engle and Manganelli (2004), originally built to estimate Value-at-Risk, and adapt them to our framework.</w:t>
      </w:r>
    </w:p>
    <w:p w14:paraId="00000052" w14:textId="77777777" w:rsidR="00AF6369" w:rsidRDefault="00000000">
      <w:r>
        <w:t>The idea is to build two augmented models that include the breach indicator among their regressors, so they can react to extreme events. The two models differ only in how the indicator enters the equation:</w:t>
      </w:r>
    </w:p>
    <w:p w14:paraId="00000053" w14:textId="77777777" w:rsidR="00AF6369" w:rsidRDefault="00000000">
      <w:pPr>
        <w:numPr>
          <w:ilvl w:val="0"/>
          <w:numId w:val="2"/>
        </w:numPr>
        <w:pBdr>
          <w:top w:val="nil"/>
          <w:left w:val="nil"/>
          <w:bottom w:val="nil"/>
          <w:right w:val="nil"/>
          <w:between w:val="nil"/>
        </w:pBdr>
      </w:pPr>
      <w:r>
        <w:rPr>
          <w:color w:val="000000"/>
          <w:sz w:val="22"/>
          <w:szCs w:val="22"/>
        </w:rPr>
        <w:t>Model 2 introduces the indicator as binary variables — one for upside breaches and another for downside breaches, to control for asymmetric effects. Here, any breach has the same effect on the regression, regardless of its size.</w:t>
      </w:r>
    </w:p>
    <w:p w14:paraId="00000054" w14:textId="77777777" w:rsidR="00AF6369" w:rsidRDefault="00000000">
      <w:pPr>
        <w:numPr>
          <w:ilvl w:val="0"/>
          <w:numId w:val="2"/>
        </w:numPr>
        <w:pBdr>
          <w:top w:val="nil"/>
          <w:left w:val="nil"/>
          <w:bottom w:val="nil"/>
          <w:right w:val="nil"/>
          <w:between w:val="nil"/>
        </w:pBdr>
      </w:pPr>
      <w:r>
        <w:rPr>
          <w:color w:val="000000"/>
          <w:sz w:val="22"/>
          <w:szCs w:val="22"/>
        </w:rPr>
        <w:t>Model 3 introduces the indicator as a continuous variable: the severity of the breach, which measures the distance from the realized value to the closest quantile. This model assigns a larger weight to larger breaches, adjusting for their size.</w:t>
      </w:r>
    </w:p>
    <w:p w14:paraId="00000055" w14:textId="77777777" w:rsidR="00AF6369" w:rsidRDefault="00000000">
      <w:r>
        <w:t>These models reduce the number of breaches by half, but…</w:t>
      </w:r>
    </w:p>
    <w:p w14:paraId="00000056" w14:textId="77777777" w:rsidR="00AF6369" w:rsidRDefault="00AF6369"/>
    <w:p w14:paraId="00000057" w14:textId="77777777" w:rsidR="00AF6369" w:rsidRDefault="00000000">
      <w:r>
        <w:lastRenderedPageBreak/>
        <w:t>We compare the models using the Diebold–Mariano test, where the error series is computed through the tick loss. The results show that, at the selected horizon, the augmented models bring no significant improvement in predictive accuracy — probably because the breach signal arrives too late.</w:t>
      </w:r>
    </w:p>
    <w:p w14:paraId="00000058" w14:textId="77777777" w:rsidR="00AF6369" w:rsidRDefault="00AF6369"/>
    <w:p w14:paraId="00000059" w14:textId="77777777" w:rsidR="00AF6369" w:rsidRDefault="00000000">
      <w:r>
        <w:t xml:space="preserve"> At shorter horizons, different results might be observed, and this is pending as future steps of this research.</w:t>
      </w:r>
    </w:p>
    <w:p w14:paraId="0000005A" w14:textId="77777777" w:rsidR="00AF6369" w:rsidRDefault="00000000">
      <w:r>
        <w:br w:type="page"/>
      </w:r>
    </w:p>
    <w:p w14:paraId="0000005B" w14:textId="77777777" w:rsidR="00AF6369" w:rsidRDefault="00000000">
      <w:pPr>
        <w:pStyle w:val="Heading2"/>
      </w:pPr>
      <w:r>
        <w:lastRenderedPageBreak/>
        <w:t>Distribution fitting</w:t>
      </w:r>
    </w:p>
    <w:p w14:paraId="0000005C" w14:textId="77777777" w:rsidR="00AF6369" w:rsidRDefault="00000000">
      <w:r>
        <w:t>Once we have obtained the discrete forecasted quantiles, we fit a continuous distribution to them.</w:t>
      </w:r>
    </w:p>
    <w:p w14:paraId="0000005D" w14:textId="77777777" w:rsidR="00AF6369" w:rsidRDefault="00AF6369"/>
    <w:p w14:paraId="0000005E" w14:textId="77777777" w:rsidR="00AF6369" w:rsidRDefault="00000000">
      <w:r>
        <w:t>We chose the Johnson SU distribution, which is obtained by applying an inverse hyperbolic sine transformation to a standard normal. It is governed by four parameters:</w:t>
      </w:r>
    </w:p>
    <w:p w14:paraId="0000005F" w14:textId="77777777" w:rsidR="00AF6369" w:rsidRDefault="00000000">
      <w:pPr>
        <w:numPr>
          <w:ilvl w:val="0"/>
          <w:numId w:val="2"/>
        </w:numPr>
        <w:pBdr>
          <w:top w:val="nil"/>
          <w:left w:val="nil"/>
          <w:bottom w:val="nil"/>
          <w:right w:val="nil"/>
          <w:between w:val="nil"/>
        </w:pBdr>
      </w:pPr>
      <w:r>
        <w:rPr>
          <w:color w:val="000000"/>
          <w:sz w:val="22"/>
          <w:szCs w:val="22"/>
        </w:rPr>
        <w:t>Xi, the location parameter, and lambda, the scale parameter, which place and stretch the distribution.</w:t>
      </w:r>
    </w:p>
    <w:p w14:paraId="00000060" w14:textId="77777777" w:rsidR="00AF6369" w:rsidRDefault="00000000">
      <w:pPr>
        <w:numPr>
          <w:ilvl w:val="0"/>
          <w:numId w:val="2"/>
        </w:numPr>
        <w:pBdr>
          <w:top w:val="nil"/>
          <w:left w:val="nil"/>
          <w:bottom w:val="nil"/>
          <w:right w:val="nil"/>
          <w:between w:val="nil"/>
        </w:pBdr>
      </w:pPr>
      <w:r>
        <w:rPr>
          <w:color w:val="000000"/>
          <w:sz w:val="22"/>
          <w:szCs w:val="22"/>
        </w:rPr>
        <w:t>Gamma, which governs skewness, and delta, which governs tail weight. These two shape parameters can be controlled independently, and in the limit the distribution nests the Gaussian.</w:t>
      </w:r>
    </w:p>
    <w:p w14:paraId="00000061" w14:textId="77777777" w:rsidR="00AF6369" w:rsidRDefault="00AF6369"/>
    <w:p w14:paraId="00000062" w14:textId="77777777" w:rsidR="00AF6369" w:rsidRDefault="00000000">
      <w:r>
        <w:t>We chose the Johnson SU because it is a versatile, field-tested distribution for modelling asset returns, accounting for both skewness and tail weight, and because its quantile function has a closed form, which makes the fitting step very fast.</w:t>
      </w:r>
    </w:p>
    <w:p w14:paraId="00000063" w14:textId="77777777" w:rsidR="00AF6369" w:rsidRDefault="00AF6369"/>
    <w:p w14:paraId="00000064" w14:textId="77777777" w:rsidR="00AF6369" w:rsidRDefault="00000000">
      <w:r>
        <w:t>Since we only have a bunch of quantiles to fit the distribution, we cannot rely on MLE (like we do when we fit a distribution to data). For this reason, we rely on a MDE estimator: we find the set of parameters that minimize the distance between the forecasted quantiles and the implied quantile function (inverse of the cumulative distribution).</w:t>
      </w:r>
    </w:p>
    <w:p w14:paraId="00000065" w14:textId="77777777" w:rsidR="00AF6369" w:rsidRDefault="00AF6369"/>
    <w:p w14:paraId="00000066" w14:textId="77777777" w:rsidR="00AF6369" w:rsidRDefault="00000000">
      <w:r>
        <w:t>To test whether the distribution is a good fit, we rely on the PIT, proposed by Diebold, Gunther and Tay (1998). The PIT sequence measures where each realized return landed within our forecasted continuous distribution. The authors prove that, under a perfectly calibrated model, the PIT sequence behaves as a Uniform(0,1). We therefore run a Kolmogorov–Smirnov test of the out-of-sample PIT values against the theoretical uniform distribution — and the model successfully passes the test.</w:t>
      </w:r>
    </w:p>
    <w:p w14:paraId="00000067" w14:textId="77777777" w:rsidR="00AF6369" w:rsidRDefault="00000000">
      <w:pPr>
        <w:pStyle w:val="Heading2"/>
      </w:pPr>
      <w:r>
        <w:br w:type="page"/>
      </w:r>
    </w:p>
    <w:p w14:paraId="00000068" w14:textId="77777777" w:rsidR="00AF6369" w:rsidRDefault="00000000">
      <w:pPr>
        <w:pStyle w:val="Heading2"/>
      </w:pPr>
      <w:r>
        <w:lastRenderedPageBreak/>
        <w:t>Risk metrics</w:t>
      </w:r>
    </w:p>
    <w:p w14:paraId="00000069" w14:textId="77777777" w:rsidR="00AF6369" w:rsidRDefault="00000000">
      <w:r>
        <w:t>We extract four main vulnerability metrics from the fitted distribution:</w:t>
      </w:r>
    </w:p>
    <w:p w14:paraId="0000006A" w14:textId="77777777" w:rsidR="00AF6369" w:rsidRDefault="00000000">
      <w:pPr>
        <w:numPr>
          <w:ilvl w:val="0"/>
          <w:numId w:val="2"/>
        </w:numPr>
        <w:pBdr>
          <w:top w:val="nil"/>
          <w:left w:val="nil"/>
          <w:bottom w:val="nil"/>
          <w:right w:val="nil"/>
          <w:between w:val="nil"/>
        </w:pBdr>
      </w:pPr>
      <w:r>
        <w:rPr>
          <w:color w:val="000000"/>
          <w:sz w:val="22"/>
          <w:szCs w:val="22"/>
        </w:rPr>
        <w:t>The Value-at-Risk.</w:t>
      </w:r>
    </w:p>
    <w:p w14:paraId="0000006B" w14:textId="77777777" w:rsidR="00AF6369" w:rsidRDefault="00000000">
      <w:pPr>
        <w:numPr>
          <w:ilvl w:val="0"/>
          <w:numId w:val="2"/>
        </w:numPr>
        <w:pBdr>
          <w:top w:val="nil"/>
          <w:left w:val="nil"/>
          <w:bottom w:val="nil"/>
          <w:right w:val="nil"/>
          <w:between w:val="nil"/>
        </w:pBdr>
      </w:pPr>
      <w:r>
        <w:rPr>
          <w:color w:val="000000"/>
          <w:sz w:val="22"/>
          <w:szCs w:val="22"/>
        </w:rPr>
        <w:t>The Expected Shortfall.</w:t>
      </w:r>
    </w:p>
    <w:p w14:paraId="0000006C" w14:textId="77777777" w:rsidR="00AF6369" w:rsidRDefault="00000000">
      <w:pPr>
        <w:numPr>
          <w:ilvl w:val="0"/>
          <w:numId w:val="2"/>
        </w:numPr>
        <w:pBdr>
          <w:top w:val="nil"/>
          <w:left w:val="nil"/>
          <w:bottom w:val="nil"/>
          <w:right w:val="nil"/>
          <w:between w:val="nil"/>
        </w:pBdr>
      </w:pPr>
      <w:r>
        <w:rPr>
          <w:color w:val="000000"/>
          <w:sz w:val="22"/>
          <w:szCs w:val="22"/>
        </w:rPr>
        <w:t>The skewness.</w:t>
      </w:r>
    </w:p>
    <w:p w14:paraId="0000006D" w14:textId="77777777" w:rsidR="00AF6369" w:rsidRDefault="00000000">
      <w:r>
        <w:t>And the main metric: the relative entropy, or KL divergence, which measures how far a density function is from a reference state. We compute 3 different entropy metrics: the full entropy (the total divergence between distributions) and a right and left tail metrics (divergence from the 90th to 99th quantile and 1st to 10th quantile respectively).</w:t>
      </w:r>
    </w:p>
    <w:p w14:paraId="0000006E" w14:textId="77777777" w:rsidR="00AF6369" w:rsidRDefault="00AF6369"/>
    <w:p w14:paraId="0000006F" w14:textId="77777777" w:rsidR="00AF6369" w:rsidRDefault="00000000">
      <w:r>
        <w:t>For the baseline, there are 2 options:</w:t>
      </w:r>
    </w:p>
    <w:p w14:paraId="00000070" w14:textId="77777777" w:rsidR="00AF6369" w:rsidRDefault="00000000">
      <w:pPr>
        <w:numPr>
          <w:ilvl w:val="0"/>
          <w:numId w:val="2"/>
        </w:numPr>
        <w:pBdr>
          <w:top w:val="nil"/>
          <w:left w:val="nil"/>
          <w:bottom w:val="nil"/>
          <w:right w:val="nil"/>
          <w:between w:val="nil"/>
        </w:pBdr>
      </w:pPr>
      <w:r>
        <w:rPr>
          <w:color w:val="000000"/>
          <w:sz w:val="22"/>
          <w:szCs w:val="22"/>
        </w:rPr>
        <w:t>The unconditional density.</w:t>
      </w:r>
    </w:p>
    <w:p w14:paraId="00000071" w14:textId="77777777" w:rsidR="00AF6369" w:rsidRDefault="00000000">
      <w:pPr>
        <w:numPr>
          <w:ilvl w:val="0"/>
          <w:numId w:val="2"/>
        </w:numPr>
        <w:pBdr>
          <w:top w:val="nil"/>
          <w:left w:val="nil"/>
          <w:bottom w:val="nil"/>
          <w:right w:val="nil"/>
          <w:between w:val="nil"/>
        </w:pBdr>
      </w:pPr>
      <w:r>
        <w:rPr>
          <w:color w:val="000000"/>
          <w:sz w:val="22"/>
          <w:szCs w:val="22"/>
        </w:rPr>
        <w:t>The normal density.</w:t>
      </w:r>
    </w:p>
    <w:p w14:paraId="00000072" w14:textId="77777777" w:rsidR="00AF6369" w:rsidRDefault="00000000">
      <w:r>
        <w:t>We prefer the normal density for two reasons. First, the Johnson SU nests the normal, and the normal is the distribution usually assumed when producing fan charts and density forecasts, so it is a natural baseline. Second, the unconditional density already embeds skewness and heavy tails, which are risks in themselves,  so measuring against it may understate the risk metrics.</w:t>
      </w:r>
    </w:p>
    <w:p w14:paraId="00000073" w14:textId="77777777" w:rsidR="00AF6369" w:rsidRDefault="00000000">
      <w:pPr>
        <w:rPr>
          <w:i/>
          <w:iCs/>
        </w:rPr>
      </w:pPr>
      <w:r>
        <w:rPr>
          <w:i/>
          <w:iCs/>
        </w:rPr>
        <w:t>Also, we observe better results on this baseline.</w:t>
      </w:r>
    </w:p>
    <w:p w14:paraId="00000074" w14:textId="77777777" w:rsidR="00AF6369" w:rsidRDefault="00AF6369"/>
    <w:p w14:paraId="00000075" w14:textId="77777777" w:rsidR="00AF6369" w:rsidRDefault="00000000">
      <w:r>
        <w:t xml:space="preserve">Under this setting, one may understand KL divergence as departure from </w:t>
      </w:r>
      <w:proofErr w:type="spellStart"/>
      <w:r>
        <w:t>Gausianity</w:t>
      </w:r>
      <w:proofErr w:type="spellEnd"/>
      <w:r>
        <w:t>, which we don’t dislike, since that is the most assumed distribution for doing confidence intervals.</w:t>
      </w:r>
    </w:p>
    <w:p w14:paraId="00000076" w14:textId="77777777" w:rsidR="00AF6369" w:rsidRDefault="00000000">
      <w:pPr>
        <w:pStyle w:val="Heading2"/>
      </w:pPr>
      <w:r>
        <w:br w:type="page"/>
      </w:r>
    </w:p>
    <w:p w14:paraId="00000077" w14:textId="77777777" w:rsidR="00AF6369" w:rsidRDefault="00000000">
      <w:pPr>
        <w:pStyle w:val="Heading2"/>
      </w:pPr>
      <w:r>
        <w:lastRenderedPageBreak/>
        <w:t>EWS</w:t>
      </w:r>
    </w:p>
    <w:p w14:paraId="00000078" w14:textId="52B475A0" w:rsidR="00AF6369" w:rsidRDefault="00000000">
      <w:r>
        <w:t xml:space="preserve">Most </w:t>
      </w:r>
      <w:proofErr w:type="spellStart"/>
      <w:r>
        <w:t>GaR</w:t>
      </w:r>
      <w:proofErr w:type="spellEnd"/>
      <w:r>
        <w:t xml:space="preserve"> frameworks stop here. We have done various checks/diagnostics along the different steps, but </w:t>
      </w:r>
      <w:r w:rsidR="0008335C">
        <w:t xml:space="preserve">we </w:t>
      </w:r>
      <w:proofErr w:type="spellStart"/>
      <w:r w:rsidR="0008335C">
        <w:t>cant</w:t>
      </w:r>
      <w:proofErr w:type="spellEnd"/>
      <w:r w:rsidR="0008335C">
        <w:t xml:space="preserve"> avoid</w:t>
      </w:r>
      <w:r>
        <w:t xml:space="preserve"> to pass errors from one step to another. To test the overall result, we think that we should test the final product itself.</w:t>
      </w:r>
    </w:p>
    <w:p w14:paraId="00000079" w14:textId="77777777" w:rsidR="00AF6369" w:rsidRDefault="00AF6369"/>
    <w:p w14:paraId="0000007A" w14:textId="77777777" w:rsidR="00AF6369" w:rsidRDefault="00000000">
      <w:r>
        <w:t>We have computed relative entropy from some distribution, fitted on top of forecasted values; so we expect relative entropy to carry some predictive power over the oil prices (returns). And at least, we expect a 5 day lead (being very optimistic).</w:t>
      </w:r>
    </w:p>
    <w:p w14:paraId="0000007B" w14:textId="77777777" w:rsidR="00AF6369" w:rsidRDefault="00AF6369"/>
    <w:p w14:paraId="0000007C" w14:textId="77777777" w:rsidR="00AF6369" w:rsidRDefault="00000000">
      <w:r>
        <w:t>To assess the lead, we first compute the cross-correlation function between the returns and the entropy ( first-differenced to make it stationary), and we expect to see higher correlation with future values of the returns, meaning that the entropy is more correlated with the future than with the past or the present.</w:t>
      </w:r>
    </w:p>
    <w:p w14:paraId="0000007D" w14:textId="77777777" w:rsidR="00AF6369" w:rsidRDefault="00AF6369"/>
    <w:p w14:paraId="0000007E" w14:textId="77777777" w:rsidR="00AF6369" w:rsidRDefault="00000000">
      <w:r>
        <w:t>To have a second opinion, we also employ the Granger Causality Test, to check whether the entropy helps predict oil returns beyond their own history. The main result is that the entropy leads Brent returns by around 6 to 16 days, depending on the entropy metric. Part of this lead is expected, since the entropy is computed from a 5-step-ahead forecast — but it means the forecast is truly forecasting.</w:t>
      </w:r>
    </w:p>
    <w:p w14:paraId="0000007F" w14:textId="77777777" w:rsidR="00AF6369" w:rsidRDefault="00000000">
      <w:pPr>
        <w:pStyle w:val="Heading2"/>
      </w:pPr>
      <w:r>
        <w:t>Conclusions</w:t>
      </w:r>
    </w:p>
    <w:p w14:paraId="00000080" w14:textId="77777777" w:rsidR="00AF6369" w:rsidRDefault="00000000">
      <w:r>
        <w:t>So, our main conclusions are the following:</w:t>
      </w:r>
    </w:p>
    <w:p w14:paraId="00000081" w14:textId="77777777" w:rsidR="00AF6369" w:rsidRDefault="00000000">
      <w:pPr>
        <w:numPr>
          <w:ilvl w:val="0"/>
          <w:numId w:val="2"/>
        </w:numPr>
        <w:pBdr>
          <w:top w:val="nil"/>
          <w:left w:val="nil"/>
          <w:bottom w:val="nil"/>
          <w:right w:val="nil"/>
          <w:between w:val="nil"/>
        </w:pBdr>
      </w:pPr>
      <w:proofErr w:type="spellStart"/>
      <w:r>
        <w:rPr>
          <w:color w:val="000000"/>
          <w:sz w:val="22"/>
          <w:szCs w:val="22"/>
        </w:rPr>
        <w:t>GaR</w:t>
      </w:r>
      <w:proofErr w:type="spellEnd"/>
      <w:r>
        <w:rPr>
          <w:color w:val="000000"/>
          <w:sz w:val="22"/>
          <w:szCs w:val="22"/>
        </w:rPr>
        <w:t xml:space="preserve">-type frameworks are very useful for studying vulnerabilities, even with highly volatile daily data. They can be adapted to study all </w:t>
      </w:r>
      <w:r>
        <w:rPr>
          <w:sz w:val="22"/>
          <w:szCs w:val="22"/>
        </w:rPr>
        <w:t>sorts</w:t>
      </w:r>
      <w:r>
        <w:rPr>
          <w:color w:val="000000"/>
          <w:sz w:val="22"/>
          <w:szCs w:val="22"/>
        </w:rPr>
        <w:t xml:space="preserve"> of </w:t>
      </w:r>
      <w:r>
        <w:rPr>
          <w:sz w:val="22"/>
          <w:szCs w:val="22"/>
        </w:rPr>
        <w:t>phenomena.</w:t>
      </w:r>
    </w:p>
    <w:p w14:paraId="00000082" w14:textId="77777777" w:rsidR="00AF6369" w:rsidRDefault="00000000">
      <w:pPr>
        <w:numPr>
          <w:ilvl w:val="0"/>
          <w:numId w:val="2"/>
        </w:numPr>
        <w:pBdr>
          <w:top w:val="nil"/>
          <w:left w:val="nil"/>
          <w:bottom w:val="nil"/>
          <w:right w:val="nil"/>
          <w:between w:val="nil"/>
        </w:pBdr>
      </w:pPr>
      <w:r>
        <w:rPr>
          <w:color w:val="000000"/>
          <w:sz w:val="22"/>
          <w:szCs w:val="22"/>
        </w:rPr>
        <w:t>The entropy computed from the direct-forecast quantiles carries predictive power over the target variable — with a lead longer than the forecast horizon — so it can be used to react in advance</w:t>
      </w:r>
      <w:r>
        <w:rPr>
          <w:b/>
          <w:bCs/>
          <w:color w:val="FF0000"/>
          <w:sz w:val="22"/>
          <w:szCs w:val="22"/>
        </w:rPr>
        <w:t xml:space="preserve"> to the risks modelled here.</w:t>
      </w:r>
    </w:p>
    <w:p w14:paraId="00000083" w14:textId="77777777" w:rsidR="00AF6369" w:rsidRDefault="00000000">
      <w:pPr>
        <w:pBdr>
          <w:top w:val="nil"/>
          <w:left w:val="nil"/>
          <w:bottom w:val="nil"/>
          <w:right w:val="nil"/>
          <w:between w:val="nil"/>
        </w:pBdr>
        <w:ind w:left="720"/>
        <w:rPr>
          <w:color w:val="000000"/>
          <w:sz w:val="22"/>
          <w:szCs w:val="22"/>
        </w:rPr>
      </w:pPr>
      <w:r>
        <w:rPr>
          <w:color w:val="000000"/>
          <w:sz w:val="22"/>
          <w:szCs w:val="22"/>
        </w:rPr>
        <w:t>Our model focuses on specific</w:t>
      </w:r>
      <w:r>
        <w:rPr>
          <w:sz w:val="22"/>
          <w:szCs w:val="22"/>
        </w:rPr>
        <w:t xml:space="preserve"> sources of risks</w:t>
      </w:r>
      <w:r>
        <w:rPr>
          <w:color w:val="000000"/>
          <w:sz w:val="22"/>
          <w:szCs w:val="22"/>
        </w:rPr>
        <w:t>, so the entropy is expected to react early to these risks, but it may have no predictive power over other types of events.</w:t>
      </w:r>
    </w:p>
    <w:p w14:paraId="00000084" w14:textId="084C8B92" w:rsidR="00AF6369" w:rsidRDefault="00000000">
      <w:pPr>
        <w:numPr>
          <w:ilvl w:val="0"/>
          <w:numId w:val="2"/>
        </w:numPr>
        <w:pBdr>
          <w:top w:val="nil"/>
          <w:left w:val="nil"/>
          <w:bottom w:val="nil"/>
          <w:right w:val="nil"/>
          <w:between w:val="nil"/>
        </w:pBdr>
      </w:pPr>
      <w:r>
        <w:rPr>
          <w:color w:val="000000"/>
          <w:sz w:val="22"/>
          <w:szCs w:val="22"/>
        </w:rPr>
        <w:t xml:space="preserve">In short, the framework can be pushed further: </w:t>
      </w:r>
      <w:r w:rsidR="00801F31">
        <w:rPr>
          <w:color w:val="000000"/>
          <w:sz w:val="22"/>
          <w:szCs w:val="22"/>
        </w:rPr>
        <w:t>by exploiting</w:t>
      </w:r>
      <w:r>
        <w:rPr>
          <w:color w:val="000000"/>
          <w:sz w:val="22"/>
          <w:szCs w:val="22"/>
        </w:rPr>
        <w:t xml:space="preserve"> high-frequency data, we can build an early warning system.</w:t>
      </w:r>
    </w:p>
    <w:p w14:paraId="00000085" w14:textId="77777777" w:rsidR="00AF6369" w:rsidRDefault="00000000">
      <w:pPr>
        <w:pStyle w:val="Heading2"/>
      </w:pPr>
      <w:r>
        <w:t>Python module</w:t>
      </w:r>
    </w:p>
    <w:p w14:paraId="00000086" w14:textId="77777777" w:rsidR="00AF6369" w:rsidRDefault="00000000">
      <w:r>
        <w:t>While doing this project I found few ready-to-use software tools, so I had to design most of them myself. All the code and modules are available for replication and for other researchers on my GitHub (github.com/Alejandro-bot-one/Oil-at-Risk).</w:t>
      </w:r>
    </w:p>
    <w:p w14:paraId="00000087" w14:textId="77777777" w:rsidR="00AF6369" w:rsidRDefault="00000000">
      <w:pPr>
        <w:pStyle w:val="Heading2"/>
      </w:pPr>
      <w:r>
        <w:t>Next steps</w:t>
      </w:r>
    </w:p>
    <w:p w14:paraId="00000088" w14:textId="77777777" w:rsidR="00AF6369" w:rsidRDefault="00000000">
      <w:r>
        <w:t>We have done everything within our reach in the given time, but there are still many more steps to take:</w:t>
      </w:r>
    </w:p>
    <w:p w14:paraId="00000089" w14:textId="77777777" w:rsidR="00AF6369" w:rsidRDefault="00000000">
      <w:pPr>
        <w:numPr>
          <w:ilvl w:val="0"/>
          <w:numId w:val="2"/>
        </w:numPr>
        <w:pBdr>
          <w:top w:val="nil"/>
          <w:left w:val="nil"/>
          <w:bottom w:val="nil"/>
          <w:right w:val="nil"/>
          <w:between w:val="nil"/>
        </w:pBdr>
      </w:pPr>
      <w:r>
        <w:rPr>
          <w:color w:val="000000"/>
          <w:sz w:val="22"/>
          <w:szCs w:val="22"/>
        </w:rPr>
        <w:t xml:space="preserve">This work is predictive in focus, but with some changes one could give the framework a more causal orientation — for example, through </w:t>
      </w:r>
      <w:proofErr w:type="spellStart"/>
      <w:r>
        <w:rPr>
          <w:color w:val="000000"/>
          <w:sz w:val="22"/>
          <w:szCs w:val="22"/>
        </w:rPr>
        <w:t>generalised</w:t>
      </w:r>
      <w:proofErr w:type="spellEnd"/>
      <w:r>
        <w:rPr>
          <w:color w:val="000000"/>
          <w:sz w:val="22"/>
          <w:szCs w:val="22"/>
        </w:rPr>
        <w:t xml:space="preserve"> quantile regression (Powell, 2020) or quantile local projections (Wojciechowski, 2025). That would yield a completely different master thesis, deserving its own research.</w:t>
      </w:r>
    </w:p>
    <w:p w14:paraId="0000008A" w14:textId="77777777" w:rsidR="00AF6369" w:rsidRDefault="00000000">
      <w:pPr>
        <w:numPr>
          <w:ilvl w:val="0"/>
          <w:numId w:val="2"/>
        </w:numPr>
        <w:pBdr>
          <w:top w:val="nil"/>
          <w:left w:val="nil"/>
          <w:bottom w:val="nil"/>
          <w:right w:val="nil"/>
          <w:between w:val="nil"/>
        </w:pBdr>
      </w:pPr>
      <w:r>
        <w:rPr>
          <w:color w:val="000000"/>
          <w:sz w:val="22"/>
          <w:szCs w:val="22"/>
        </w:rPr>
        <w:t xml:space="preserve">More specifications: this is just one of many configurations to try. The </w:t>
      </w:r>
      <w:proofErr w:type="spellStart"/>
      <w:r>
        <w:rPr>
          <w:color w:val="000000"/>
          <w:sz w:val="22"/>
          <w:szCs w:val="22"/>
        </w:rPr>
        <w:t>CAViaR</w:t>
      </w:r>
      <w:proofErr w:type="spellEnd"/>
      <w:r>
        <w:rPr>
          <w:color w:val="000000"/>
          <w:sz w:val="22"/>
          <w:szCs w:val="22"/>
        </w:rPr>
        <w:t xml:space="preserve"> models also remain to be explored at shorter horizons — they may not have superior forecasting power, yet still yield a better early warning system.</w:t>
      </w:r>
    </w:p>
    <w:p w14:paraId="0000008B" w14:textId="77777777" w:rsidR="00AF6369" w:rsidRDefault="00000000">
      <w:pPr>
        <w:numPr>
          <w:ilvl w:val="0"/>
          <w:numId w:val="2"/>
        </w:numPr>
        <w:pBdr>
          <w:top w:val="nil"/>
          <w:left w:val="nil"/>
          <w:bottom w:val="nil"/>
          <w:right w:val="nil"/>
          <w:between w:val="nil"/>
        </w:pBdr>
      </w:pPr>
      <w:r>
        <w:rPr>
          <w:color w:val="000000"/>
          <w:sz w:val="22"/>
          <w:szCs w:val="22"/>
        </w:rPr>
        <w:lastRenderedPageBreak/>
        <w:t>Calibration of arbitrary decisions: choices such as the tail-entropy thresholds or the 7-day moving-average window can be calibrated to obtain even better results.</w:t>
      </w:r>
    </w:p>
    <w:p w14:paraId="0000008C" w14:textId="77777777" w:rsidR="00AF6369" w:rsidRDefault="00000000">
      <w:pPr>
        <w:pStyle w:val="Heading2"/>
      </w:pPr>
      <w:r>
        <w:t>Closing</w:t>
      </w:r>
    </w:p>
    <w:p w14:paraId="0000008D" w14:textId="77777777" w:rsidR="00AF6369" w:rsidRDefault="00000000">
      <w:r>
        <w:t>And that is all from me. Thank you very much for your attention — any advice is more than welcome, and I will be really glad to hear your questions.</w:t>
      </w:r>
    </w:p>
    <w:sectPr w:rsidR="00AF6369">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6CE8089-0D86-4AFF-ABF3-7DDE6E6B6A45}"/>
    <w:embedBold r:id="rId2" w:fontKey="{7B79DB14-BC72-4D98-99F6-E13AC58FED67}"/>
    <w:embedItalic r:id="rId3" w:fontKey="{733F08F7-AB7D-43F5-9B1B-741302D418E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4" w:fontKey="{16280DCD-8681-4BF7-BBD4-910DC9040804}"/>
  </w:font>
  <w:font w:name="Georgia">
    <w:panose1 w:val="02040502050405020303"/>
    <w:charset w:val="00"/>
    <w:family w:val="auto"/>
    <w:pitch w:val="default"/>
    <w:embedItalic r:id="rId5" w:fontKey="{A4EB31DE-3203-4AA9-8D60-A446EBB0CF55}"/>
  </w:font>
  <w:font w:name="Cambria">
    <w:panose1 w:val="02040503050406030204"/>
    <w:charset w:val="00"/>
    <w:family w:val="roman"/>
    <w:pitch w:val="variable"/>
    <w:sig w:usb0="E00006FF" w:usb1="420024FF" w:usb2="02000000" w:usb3="00000000" w:csb0="0000019F" w:csb1="00000000"/>
    <w:embedRegular r:id="rId6" w:fontKey="{F44D7B7A-2725-47D0-B437-167F161A649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7432D"/>
    <w:multiLevelType w:val="multilevel"/>
    <w:tmpl w:val="D0A87998"/>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4FA668CB"/>
    <w:multiLevelType w:val="hybridMultilevel"/>
    <w:tmpl w:val="4FA859CE"/>
    <w:lvl w:ilvl="0" w:tplc="7A14DE9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A36DB8"/>
    <w:multiLevelType w:val="multilevel"/>
    <w:tmpl w:val="027A73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78B20D90"/>
    <w:multiLevelType w:val="multilevel"/>
    <w:tmpl w:val="8626F8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42138906">
    <w:abstractNumId w:val="3"/>
  </w:num>
  <w:num w:numId="2" w16cid:durableId="154079575">
    <w:abstractNumId w:val="0"/>
  </w:num>
  <w:num w:numId="3" w16cid:durableId="721489115">
    <w:abstractNumId w:val="2"/>
  </w:num>
  <w:num w:numId="4" w16cid:durableId="18731509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369"/>
    <w:rsid w:val="00044CFB"/>
    <w:rsid w:val="0008335C"/>
    <w:rsid w:val="000B3D82"/>
    <w:rsid w:val="000F0B75"/>
    <w:rsid w:val="00106B4B"/>
    <w:rsid w:val="00404F2F"/>
    <w:rsid w:val="004178B9"/>
    <w:rsid w:val="007357F3"/>
    <w:rsid w:val="007D3981"/>
    <w:rsid w:val="00801F31"/>
    <w:rsid w:val="00886930"/>
    <w:rsid w:val="009F4D89"/>
    <w:rsid w:val="00A047CB"/>
    <w:rsid w:val="00AF6369"/>
    <w:rsid w:val="00B924E1"/>
    <w:rsid w:val="00C10000"/>
    <w:rsid w:val="00F44849"/>
    <w:rsid w:val="00F44DC8"/>
    <w:rsid w:val="00F647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E3CC"/>
  <w15:docId w15:val="{B3247E87-A9FD-44C9-9394-A348A75F8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20" w:after="120"/>
      <w:outlineLvl w:val="1"/>
    </w:pPr>
    <w:rPr>
      <w:b/>
      <w:bCs/>
      <w:color w:val="2E539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sz w:val="22"/>
      <w:szCs w:val="22"/>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sz w:val="22"/>
      <w:szCs w:val="22"/>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0B3D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9UnPAKF0AW/5GDWnDb9yu9oOnA==">CgMxLjA4AHIhMUNneENpRi1YbTZ4UGF0OV9WdHlUUVNzOUJjWjdEXzhT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1</Pages>
  <Words>2355</Words>
  <Characters>13424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 Alejandro Rodriguez Garrido</cp:lastModifiedBy>
  <cp:revision>4</cp:revision>
  <dcterms:created xsi:type="dcterms:W3CDTF">2026-07-07T15:40:00Z</dcterms:created>
  <dcterms:modified xsi:type="dcterms:W3CDTF">2026-07-07T22:43:00Z</dcterms:modified>
</cp:coreProperties>
</file>