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2"/>
          <w:szCs w:val="32"/>
        </w:rPr>
        <w:t xml:space="preserve">Oil-at-Risk — Reference-by-Reference Defense Notes</w:t>
      </w:r>
    </w:p>
    <w:p>
      <w:pPr>
        <w:spacing w:after="40"/>
      </w:pPr>
      <w:r>
        <w:rPr>
          <w:rFonts w:ascii="Arial" w:cs="Arial" w:eastAsia="Arial" w:hAnsi="Arial"/>
          <w:i/>
          <w:iCs/>
          <w:color w:val="555555"/>
          <w:sz w:val="20"/>
          <w:szCs w:val="20"/>
        </w:rPr>
        <w:t xml:space="preserve">One paragraph per inline-cited reference: what it establishes and exactly how the thesis uses it.</w:t>
      </w:r>
    </w:p>
    <w:p>
      <w:pPr>
        <w:pBdr>
          <w:bottom w:val="single" w:color="2E75B6" w:sz="8" w:space="1"/>
        </w:pBdr>
        <w:spacing w:after="120"/>
      </w:pPr>
      <w:r>
        <w:rPr>
          <w:rFonts w:ascii="Arial" w:cs="Arial" w:eastAsia="Arial" w:hAnsi="Arial"/>
          <w:sz w:val="8"/>
          <w:szCs w:val="8"/>
        </w:rPr>
        <w:t xml:space="preserve"/>
      </w:r>
    </w:p>
    <w:p>
      <w:pPr>
        <w:pBdr>
          <w:bottom w:val="single" w:color="2E75B6" w:sz="6" w:space="2"/>
        </w:pBdr>
        <w:spacing w:after="80" w:before="220"/>
      </w:pPr>
      <w:r>
        <w:rPr>
          <w:rFonts w:ascii="Arial" w:cs="Arial" w:eastAsia="Arial" w:hAnsi="Arial"/>
          <w:b/>
          <w:bCs/>
          <w:color w:val="2E75B6"/>
          <w:sz w:val="25"/>
          <w:szCs w:val="25"/>
        </w:rPr>
        <w:t xml:space="preserve">1. The core paradigm adapted (Oil-at-Risk = Growth-at-Risk for crude)</w:t>
      </w:r>
    </w:p>
    <w:p>
      <w:pPr>
        <w:spacing w:after="40" w:before="160"/>
      </w:pPr>
      <w:r>
        <w:rPr>
          <w:rFonts w:ascii="Arial" w:cs="Arial" w:eastAsia="Arial" w:hAnsi="Arial"/>
          <w:b/>
          <w:bCs/>
          <w:sz w:val="21"/>
          <w:szCs w:val="21"/>
        </w:rPr>
        <w:t xml:space="preserve">Adrian, T., Boyarchenko, N. and Giannone, D. (2019). “Vulnerable Growth,” American Economic Review, 109(4), 1263–1289.</w:t>
      </w:r>
    </w:p>
    <w:p>
      <w:pPr>
        <w:spacing w:after="120"/>
        <w:jc w:val="both"/>
      </w:pPr>
      <w:r>
        <w:rPr>
          <w:rFonts w:ascii="Arial" w:cs="Arial" w:eastAsia="Arial" w:hAnsi="Arial"/>
          <w:sz w:val="21"/>
          <w:szCs w:val="21"/>
        </w:rPr>
        <w:t xml:space="preserve">This is the intellectual backbone of the thesis. They model the conditional distribution of GDP growth as a function of financial conditions and show that deteriorating conditions widen the distribution and push the lower quantiles sharply down while the upper quantiles stay roughly stable — i.e. downside risk, not the mean, is what moves. My thesis transplants this Growth-at-Risk (GaR) logic to the crude oil market, renaming it Oil-at-Risk (OaR): I estimate the conditional distribution of oil prices as a function of geopolitical and macro regressors. Adrian et al. also fix the canonical GaR recipe I deliberately depart from — quantile regression followed by a skewed-t fit — which is my reference point for the CAViaR and Johnson S_U innovations.</w:t>
      </w:r>
    </w:p>
    <w:p>
      <w:pPr>
        <w:pBdr>
          <w:bottom w:val="single" w:color="2E75B6" w:sz="6" w:space="2"/>
        </w:pBdr>
        <w:spacing w:after="80" w:before="220"/>
      </w:pPr>
      <w:r>
        <w:rPr>
          <w:rFonts w:ascii="Arial" w:cs="Arial" w:eastAsia="Arial" w:hAnsi="Arial"/>
          <w:b/>
          <w:bCs/>
          <w:color w:val="2E75B6"/>
          <w:sz w:val="25"/>
          <w:szCs w:val="25"/>
        </w:rPr>
        <w:t xml:space="preserve">2. Why the oil–macro relationship is non-linear and asymmetric (motivation)</w:t>
      </w:r>
    </w:p>
    <w:p>
      <w:pPr>
        <w:spacing w:after="40" w:before="160"/>
      </w:pPr>
      <w:r>
        <w:rPr>
          <w:rFonts w:ascii="Arial" w:cs="Arial" w:eastAsia="Arial" w:hAnsi="Arial"/>
          <w:b/>
          <w:bCs/>
          <w:sz w:val="21"/>
          <w:szCs w:val="21"/>
        </w:rPr>
        <w:t xml:space="preserve">Hamilton, J. D. (2003). “What is an oil shock?” Journal of Econometrics, 113(2), 363–398.</w:t>
      </w:r>
    </w:p>
    <w:p>
      <w:pPr>
        <w:spacing w:after="120"/>
        <w:jc w:val="both"/>
      </w:pPr>
      <w:r>
        <w:rPr>
          <w:rFonts w:ascii="Arial" w:cs="Arial" w:eastAsia="Arial" w:hAnsi="Arial"/>
          <w:sz w:val="21"/>
          <w:szCs w:val="21"/>
        </w:rPr>
        <w:t xml:space="preserve">Hamilton argues that the oil–macro relationship is fundamentally non-linear: oil price increases affect the economy differently from decreases, and only sufficiently large or unusual moves matter. I cite him to justify abandoning a constant-variance conditional-mean (OLS) approach in favour of a framework that can accommodate asymmetry — which is exactly what quantile regression delivers.</w:t>
      </w:r>
    </w:p>
    <w:p>
      <w:pPr>
        <w:spacing w:after="40" w:before="160"/>
      </w:pPr>
      <w:r>
        <w:rPr>
          <w:rFonts w:ascii="Arial" w:cs="Arial" w:eastAsia="Arial" w:hAnsi="Arial"/>
          <w:b/>
          <w:bCs/>
          <w:sz w:val="21"/>
          <w:szCs w:val="21"/>
        </w:rPr>
        <w:t xml:space="preserve">Kilian, L. and Vigfusson, R. J. (2011). “Are the responses of the U.S. economy asymmetric in energy price increases and decreases?” Quantitative Economics, 2(3), 419–453.</w:t>
      </w:r>
    </w:p>
    <w:p>
      <w:pPr>
        <w:spacing w:after="120"/>
        <w:jc w:val="both"/>
      </w:pPr>
      <w:r>
        <w:rPr>
          <w:rFonts w:ascii="Arial" w:cs="Arial" w:eastAsia="Arial" w:hAnsi="Arial"/>
          <w:sz w:val="21"/>
          <w:szCs w:val="21"/>
        </w:rPr>
        <w:t xml:space="preserve">This provides the empirical evidence that the macroeconomic response to energy shocks is asymmetric. It is my direct support for the claim that a strictly linear methodology understates downside risk, and therefore that a tail-focused, distributional method is needed rather than a single mean forecast.</w:t>
      </w:r>
    </w:p>
    <w:p>
      <w:pPr>
        <w:spacing w:after="40" w:before="160"/>
      </w:pPr>
      <w:r>
        <w:rPr>
          <w:rFonts w:ascii="Arial" w:cs="Arial" w:eastAsia="Arial" w:hAnsi="Arial"/>
          <w:b/>
          <w:bCs/>
          <w:sz w:val="21"/>
          <w:szCs w:val="21"/>
        </w:rPr>
        <w:t xml:space="preserve">Blanchard, O. J. and Galí, J. (2010). “The macroeconomic effects of oil price shocks: why are the 2000s so different from the 1970s?” in International Dimensions of Monetary Policy, University of Chicago Press.</w:t>
      </w:r>
    </w:p>
    <w:p>
      <w:pPr>
        <w:spacing w:after="120"/>
        <w:jc w:val="both"/>
      </w:pPr>
      <w:r>
        <w:rPr>
          <w:rFonts w:ascii="Arial" w:cs="Arial" w:eastAsia="Arial" w:hAnsi="Arial"/>
          <w:sz w:val="21"/>
          <w:szCs w:val="21"/>
        </w:rPr>
        <w:t xml:space="preserve">Blanchard and Galí show that the transmission of oil shocks is regime-dependent — mediated by wage rigidities, central-bank credibility, and the falling energy intensity of the economy — so the same shock has different effects across eras. I use this to argue the oil price distribution is not stable over time, motivating a conditional, time-varying distributional model rather than a fixed historical relationship.</w:t>
      </w:r>
    </w:p>
    <w:p>
      <w:pPr>
        <w:pBdr>
          <w:bottom w:val="single" w:color="2E75B6" w:sz="6" w:space="2"/>
        </w:pBdr>
        <w:spacing w:after="80" w:before="220"/>
      </w:pPr>
      <w:r>
        <w:rPr>
          <w:rFonts w:ascii="Arial" w:cs="Arial" w:eastAsia="Arial" w:hAnsi="Arial"/>
          <w:b/>
          <w:bCs/>
          <w:color w:val="2E75B6"/>
          <w:sz w:val="25"/>
          <w:szCs w:val="25"/>
        </w:rPr>
        <w:t xml:space="preserve">3. Geopolitical risk reshapes the whole oil price distribution</w:t>
      </w:r>
    </w:p>
    <w:p>
      <w:pPr>
        <w:spacing w:after="40" w:before="160"/>
      </w:pPr>
      <w:r>
        <w:rPr>
          <w:rFonts w:ascii="Arial" w:cs="Arial" w:eastAsia="Arial" w:hAnsi="Arial"/>
          <w:b/>
          <w:bCs/>
          <w:sz w:val="21"/>
          <w:szCs w:val="21"/>
        </w:rPr>
        <w:t xml:space="preserve">Pinchetti, M. (2024). “Geopolitical risk and inflation expectations.” Working paper.</w:t>
      </w:r>
    </w:p>
    <w:p>
      <w:pPr>
        <w:spacing w:after="120"/>
        <w:jc w:val="both"/>
      </w:pPr>
      <w:r>
        <w:rPr>
          <w:rFonts w:ascii="Arial" w:cs="Arial" w:eastAsia="Arial" w:hAnsi="Arial"/>
          <w:sz w:val="21"/>
          <w:szCs w:val="21"/>
        </w:rPr>
        <w:t xml:space="preserve">Pinchetti supplies the economic mechanism behind my regressor of interest: large geopolitical shocks raise Brent prices and inflation expectations by triggering precautionary ‘wait-and-see’ behaviour and a surge in speculative demand for crude. This is why geopolitical risk belongs in the conditioning set and why it should fatten the tails, not just shift the mean.</w:t>
      </w:r>
    </w:p>
    <w:p>
      <w:pPr>
        <w:spacing w:after="40" w:before="160"/>
      </w:pPr>
      <w:r>
        <w:rPr>
          <w:rFonts w:ascii="Arial" w:cs="Arial" w:eastAsia="Arial" w:hAnsi="Arial"/>
          <w:b/>
          <w:bCs/>
          <w:sz w:val="21"/>
          <w:szCs w:val="21"/>
        </w:rPr>
        <w:t xml:space="preserve">Kilian, L., Plante, M. D. and Richter, A. W. (2026). “Perceived disaster probability and oil prices.” Working paper.</w:t>
      </w:r>
    </w:p>
    <w:p>
      <w:pPr>
        <w:spacing w:after="120"/>
        <w:jc w:val="both"/>
      </w:pPr>
      <w:r>
        <w:rPr>
          <w:rFonts w:ascii="Arial" w:cs="Arial" w:eastAsia="Arial" w:hAnsi="Arial"/>
          <w:sz w:val="21"/>
          <w:szCs w:val="21"/>
        </w:rPr>
        <w:t xml:space="preserve">This makes the striking point that the physical materialisation of a threat is not required to move markets: an unanticipated rise in the perceived probability of a major supply shortfall is itself enough to raise oil prices and macro uncertainty. It justifies using a forward-looking risk-perception variable and treating tail risk as something priced in advance of any realised event.</w:t>
      </w:r>
    </w:p>
    <w:p>
      <w:pPr>
        <w:spacing w:after="40" w:before="160"/>
      </w:pPr>
      <w:r>
        <w:rPr>
          <w:rFonts w:ascii="Arial" w:cs="Arial" w:eastAsia="Arial" w:hAnsi="Arial"/>
          <w:b/>
          <w:bCs/>
          <w:sz w:val="21"/>
          <w:szCs w:val="21"/>
        </w:rPr>
        <w:t xml:space="preserve">Brignone, A., Gambetti, L. and Ricci, A. (2025). “Non-linear transmission of geopolitical risk shocks.” Working paper.</w:t>
      </w:r>
    </w:p>
    <w:p>
      <w:pPr>
        <w:spacing w:after="120"/>
        <w:jc w:val="both"/>
      </w:pPr>
      <w:r>
        <w:rPr>
          <w:rFonts w:ascii="Arial" w:cs="Arial" w:eastAsia="Arial" w:hAnsi="Arial"/>
          <w:sz w:val="21"/>
          <w:szCs w:val="21"/>
        </w:rPr>
        <w:t xml:space="preserve">Brignone et al. document non-linear transmission of geopolitical risk and, crucially, decompose it: geopolitical ‘acts’ behave like negative demand shocks, whereas geopolitical ‘threats’ behave like positive uncertainty shocks that push oil prices and inflation expectations up. This is part of my recent-literature grounding that geopolitical risk operates through an amplification channel best captured at the quantile level.</w:t>
      </w:r>
    </w:p>
    <w:p>
      <w:pPr>
        <w:spacing w:after="40" w:before="160"/>
      </w:pPr>
      <w:r>
        <w:rPr>
          <w:rFonts w:ascii="Arial" w:cs="Arial" w:eastAsia="Arial" w:hAnsi="Arial"/>
          <w:b/>
          <w:bCs/>
          <w:sz w:val="21"/>
          <w:szCs w:val="21"/>
        </w:rPr>
        <w:t xml:space="preserve">Verduzco-Bustos, A. and Zanetti, F. (2026). “High-frequency identification of geopolitical oil price shocks.” Working paper.</w:t>
      </w:r>
    </w:p>
    <w:p>
      <w:pPr>
        <w:spacing w:after="120"/>
        <w:jc w:val="both"/>
      </w:pPr>
      <w:r>
        <w:rPr>
          <w:rFonts w:ascii="Arial" w:cs="Arial" w:eastAsia="Arial" w:hAnsi="Arial"/>
          <w:sz w:val="21"/>
          <w:szCs w:val="21"/>
        </w:rPr>
        <w:t xml:space="preserve">Using high-frequency identification, they isolate geopolitical oil shocks and find they resemble severe supply disruptions — immediate production declines, sharp price rises, and a distinctive precautionary inventory response (a surge then a drawdown). I cite them as the clearest recent evidence that geopolitical risk reshapes the distribution of future oil outcomes rather than merely shifting its centre — the empirical premise of OaR.</w:t>
      </w:r>
    </w:p>
    <w:p>
      <w:pPr>
        <w:pBdr>
          <w:bottom w:val="single" w:color="2E75B6" w:sz="6" w:space="2"/>
        </w:pBdr>
        <w:spacing w:after="80" w:before="220"/>
      </w:pPr>
      <w:r>
        <w:rPr>
          <w:rFonts w:ascii="Arial" w:cs="Arial" w:eastAsia="Arial" w:hAnsi="Arial"/>
          <w:b/>
          <w:bCs/>
          <w:color w:val="2E75B6"/>
          <w:sz w:val="25"/>
          <w:szCs w:val="25"/>
        </w:rPr>
        <w:t xml:space="preserve">4. Quantile regression: the estimator and its computation</w:t>
      </w:r>
    </w:p>
    <w:p>
      <w:pPr>
        <w:spacing w:after="40" w:before="160"/>
      </w:pPr>
      <w:r>
        <w:rPr>
          <w:rFonts w:ascii="Arial" w:cs="Arial" w:eastAsia="Arial" w:hAnsi="Arial"/>
          <w:b/>
          <w:bCs/>
          <w:sz w:val="21"/>
          <w:szCs w:val="21"/>
        </w:rPr>
        <w:t xml:space="preserve">Koenker, R. and Bassett, G. W. (1978). “Regression quantiles.” Econometrica, 46(1), 33–50.</w:t>
      </w:r>
    </w:p>
    <w:p>
      <w:pPr>
        <w:spacing w:after="120"/>
        <w:jc w:val="both"/>
      </w:pPr>
      <w:r>
        <w:rPr>
          <w:rFonts w:ascii="Arial" w:cs="Arial" w:eastAsia="Arial" w:hAnsi="Arial"/>
          <w:sz w:val="21"/>
          <w:szCs w:val="21"/>
        </w:rPr>
        <w:t xml:space="preserve">This is the foundational paper of my core estimation step. It introduces the estimation of conditional quantile functions as an alternative to the conditional mean, giving a distribution-agnostic estimator that is robust to outliers and reveals how covariates act differently across the distribution. Every quantile I estimate to build the conditional inverse-CDF rests on this result.</w:t>
      </w:r>
    </w:p>
    <w:p>
      <w:pPr>
        <w:spacing w:after="40" w:before="160"/>
      </w:pPr>
      <w:r>
        <w:rPr>
          <w:rFonts w:ascii="Arial" w:cs="Arial" w:eastAsia="Arial" w:hAnsi="Arial"/>
          <w:b/>
          <w:bCs/>
          <w:sz w:val="21"/>
          <w:szCs w:val="21"/>
        </w:rPr>
        <w:t xml:space="preserve">Koenker, R. and Machado, J. A. F. (1999). “Goodness of fit and related inference processes for quantile regression.” JASA, 94(448), 1296–1310.</w:t>
      </w:r>
    </w:p>
    <w:p>
      <w:pPr>
        <w:spacing w:after="120"/>
        <w:jc w:val="both"/>
      </w:pPr>
      <w:r>
        <w:rPr>
          <w:rFonts w:ascii="Arial" w:cs="Arial" w:eastAsia="Arial" w:hAnsi="Arial"/>
          <w:sz w:val="21"/>
          <w:szCs w:val="21"/>
        </w:rPr>
        <w:t xml:space="preserve">This underpins my quantile-regression diagnostics — the goodness-of-fit measure (the QR analogue of R-squared) and the associated inference processes I use to judge how much each quantile regression explains. I rely on it in the technical development of the methodology and its appendix.</w:t>
      </w:r>
    </w:p>
    <w:p>
      <w:pPr>
        <w:spacing w:after="40" w:before="160"/>
      </w:pPr>
      <w:r>
        <w:rPr>
          <w:rFonts w:ascii="Arial" w:cs="Arial" w:eastAsia="Arial" w:hAnsi="Arial"/>
          <w:b/>
          <w:bCs/>
          <w:sz w:val="21"/>
          <w:szCs w:val="21"/>
        </w:rPr>
        <w:t xml:space="preserve">Koenker, R. and Xiao, Z. (2004). “Unit root quantile autoregression inference.” JASA, 99(467), 775–787.</w:t>
      </w:r>
    </w:p>
    <w:p>
      <w:pPr>
        <w:spacing w:after="120"/>
        <w:jc w:val="both"/>
      </w:pPr>
      <w:r>
        <w:rPr>
          <w:rFonts w:ascii="Arial" w:cs="Arial" w:eastAsia="Arial" w:hAnsi="Arial"/>
          <w:sz w:val="21"/>
          <w:szCs w:val="21"/>
        </w:rPr>
        <w:t xml:space="preserve">This provides the inferential framework for quantile autoregression and unit-root testing at the quantile level, which I draw on when assessing persistence and stationarity in the quantile/CAViaR setting rather than only at the mean.</w:t>
      </w:r>
    </w:p>
    <w:p>
      <w:pPr>
        <w:spacing w:after="40" w:before="160"/>
      </w:pPr>
      <w:r>
        <w:rPr>
          <w:rFonts w:ascii="Arial" w:cs="Arial" w:eastAsia="Arial" w:hAnsi="Arial"/>
          <w:b/>
          <w:bCs/>
          <w:sz w:val="21"/>
          <w:szCs w:val="21"/>
        </w:rPr>
        <w:t xml:space="preserve">Barrodale, I. and Roberts, F. D. K. (1973). “An improved algorithm for discrete L1 linear approximation.” SIAM J. Numerical Analysis, 10(5), 839–848.</w:t>
      </w:r>
    </w:p>
    <w:p>
      <w:pPr>
        <w:spacing w:after="120"/>
        <w:jc w:val="both"/>
      </w:pPr>
      <w:r>
        <w:rPr>
          <w:rFonts w:ascii="Arial" w:cs="Arial" w:eastAsia="Arial" w:hAnsi="Arial"/>
          <w:sz w:val="21"/>
          <w:szCs w:val="21"/>
        </w:rPr>
        <w:t xml:space="preserve">Quantile regression is an L1-type (absolute-error) optimisation problem, and this paper gives the classic simplex-based algorithm that solves it. I cite it to document the computational engine behind the estimates — relevant if the tribunal asks how the quantile coefficients are actually obtained.</w:t>
      </w:r>
    </w:p>
    <w:p>
      <w:pPr>
        <w:spacing w:after="40" w:before="160"/>
      </w:pPr>
      <w:r>
        <w:rPr>
          <w:rFonts w:ascii="Arial" w:cs="Arial" w:eastAsia="Arial" w:hAnsi="Arial"/>
          <w:b/>
          <w:bCs/>
          <w:sz w:val="21"/>
          <w:szCs w:val="21"/>
        </w:rPr>
        <w:t xml:space="preserve">Portnoy, S. and Koenker, R. (1997). “The Gaussian hare and the Laplacian tortoise: computability of squared-error versus absolute-error estimators.” Statistical Science, 12(4), 279–300.</w:t>
      </w:r>
    </w:p>
    <w:p>
      <w:pPr>
        <w:spacing w:after="120"/>
        <w:jc w:val="both"/>
      </w:pPr>
      <w:r>
        <w:rPr>
          <w:rFonts w:ascii="Arial" w:cs="Arial" w:eastAsia="Arial" w:hAnsi="Arial"/>
          <w:sz w:val="21"/>
          <w:szCs w:val="21"/>
        </w:rPr>
        <w:t xml:space="preserve">This addresses the computational cost of absolute-error (quantile) versus squared-error (OLS) estimation and the interior-point methods that make large quantile-regression problems tractable. It backs up the feasibility of my approach at scale and complements Barrodale–Roberts on the computation side.</w:t>
      </w:r>
    </w:p>
    <w:p>
      <w:pPr>
        <w:pBdr>
          <w:bottom w:val="single" w:color="2E75B6" w:sz="6" w:space="2"/>
        </w:pBdr>
        <w:spacing w:after="80" w:before="220"/>
      </w:pPr>
      <w:r>
        <w:rPr>
          <w:rFonts w:ascii="Arial" w:cs="Arial" w:eastAsia="Arial" w:hAnsi="Arial"/>
          <w:b/>
          <w:bCs/>
          <w:color w:val="2E75B6"/>
          <w:sz w:val="25"/>
          <w:szCs w:val="25"/>
        </w:rPr>
        <w:t xml:space="preserve">5. Dynamic tail risk (CAViaR) and the theory of risk measures</w:t>
      </w:r>
    </w:p>
    <w:p>
      <w:pPr>
        <w:spacing w:after="40" w:before="160"/>
      </w:pPr>
      <w:r>
        <w:rPr>
          <w:rFonts w:ascii="Arial" w:cs="Arial" w:eastAsia="Arial" w:hAnsi="Arial"/>
          <w:b/>
          <w:bCs/>
          <w:sz w:val="21"/>
          <w:szCs w:val="21"/>
        </w:rPr>
        <w:t xml:space="preserve">Engle, R. F. and Manganelli, S. (2004). “CAViaR: conditional autoregressive value at risk by regression quantiles.” JBES, 22(4), 367–381.</w:t>
      </w:r>
    </w:p>
    <w:p>
      <w:pPr>
        <w:spacing w:after="120"/>
        <w:jc w:val="both"/>
      </w:pPr>
      <w:r>
        <w:rPr>
          <w:rFonts w:ascii="Arial" w:cs="Arial" w:eastAsia="Arial" w:hAnsi="Arial"/>
          <w:sz w:val="21"/>
          <w:szCs w:val="21"/>
        </w:rPr>
        <w:t xml:space="preserve">This is the source of my second contribution. CAViaR lets the conditional quantile depend autoregressively on its own past and on past violations, capturing the persistence and clustering of tail events that a static quantile regression misses. I use it in two ways: (i) to augment the OaR quantile step so the tails carry memory of recent boundary breaches, and (ii) as the origin of the Dynamic Quantile (DQ) backtest, which I apply to check that the CAViaR-augmented models’ hit sequences behave like a martingale difference.</w:t>
      </w:r>
    </w:p>
    <w:p>
      <w:pPr>
        <w:spacing w:after="40" w:before="160"/>
      </w:pPr>
      <w:r>
        <w:rPr>
          <w:rFonts w:ascii="Arial" w:cs="Arial" w:eastAsia="Arial" w:hAnsi="Arial"/>
          <w:b/>
          <w:bCs/>
          <w:sz w:val="21"/>
          <w:szCs w:val="21"/>
        </w:rPr>
        <w:t xml:space="preserve">Artzner, P., Delbaen, F., Eber, J.-M. and Heath, D. (1999). “Coherent measures of risk.” Mathematical Finance, 9(3), 203–228.</w:t>
      </w:r>
    </w:p>
    <w:p>
      <w:pPr>
        <w:spacing w:after="120"/>
        <w:jc w:val="both"/>
      </w:pPr>
      <w:r>
        <w:rPr>
          <w:rFonts w:ascii="Arial" w:cs="Arial" w:eastAsia="Arial" w:hAnsi="Arial"/>
          <w:sz w:val="21"/>
          <w:szCs w:val="21"/>
        </w:rPr>
        <w:t xml:space="preserve">This is the axiomatic foundation for why I report Expected Shortfall alongside Value-at-Risk. It defines the coherence axioms (notably sub-additivity) that VaR fails and ES satisfies, giving the theoretical justification for treating ES as the more reliable tail measure in my risk suite.</w:t>
      </w:r>
    </w:p>
    <w:p>
      <w:pPr>
        <w:spacing w:after="40" w:before="160"/>
      </w:pPr>
      <w:r>
        <w:rPr>
          <w:rFonts w:ascii="Arial" w:cs="Arial" w:eastAsia="Arial" w:hAnsi="Arial"/>
          <w:b/>
          <w:bCs/>
          <w:sz w:val="21"/>
          <w:szCs w:val="21"/>
        </w:rPr>
        <w:t xml:space="preserve">Basel Committee on Banking Supervision (2019). Minimum Capital Requirements for Market Risk. BIS, Basel III.</w:t>
      </w:r>
    </w:p>
    <w:p>
      <w:pPr>
        <w:spacing w:after="120"/>
        <w:jc w:val="both"/>
      </w:pPr>
      <w:r>
        <w:rPr>
          <w:rFonts w:ascii="Arial" w:cs="Arial" w:eastAsia="Arial" w:hAnsi="Arial"/>
          <w:sz w:val="21"/>
          <w:szCs w:val="21"/>
        </w:rPr>
        <w:t xml:space="preserve">This grounds the choice of risk measures in real-world regulation: the Basel framework’s shift from VaR to Expected Shortfall at the 97.5% level is why my metrics mirror the quantities risk managers and regulators actually monitor, making OaR outputs directly interpretable for surveillance.</w:t>
      </w:r>
    </w:p>
    <w:p>
      <w:pPr>
        <w:pBdr>
          <w:bottom w:val="single" w:color="2E75B6" w:sz="6" w:space="2"/>
        </w:pBdr>
        <w:spacing w:after="80" w:before="220"/>
      </w:pPr>
      <w:r>
        <w:rPr>
          <w:rFonts w:ascii="Arial" w:cs="Arial" w:eastAsia="Arial" w:hAnsi="Arial"/>
          <w:b/>
          <w:bCs/>
          <w:color w:val="2E75B6"/>
          <w:sz w:val="25"/>
          <w:szCs w:val="25"/>
        </w:rPr>
        <w:t xml:space="preserve">6. Turning quantiles into a smooth distribution</w:t>
      </w:r>
    </w:p>
    <w:p>
      <w:pPr>
        <w:spacing w:after="40" w:before="160"/>
      </w:pPr>
      <w:r>
        <w:rPr>
          <w:rFonts w:ascii="Arial" w:cs="Arial" w:eastAsia="Arial" w:hAnsi="Arial"/>
          <w:b/>
          <w:bCs/>
          <w:sz w:val="21"/>
          <w:szCs w:val="21"/>
        </w:rPr>
        <w:t xml:space="preserve">Johnson, N. L. (1949). “Systems of frequency curves generated by methods of translation.” Biometrika, 36(1/2), 149–176.</w:t>
      </w:r>
    </w:p>
    <w:p>
      <w:pPr>
        <w:spacing w:after="120"/>
        <w:jc w:val="both"/>
      </w:pPr>
      <w:r>
        <w:rPr>
          <w:rFonts w:ascii="Arial" w:cs="Arial" w:eastAsia="Arial" w:hAnsi="Arial"/>
          <w:sz w:val="21"/>
          <w:szCs w:val="21"/>
        </w:rPr>
        <w:t xml:space="preserve">This is my third contribution’s foundation. The Johnson S_U family gives independent control of skewness and kurtosis through two shape parameters and, critically, a closed-form quantile function that avoids numerical root-finding. I use it to smooth the discrete quantile-regression output into a continuous conditional density, replacing the skewed-t used in canonical GaR — well suited to oil, where the direction and size of tail asymmetry shift with geopolitical conditions.</w:t>
      </w:r>
    </w:p>
    <w:p>
      <w:pPr>
        <w:spacing w:after="40" w:before="160"/>
      </w:pPr>
      <w:r>
        <w:rPr>
          <w:rFonts w:ascii="Arial" w:cs="Arial" w:eastAsia="Arial" w:hAnsi="Arial"/>
          <w:b/>
          <w:bCs/>
          <w:sz w:val="21"/>
          <w:szCs w:val="21"/>
        </w:rPr>
        <w:t xml:space="preserve">Nelson, D. B. (1991). “Conditional heteroskedasticity in asset returns: a new approach.” Econometrica, 59(2), 347–370.</w:t>
      </w:r>
    </w:p>
    <w:p>
      <w:pPr>
        <w:spacing w:after="120"/>
        <w:jc w:val="both"/>
      </w:pPr>
      <w:r>
        <w:rPr>
          <w:rFonts w:ascii="Arial" w:cs="Arial" w:eastAsia="Arial" w:hAnsi="Arial"/>
          <w:sz w:val="21"/>
          <w:szCs w:val="21"/>
        </w:rPr>
        <w:t xml:space="preserve">I cite Nelson (EGARCH) as a contrast in the distributional appendix: models that control tail weight through a single shape parameter are less flexible than the S_U, which decouples skewness from kurtosis. It sharpens the argument for why the S_U is the better parametric choice for commodity tails.</w:t>
      </w:r>
    </w:p>
    <w:p>
      <w:pPr>
        <w:pBdr>
          <w:bottom w:val="single" w:color="2E75B6" w:sz="6" w:space="2"/>
        </w:pBdr>
        <w:spacing w:after="80" w:before="220"/>
      </w:pPr>
      <w:r>
        <w:rPr>
          <w:rFonts w:ascii="Arial" w:cs="Arial" w:eastAsia="Arial" w:hAnsi="Arial"/>
          <w:b/>
          <w:bCs/>
          <w:color w:val="2E75B6"/>
          <w:sz w:val="25"/>
          <w:szCs w:val="25"/>
        </w:rPr>
        <w:t xml:space="preserve">7. Backtesting and density-forecast evaluation</w:t>
      </w:r>
    </w:p>
    <w:p>
      <w:pPr>
        <w:spacing w:after="40" w:before="160"/>
      </w:pPr>
      <w:r>
        <w:rPr>
          <w:rFonts w:ascii="Arial" w:cs="Arial" w:eastAsia="Arial" w:hAnsi="Arial"/>
          <w:b/>
          <w:bCs/>
          <w:sz w:val="21"/>
          <w:szCs w:val="21"/>
        </w:rPr>
        <w:t xml:space="preserve">Kupiec, P. (1995). “Techniques for verifying the accuracy of risk measurement models.” Journal of Derivatives, 3(2), 73–84.</w:t>
      </w:r>
    </w:p>
    <w:p>
      <w:pPr>
        <w:spacing w:after="120"/>
        <w:jc w:val="both"/>
      </w:pPr>
      <w:r>
        <w:rPr>
          <w:rFonts w:ascii="Arial" w:cs="Arial" w:eastAsia="Arial" w:hAnsi="Arial"/>
          <w:sz w:val="21"/>
          <w:szCs w:val="21"/>
        </w:rPr>
        <w:t xml:space="preserve">Kupiec’s unconditional-coverage (proportion-of-failures) test compares the observed frequency of VaR exceedances against the nominal rate. It is the first, common backtest I apply uniformly to every OaR specification to check that the tails are correctly calibrated.</w:t>
      </w:r>
    </w:p>
    <w:p>
      <w:pPr>
        <w:spacing w:after="40" w:before="160"/>
      </w:pPr>
      <w:r>
        <w:rPr>
          <w:rFonts w:ascii="Arial" w:cs="Arial" w:eastAsia="Arial" w:hAnsi="Arial"/>
          <w:b/>
          <w:bCs/>
          <w:sz w:val="21"/>
          <w:szCs w:val="21"/>
        </w:rPr>
        <w:t xml:space="preserve">Acerbi, C. and Székely, B. (2014). “Backtesting expected shortfall.” Risk Magazine.</w:t>
      </w:r>
    </w:p>
    <w:p>
      <w:pPr>
        <w:spacing w:after="120"/>
        <w:jc w:val="both"/>
      </w:pPr>
      <w:r>
        <w:rPr>
          <w:rFonts w:ascii="Arial" w:cs="Arial" w:eastAsia="Arial" w:hAnsi="Arial"/>
          <w:sz w:val="21"/>
          <w:szCs w:val="21"/>
        </w:rPr>
        <w:t xml:space="preserve">This gives me a practical way to backtest Expected Shortfall — historically thought ‘un-backtestable’ — by exploiting the joint elicitability of VaR and ES and scoring the severity of exceedances, not just their count. It is how I validate the ES numbers OaR produces.</w:t>
      </w:r>
    </w:p>
    <w:p>
      <w:pPr>
        <w:spacing w:after="40" w:before="160"/>
      </w:pPr>
      <w:r>
        <w:rPr>
          <w:rFonts w:ascii="Arial" w:cs="Arial" w:eastAsia="Arial" w:hAnsi="Arial"/>
          <w:b/>
          <w:bCs/>
          <w:sz w:val="21"/>
          <w:szCs w:val="21"/>
        </w:rPr>
        <w:t xml:space="preserve">Acerbi, C. and Székely, B. (2017). “General properties of backtestable statistics.” Working paper.</w:t>
      </w:r>
    </w:p>
    <w:p>
      <w:pPr>
        <w:spacing w:after="120"/>
        <w:jc w:val="both"/>
      </w:pPr>
      <w:r>
        <w:rPr>
          <w:rFonts w:ascii="Arial" w:cs="Arial" w:eastAsia="Arial" w:hAnsi="Arial"/>
          <w:sz w:val="21"/>
          <w:szCs w:val="21"/>
        </w:rPr>
        <w:t xml:space="preserve">The companion piece generalises which risk statistics are backtestable and under what conditions, giving the theoretical justification for the ES backtests I run and reassurance that the tests are well-posed.</w:t>
      </w:r>
    </w:p>
    <w:p>
      <w:pPr>
        <w:spacing w:after="40" w:before="160"/>
      </w:pPr>
      <w:r>
        <w:rPr>
          <w:rFonts w:ascii="Arial" w:cs="Arial" w:eastAsia="Arial" w:hAnsi="Arial"/>
          <w:b/>
          <w:bCs/>
          <w:sz w:val="21"/>
          <w:szCs w:val="21"/>
        </w:rPr>
        <w:t xml:space="preserve">Gneiting, T. and Raftery, A. E. (2007). “Strictly proper scoring rules, prediction, and estimation.” JASA, 102(477), 359–378.</w:t>
      </w:r>
    </w:p>
    <w:p>
      <w:pPr>
        <w:spacing w:after="120"/>
        <w:jc w:val="both"/>
      </w:pPr>
      <w:r>
        <w:rPr>
          <w:rFonts w:ascii="Arial" w:cs="Arial" w:eastAsia="Arial" w:hAnsi="Arial"/>
          <w:sz w:val="21"/>
          <w:szCs w:val="21"/>
        </w:rPr>
        <w:t xml:space="preserve">This supplies the theory of strictly proper scoring rules that grounds my model comparison: a proper score is minimised in expectation only by the true distribution, so ranking OaR variants by such scores is a valid way to choose between them.</w:t>
      </w:r>
    </w:p>
    <w:p>
      <w:pPr>
        <w:spacing w:after="40" w:before="160"/>
      </w:pPr>
      <w:r>
        <w:rPr>
          <w:rFonts w:ascii="Arial" w:cs="Arial" w:eastAsia="Arial" w:hAnsi="Arial"/>
          <w:b/>
          <w:bCs/>
          <w:sz w:val="21"/>
          <w:szCs w:val="21"/>
        </w:rPr>
        <w:t xml:space="preserve">Diebold, F. X. and Mariano, R. S. (1995). “Comparing predictive accuracy.” JBES, 13(3), 253–263.</w:t>
      </w:r>
    </w:p>
    <w:p>
      <w:pPr>
        <w:spacing w:after="120"/>
        <w:jc w:val="both"/>
      </w:pPr>
      <w:r>
        <w:rPr>
          <w:rFonts w:ascii="Arial" w:cs="Arial" w:eastAsia="Arial" w:hAnsi="Arial"/>
          <w:sz w:val="21"/>
          <w:szCs w:val="21"/>
        </w:rPr>
        <w:t xml:space="preserve">The Diebold–Mariano test lets me compare the predictive accuracy of two competing specifications and judge whether a difference in forecast loss is statistically significant. I apply it pairwise across every model variant to support claims that one specification forecasts better than another.</w:t>
      </w:r>
    </w:p>
    <w:p>
      <w:pPr>
        <w:spacing w:after="40" w:before="160"/>
      </w:pPr>
      <w:r>
        <w:rPr>
          <w:rFonts w:ascii="Arial" w:cs="Arial" w:eastAsia="Arial" w:hAnsi="Arial"/>
          <w:b/>
          <w:bCs/>
          <w:sz w:val="21"/>
          <w:szCs w:val="21"/>
        </w:rPr>
        <w:t xml:space="preserve">Diebold, F. X., Gunther, T. A. and Tay, A. S. (1998). “Evaluating density forecasts with applications to financial risk management.” International Economic Review, 39(4), 863–883.</w:t>
      </w:r>
    </w:p>
    <w:p>
      <w:pPr>
        <w:spacing w:after="120"/>
        <w:jc w:val="both"/>
      </w:pPr>
      <w:r>
        <w:rPr>
          <w:rFonts w:ascii="Arial" w:cs="Arial" w:eastAsia="Arial" w:hAnsi="Arial"/>
          <w:sz w:val="21"/>
          <w:szCs w:val="21"/>
        </w:rPr>
        <w:t xml:space="preserve">This is the reference for evaluating a whole density forecast via the probability integral transform (PIT): if the conditional density is correct, the PIT values are uniform. I use it to check that the entire fitted S_U distribution — not just a single quantile — is well specified.</w:t>
      </w:r>
    </w:p>
    <w:p>
      <w:pPr>
        <w:spacing w:after="40" w:before="160"/>
      </w:pPr>
      <w:r>
        <w:rPr>
          <w:rFonts w:ascii="Arial" w:cs="Arial" w:eastAsia="Arial" w:hAnsi="Arial"/>
          <w:b/>
          <w:bCs/>
          <w:sz w:val="21"/>
          <w:szCs w:val="21"/>
        </w:rPr>
        <w:t xml:space="preserve">Massey, F. J. (1951). “The Kolmogorov–Smirnov test for goodness of fit.” JASA, 46(253), 68–78.</w:t>
      </w:r>
    </w:p>
    <w:p>
      <w:pPr>
        <w:spacing w:after="120"/>
        <w:jc w:val="both"/>
      </w:pPr>
      <w:r>
        <w:rPr>
          <w:rFonts w:ascii="Arial" w:cs="Arial" w:eastAsia="Arial" w:hAnsi="Arial"/>
          <w:sz w:val="21"/>
          <w:szCs w:val="21"/>
        </w:rPr>
        <w:t xml:space="preserve">The Kolmogorov–Smirnov test is my formal goodness-of-fit tool for the PIT/distributional check — it tests whether the transformed observations depart from uniformity (or the fitted density departs from the data), quantifying the visual density diagnostics.</w:t>
      </w:r>
    </w:p>
    <w:p>
      <w:pPr>
        <w:pBdr>
          <w:bottom w:val="single" w:color="2E75B6" w:sz="6" w:space="2"/>
        </w:pBdr>
        <w:spacing w:after="80" w:before="220"/>
      </w:pPr>
      <w:r>
        <w:rPr>
          <w:rFonts w:ascii="Arial" w:cs="Arial" w:eastAsia="Arial" w:hAnsi="Arial"/>
          <w:b/>
          <w:bCs/>
          <w:color w:val="2E75B6"/>
          <w:sz w:val="25"/>
          <w:szCs w:val="25"/>
        </w:rPr>
        <w:t xml:space="preserve">8. Information theory: the entropy early-warning indicator</w:t>
      </w:r>
    </w:p>
    <w:p>
      <w:pPr>
        <w:spacing w:after="40" w:before="160"/>
      </w:pPr>
      <w:r>
        <w:rPr>
          <w:rFonts w:ascii="Arial" w:cs="Arial" w:eastAsia="Arial" w:hAnsi="Arial"/>
          <w:b/>
          <w:bCs/>
          <w:sz w:val="21"/>
          <w:szCs w:val="21"/>
        </w:rPr>
        <w:t xml:space="preserve">Shannon, C. E. (1948). “A mathematical theory of communication.” Bell System Technical Journal, 27(3), 379–423.</w:t>
      </w:r>
    </w:p>
    <w:p>
      <w:pPr>
        <w:spacing w:after="120"/>
        <w:jc w:val="both"/>
      </w:pPr>
      <w:r>
        <w:rPr>
          <w:rFonts w:ascii="Arial" w:cs="Arial" w:eastAsia="Arial" w:hAnsi="Arial"/>
          <w:sz w:val="21"/>
          <w:szCs w:val="21"/>
        </w:rPr>
        <w:t xml:space="preserve">Shannon’s entropy is the conceptual root of my early-warning indicator: it defines the information/uncertainty content of a distribution, which is what I track through time as geopolitical conditions change.</w:t>
      </w:r>
    </w:p>
    <w:p>
      <w:pPr>
        <w:spacing w:after="40" w:before="160"/>
      </w:pPr>
      <w:r>
        <w:rPr>
          <w:rFonts w:ascii="Arial" w:cs="Arial" w:eastAsia="Arial" w:hAnsi="Arial"/>
          <w:b/>
          <w:bCs/>
          <w:sz w:val="21"/>
          <w:szCs w:val="21"/>
        </w:rPr>
        <w:t xml:space="preserve">Kullback, S. and Leibler, R. A. (1951). “On information and sufficiency.” Annals of Mathematical Statistics, 22(1), 79–86.</w:t>
      </w:r>
    </w:p>
    <w:p>
      <w:pPr>
        <w:spacing w:after="120"/>
        <w:jc w:val="both"/>
      </w:pPr>
      <w:r>
        <w:rPr>
          <w:rFonts w:ascii="Arial" w:cs="Arial" w:eastAsia="Arial" w:hAnsi="Arial"/>
          <w:sz w:val="21"/>
          <w:szCs w:val="21"/>
        </w:rPr>
        <w:t xml:space="preserve">The Kullback–Leibler (relative-entropy) divergence IS my early-warning statistic. I measure the divergence of the fitted conditional density from a reference density, decomposed by tail, so that a rising left-tail KL divergence flags growing downside vulnerability in the oil price distribution.</w:t>
      </w:r>
    </w:p>
    <w:p>
      <w:pPr>
        <w:spacing w:after="40" w:before="160"/>
      </w:pPr>
      <w:r>
        <w:rPr>
          <w:rFonts w:ascii="Arial" w:cs="Arial" w:eastAsia="Arial" w:hAnsi="Arial"/>
          <w:b/>
          <w:bCs/>
          <w:sz w:val="21"/>
          <w:szCs w:val="21"/>
        </w:rPr>
        <w:t xml:space="preserve">Granger, C. W. J. (1969). “Investigating causal relations by econometric models and cross-spectral methods.” Econometrica, 37(3), 424–438.</w:t>
      </w:r>
    </w:p>
    <w:p>
      <w:pPr>
        <w:spacing w:after="120"/>
        <w:jc w:val="both"/>
      </w:pPr>
      <w:r>
        <w:rPr>
          <w:rFonts w:ascii="Arial" w:cs="Arial" w:eastAsia="Arial" w:hAnsi="Arial"/>
          <w:sz w:val="21"/>
          <w:szCs w:val="21"/>
        </w:rPr>
        <w:t xml:space="preserve">Granger causality is how I test — rather than assume — that the entropy indicator has anticipatory content: I check whether the KL-divergence series helps predict future oil price moves. Its F-statistic and the whole lead-lag interpretation of the early-warning system rest on this paper.</w:t>
      </w:r>
    </w:p>
    <w:p>
      <w:pPr>
        <w:pBdr>
          <w:bottom w:val="single" w:color="2E75B6" w:sz="6" w:space="2"/>
        </w:pBdr>
        <w:spacing w:after="80" w:before="220"/>
      </w:pPr>
      <w:r>
        <w:rPr>
          <w:rFonts w:ascii="Arial" w:cs="Arial" w:eastAsia="Arial" w:hAnsi="Arial"/>
          <w:b/>
          <w:bCs/>
          <w:color w:val="2E75B6"/>
          <w:sz w:val="25"/>
          <w:szCs w:val="25"/>
        </w:rPr>
        <w:t xml:space="preserve">9. Time-series machinery supporting the early-warning system</w:t>
      </w:r>
    </w:p>
    <w:p>
      <w:pPr>
        <w:spacing w:after="40" w:before="160"/>
      </w:pPr>
      <w:r>
        <w:rPr>
          <w:rFonts w:ascii="Arial" w:cs="Arial" w:eastAsia="Arial" w:hAnsi="Arial"/>
          <w:b/>
          <w:bCs/>
          <w:sz w:val="21"/>
          <w:szCs w:val="21"/>
        </w:rPr>
        <w:t xml:space="preserve">Akaike, H. (1974). “A new look at the statistical model identification.” IEEE Transactions on Automatic Control, 19(6), 716–723.</w:t>
      </w:r>
    </w:p>
    <w:p>
      <w:pPr>
        <w:spacing w:after="120"/>
        <w:jc w:val="both"/>
      </w:pPr>
      <w:r>
        <w:rPr>
          <w:rFonts w:ascii="Arial" w:cs="Arial" w:eastAsia="Arial" w:hAnsi="Arial"/>
          <w:sz w:val="21"/>
          <w:szCs w:val="21"/>
        </w:rPr>
        <w:t xml:space="preserve">The AIC is my criterion for selecting the lag length in the Granger-causality/autoregressive setup, ensuring the lead-lag tests are run at a data-supported number of lags rather than an arbitrary one.</w:t>
      </w:r>
    </w:p>
    <w:p>
      <w:pPr>
        <w:spacing w:after="40" w:before="160"/>
      </w:pPr>
      <w:r>
        <w:rPr>
          <w:rFonts w:ascii="Arial" w:cs="Arial" w:eastAsia="Arial" w:hAnsi="Arial"/>
          <w:b/>
          <w:bCs/>
          <w:sz w:val="21"/>
          <w:szCs w:val="21"/>
        </w:rPr>
        <w:t xml:space="preserve">Bartlett, M. S. (1946). “On the theoretical specification and sampling properties of autocorrelated time-series.” Supplement to the JRSS, 8(1), 27–41.</w:t>
      </w:r>
    </w:p>
    <w:p>
      <w:pPr>
        <w:spacing w:after="120"/>
        <w:jc w:val="both"/>
      </w:pPr>
      <w:r>
        <w:rPr>
          <w:rFonts w:ascii="Arial" w:cs="Arial" w:eastAsia="Arial" w:hAnsi="Arial"/>
          <w:sz w:val="21"/>
          <w:szCs w:val="21"/>
        </w:rPr>
        <w:t xml:space="preserve">Bartlett gives the sampling properties (and the +/- 1.96/sqrt(N) significance bands under independence) that I overlay on the Cross-Correlation Function, so I can tell which lead-lag correlations of the entropy indicator are statistically meaningful.</w:t>
      </w:r>
    </w:p>
    <w:p>
      <w:pPr>
        <w:spacing w:after="40" w:before="160"/>
      </w:pPr>
      <w:r>
        <w:rPr>
          <w:rFonts w:ascii="Arial" w:cs="Arial" w:eastAsia="Arial" w:hAnsi="Arial"/>
          <w:b/>
          <w:bCs/>
          <w:sz w:val="21"/>
          <w:szCs w:val="21"/>
        </w:rPr>
        <w:t xml:space="preserve">Bujosa, M., García-Ferrer, A. and de Juan, A. (2013). “Predicting recessions with factor linear dynamic harmonic regressions.” Journal of Forecasting, 32(6), 481–499.</w:t>
      </w:r>
    </w:p>
    <w:p>
      <w:pPr>
        <w:spacing w:after="120"/>
        <w:jc w:val="both"/>
      </w:pPr>
      <w:r>
        <w:rPr>
          <w:rFonts w:ascii="Arial" w:cs="Arial" w:eastAsia="Arial" w:hAnsi="Arial"/>
          <w:sz w:val="21"/>
          <w:szCs w:val="21"/>
        </w:rPr>
        <w:t xml:space="preserve">This is my template for the CCF as a leading-indicator tool and, specifically, for the internal-coherence diagnostic of a composite indicator: a well-built indicator’s components should move together contemporaneously. I borrow that logic to check the coherence of my full-, left-, and right-tail entropy components.</w:t>
      </w:r>
    </w:p>
    <w:p>
      <w:pPr>
        <w:spacing w:after="40" w:before="160"/>
      </w:pPr>
      <w:r>
        <w:rPr>
          <w:rFonts w:ascii="Arial" w:cs="Arial" w:eastAsia="Arial" w:hAnsi="Arial"/>
          <w:b/>
          <w:bCs/>
          <w:sz w:val="21"/>
          <w:szCs w:val="21"/>
        </w:rPr>
        <w:t xml:space="preserve">Brockwell, P. J. and Davis, R. A. (1991). Time Series: Theory and Methods, 2nd ed. Springer.</w:t>
      </w:r>
    </w:p>
    <w:p>
      <w:pPr>
        <w:spacing w:after="120"/>
        <w:jc w:val="both"/>
      </w:pPr>
      <w:r>
        <w:rPr>
          <w:rFonts w:ascii="Arial" w:cs="Arial" w:eastAsia="Arial" w:hAnsi="Arial"/>
          <w:sz w:val="21"/>
          <w:szCs w:val="21"/>
        </w:rPr>
        <w:t xml:space="preserve">This is the standard textbook reference underpinning the Cross-Correlation Function and the spectral/time-series methods I use to analyse the entropy series — cited to anchor the CCF machinery in established theory.</w:t>
      </w:r>
    </w:p>
    <w:p>
      <w:pPr>
        <w:spacing w:after="40" w:before="160"/>
      </w:pPr>
      <w:r>
        <w:rPr>
          <w:rFonts w:ascii="Arial" w:cs="Arial" w:eastAsia="Arial" w:hAnsi="Arial"/>
          <w:b/>
          <w:bCs/>
          <w:sz w:val="21"/>
          <w:szCs w:val="21"/>
        </w:rPr>
        <w:t xml:space="preserve">Hamilton, J. D. (1994). Time Series Analysis. Princeton University Press.</w:t>
      </w:r>
    </w:p>
    <w:p>
      <w:pPr>
        <w:spacing w:after="120"/>
        <w:jc w:val="both"/>
      </w:pPr>
      <w:r>
        <w:rPr>
          <w:rFonts w:ascii="Arial" w:cs="Arial" w:eastAsia="Arial" w:hAnsi="Arial"/>
          <w:sz w:val="21"/>
          <w:szCs w:val="21"/>
        </w:rPr>
        <w:t xml:space="preserve">The canonical time-series reference backing the distributional theory of the Granger-causality F-test and the VAR/autoregressive apparatus of the early-warning section — it is where the null distributions and estimators I invoke are formally established.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2026-07-08T07:31:56.481Z</dcterms:created>
  <dcterms:modified xsi:type="dcterms:W3CDTF">2026-07-08T07:31:56.482Z</dcterms:modified>
</cp:coreProperties>
</file>

<file path=docProps/custom.xml><?xml version="1.0" encoding="utf-8"?>
<Properties xmlns="http://schemas.openxmlformats.org/officeDocument/2006/custom-properties" xmlns:vt="http://schemas.openxmlformats.org/officeDocument/2006/docPropsVTypes"/>
</file>