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CC2A" w14:textId="1971BB82" w:rsidR="001F3DA7" w:rsidRDefault="001F3DA7"/>
    <w:sdt>
      <w:sdtPr>
        <w:id w:val="-1065033230"/>
        <w:docPartObj>
          <w:docPartGallery w:val="Cover Pages"/>
          <w:docPartUnique/>
        </w:docPartObj>
      </w:sdtPr>
      <w:sdtEndPr>
        <w:rPr>
          <w:b/>
          <w:bCs/>
        </w:rPr>
      </w:sdtEndPr>
      <w:sdtContent>
        <w:p w14:paraId="1B113D74" w14:textId="6290AAC9" w:rsidR="00454C0E" w:rsidRDefault="00454C0E"/>
        <w:p w14:paraId="78CD17F1" w14:textId="2A655339" w:rsidR="00454C0E" w:rsidRDefault="00454C0E">
          <w:pPr>
            <w:rPr>
              <w:b/>
              <w:bCs/>
            </w:rPr>
          </w:pPr>
          <w:r>
            <w:rPr>
              <w:noProof/>
            </w:rPr>
            <mc:AlternateContent>
              <mc:Choice Requires="wps">
                <w:drawing>
                  <wp:anchor distT="0" distB="0" distL="182880" distR="182880" simplePos="0" relativeHeight="251660288" behindDoc="0" locked="0" layoutInCell="1" allowOverlap="1" wp14:anchorId="690111C2" wp14:editId="1D553EFC">
                    <wp:simplePos x="0" y="0"/>
                    <wp:positionH relativeFrom="margin">
                      <wp:align>right</wp:align>
                    </wp:positionH>
                    <wp:positionV relativeFrom="page">
                      <wp:posOffset>4295775</wp:posOffset>
                    </wp:positionV>
                    <wp:extent cx="5791200" cy="4728845"/>
                    <wp:effectExtent l="0" t="0" r="0" b="14605"/>
                    <wp:wrapSquare wrapText="bothSides"/>
                    <wp:docPr id="131" name="Text Box 131"/>
                    <wp:cNvGraphicFramePr/>
                    <a:graphic xmlns:a="http://schemas.openxmlformats.org/drawingml/2006/main">
                      <a:graphicData uri="http://schemas.microsoft.com/office/word/2010/wordprocessingShape">
                        <wps:wsp>
                          <wps:cNvSpPr txBox="1"/>
                          <wps:spPr>
                            <a:xfrm>
                              <a:off x="0" y="0"/>
                              <a:ext cx="5791200" cy="4728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AAF462" w14:textId="6CB236DB" w:rsidR="00454C0E" w:rsidRPr="00454C0E" w:rsidRDefault="00000000" w:rsidP="00454C0E">
                                <w:pPr>
                                  <w:pStyle w:val="NoSpacing"/>
                                  <w:spacing w:before="40" w:after="560" w:line="216" w:lineRule="auto"/>
                                  <w:jc w:val="left"/>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54C0E" w:rsidRPr="00454C0E">
                                      <w:rPr>
                                        <w:color w:val="156082" w:themeColor="accent1"/>
                                        <w:sz w:val="72"/>
                                        <w:szCs w:val="72"/>
                                      </w:rPr>
                                      <w:t>Beyond the Mean: Quantifying Tail Risks in Brent Crude Oil Prices under Geopolitical Uncertainty</w:t>
                                    </w:r>
                                  </w:sdtContent>
                                </w:sdt>
                              </w:p>
                              <w:sdt>
                                <w:sdtPr>
                                  <w:rPr>
                                    <w:caps/>
                                    <w:color w:val="501549" w:themeColor="accent5" w:themeShade="80"/>
                                    <w:sz w:val="28"/>
                                    <w:szCs w:val="28"/>
                                    <w:lang w:val="es-ES"/>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6E1B28" w14:textId="660E8DAE" w:rsidR="00454C0E" w:rsidRPr="00454C0E" w:rsidRDefault="00454C0E">
                                    <w:pPr>
                                      <w:pStyle w:val="NoSpacing"/>
                                      <w:spacing w:before="40" w:after="40"/>
                                      <w:rPr>
                                        <w:caps/>
                                        <w:color w:val="501549" w:themeColor="accent5" w:themeShade="80"/>
                                        <w:sz w:val="28"/>
                                        <w:szCs w:val="28"/>
                                        <w:lang w:val="es-ES"/>
                                      </w:rPr>
                                    </w:pPr>
                                    <w:r w:rsidRPr="00454C0E">
                                      <w:rPr>
                                        <w:caps/>
                                        <w:color w:val="501549" w:themeColor="accent5" w:themeShade="80"/>
                                        <w:sz w:val="28"/>
                                        <w:szCs w:val="28"/>
                                        <w:lang w:val="es-ES"/>
                                      </w:rPr>
                                      <w:t>Directed by: Diego Eduardo Fresoli and Pilar Poncela Blanco</w:t>
                                    </w:r>
                                  </w:p>
                                </w:sdtContent>
                              </w:sdt>
                              <w:sdt>
                                <w:sdtPr>
                                  <w:rPr>
                                    <w:caps/>
                                    <w:color w:val="A02B93" w:themeColor="accent5"/>
                                    <w:sz w:val="24"/>
                                    <w:szCs w:val="24"/>
                                    <w:lang w:val="es-ES"/>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714B947" w14:textId="4E45763E" w:rsidR="00454C0E" w:rsidRPr="00454C0E" w:rsidRDefault="00454C0E">
                                    <w:pPr>
                                      <w:pStyle w:val="NoSpacing"/>
                                      <w:spacing w:before="80" w:after="40"/>
                                      <w:rPr>
                                        <w:caps/>
                                        <w:color w:val="A02B93" w:themeColor="accent5"/>
                                        <w:sz w:val="24"/>
                                        <w:szCs w:val="24"/>
                                        <w:lang w:val="es-ES"/>
                                      </w:rPr>
                                    </w:pPr>
                                    <w:r>
                                      <w:rPr>
                                        <w:caps/>
                                        <w:color w:val="A02B93" w:themeColor="accent5"/>
                                        <w:sz w:val="24"/>
                                        <w:szCs w:val="24"/>
                                        <w:lang w:val="es-ES"/>
                                      </w:rPr>
                                      <w:t xml:space="preserve">Author: </w:t>
                                    </w:r>
                                    <w:r w:rsidRPr="00454C0E">
                                      <w:rPr>
                                        <w:caps/>
                                        <w:color w:val="A02B93" w:themeColor="accent5"/>
                                        <w:sz w:val="24"/>
                                        <w:szCs w:val="24"/>
                                        <w:lang w:val="es-ES"/>
                                      </w:rPr>
                                      <w:t>Jose Alejandro Rodriguez Garrido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90111C2" id="_x0000_t202" coordsize="21600,21600" o:spt="202" path="m,l,21600r21600,l21600,xe">
                    <v:stroke joinstyle="miter"/>
                    <v:path gradientshapeok="t" o:connecttype="rect"/>
                  </v:shapetype>
                  <v:shape id="Text Box 131" o:spid="_x0000_s1026" type="#_x0000_t202" style="position:absolute;left:0;text-align:left;margin-left:404.8pt;margin-top:338.25pt;width:456pt;height:372.35pt;z-index:251660288;visibility:visible;mso-wrap-style:square;mso-width-percent:0;mso-height-percent:0;mso-wrap-distance-left:14.4pt;mso-wrap-distance-top:0;mso-wrap-distance-right:14.4pt;mso-wrap-distance-bottom:0;mso-position-horizontal:right;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" filled="f" stroked="f" strokeweight=".5pt">
                    <v:textbox inset="0,0,0,0">
                      <w:txbxContent>
                        <w:p w14:paraId="2FAAF462" w14:textId="6CB236DB" w:rsidR="00454C0E" w:rsidRPr="00454C0E" w:rsidRDefault="00000000" w:rsidP="00454C0E">
                          <w:pPr>
                            <w:pStyle w:val="NoSpacing"/>
                            <w:spacing w:before="40" w:after="560" w:line="216" w:lineRule="auto"/>
                            <w:jc w:val="left"/>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454C0E" w:rsidRPr="00454C0E">
                                <w:rPr>
                                  <w:color w:val="156082" w:themeColor="accent1"/>
                                  <w:sz w:val="72"/>
                                  <w:szCs w:val="72"/>
                                </w:rPr>
                                <w:t>Beyond the Mean: Quantifying Tail Risks in Brent Crude Oil Prices under Geopolitical Uncertainty</w:t>
                              </w:r>
                            </w:sdtContent>
                          </w:sdt>
                        </w:p>
                        <w:sdt>
                          <w:sdtPr>
                            <w:rPr>
                              <w:caps/>
                              <w:color w:val="501549" w:themeColor="accent5" w:themeShade="80"/>
                              <w:sz w:val="28"/>
                              <w:szCs w:val="28"/>
                              <w:lang w:val="es-ES"/>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6E1B28" w14:textId="660E8DAE" w:rsidR="00454C0E" w:rsidRPr="00454C0E" w:rsidRDefault="00454C0E">
                              <w:pPr>
                                <w:pStyle w:val="NoSpacing"/>
                                <w:spacing w:before="40" w:after="40"/>
                                <w:rPr>
                                  <w:caps/>
                                  <w:color w:val="501549" w:themeColor="accent5" w:themeShade="80"/>
                                  <w:sz w:val="28"/>
                                  <w:szCs w:val="28"/>
                                  <w:lang w:val="es-ES"/>
                                </w:rPr>
                              </w:pPr>
                              <w:r w:rsidRPr="00454C0E">
                                <w:rPr>
                                  <w:caps/>
                                  <w:color w:val="501549" w:themeColor="accent5" w:themeShade="80"/>
                                  <w:sz w:val="28"/>
                                  <w:szCs w:val="28"/>
                                  <w:lang w:val="es-ES"/>
                                </w:rPr>
                                <w:t>Directed by: Diego Eduardo Fresoli and Pilar Poncela Blanco</w:t>
                              </w:r>
                            </w:p>
                          </w:sdtContent>
                        </w:sdt>
                        <w:sdt>
                          <w:sdtPr>
                            <w:rPr>
                              <w:caps/>
                              <w:color w:val="A02B93" w:themeColor="accent5"/>
                              <w:sz w:val="24"/>
                              <w:szCs w:val="24"/>
                              <w:lang w:val="es-ES"/>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714B947" w14:textId="4E45763E" w:rsidR="00454C0E" w:rsidRPr="00454C0E" w:rsidRDefault="00454C0E">
                              <w:pPr>
                                <w:pStyle w:val="NoSpacing"/>
                                <w:spacing w:before="80" w:after="40"/>
                                <w:rPr>
                                  <w:caps/>
                                  <w:color w:val="A02B93" w:themeColor="accent5"/>
                                  <w:sz w:val="24"/>
                                  <w:szCs w:val="24"/>
                                  <w:lang w:val="es-ES"/>
                                </w:rPr>
                              </w:pPr>
                              <w:r>
                                <w:rPr>
                                  <w:caps/>
                                  <w:color w:val="A02B93" w:themeColor="accent5"/>
                                  <w:sz w:val="24"/>
                                  <w:szCs w:val="24"/>
                                  <w:lang w:val="es-ES"/>
                                </w:rPr>
                                <w:t xml:space="preserve">Author: </w:t>
                              </w:r>
                              <w:r w:rsidRPr="00454C0E">
                                <w:rPr>
                                  <w:caps/>
                                  <w:color w:val="A02B93" w:themeColor="accent5"/>
                                  <w:sz w:val="24"/>
                                  <w:szCs w:val="24"/>
                                  <w:lang w:val="es-ES"/>
                                </w:rPr>
                                <w:t>Jose Alejandro Rodriguez Garrido</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0E69A40" wp14:editId="49B8460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33AF556" w14:textId="1E305D1D" w:rsidR="00454C0E" w:rsidRDefault="00454C0E">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E69A40" id="Rectangle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033AF556" w14:textId="1E305D1D" w:rsidR="00454C0E" w:rsidRDefault="00454C0E">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rPr>
            <w:br w:type="page"/>
          </w:r>
        </w:p>
      </w:sdtContent>
    </w:sdt>
    <w:p w14:paraId="0B189DFD" w14:textId="6B6BCFDE" w:rsidR="00CB5831" w:rsidRDefault="00CB5831" w:rsidP="00454C0E">
      <w:pPr>
        <w:spacing w:line="360" w:lineRule="auto"/>
      </w:pPr>
      <w:r w:rsidRPr="00CB5831">
        <w:lastRenderedPageBreak/>
        <w:t xml:space="preserve">We study the effect of geopolitical risk on crude oil prices because it is a first-order concern for policymakers, firms, and </w:t>
      </w:r>
      <w:r w:rsidR="001F7768" w:rsidRPr="00CB5831">
        <w:t>investors</w:t>
      </w:r>
      <w:r w:rsidRPr="00CB5831">
        <w:t>. Oil prices are a central input in inflation dynamics, production costs, and global trade balances. Geopolitical tensions</w:t>
      </w:r>
      <w:r>
        <w:t xml:space="preserve"> </w:t>
      </w:r>
      <w:r w:rsidRPr="00CB5831">
        <w:t>rapidly propagate through energy markets, generating volatility with macroeconomic consequences. Understanding not only whether geopolitical risk affects oil prices, but</w:t>
      </w:r>
      <w:r w:rsidR="00B26A6B">
        <w:t xml:space="preserve"> also</w:t>
      </w:r>
      <w:r w:rsidRPr="00CB5831">
        <w:t xml:space="preserve"> how </w:t>
      </w:r>
      <w:r>
        <w:t>vulnerable future prices are to global risks is therefore critical.</w:t>
      </w:r>
    </w:p>
    <w:p w14:paraId="274BFAC0" w14:textId="1BB16696" w:rsidR="008752E7" w:rsidRDefault="00EF215E" w:rsidP="00454C0E">
      <w:pPr>
        <w:spacing w:line="360" w:lineRule="auto"/>
      </w:pPr>
      <w:r>
        <w:t>Standard</w:t>
      </w:r>
      <w:r w:rsidR="00CB5831" w:rsidRPr="00CB5831">
        <w:t xml:space="preserve"> frameworks typically focus on the conditional </w:t>
      </w:r>
      <w:proofErr w:type="gramStart"/>
      <w:r w:rsidR="00B26A6B">
        <w:t>mean</w:t>
      </w:r>
      <w:proofErr w:type="gramEnd"/>
      <w:r w:rsidR="00CB5831">
        <w:t xml:space="preserve">, </w:t>
      </w:r>
      <w:r w:rsidR="00CB5831" w:rsidRPr="00CB5831">
        <w:t>summarizing relationships through expected values estimated via Ordinary Least Squares. This implicitly assumes that the average effect is representative of the underlying process. However, in the context of oil prices and geopolitical shocks</w:t>
      </w:r>
      <w:r>
        <w:t>,</w:t>
      </w:r>
      <w:r w:rsidR="00A53371">
        <w:t xml:space="preserve"> where</w:t>
      </w:r>
      <w:r w:rsidR="00B26A6B">
        <w:t xml:space="preserve"> </w:t>
      </w:r>
      <w:r w:rsidR="00A53371" w:rsidRPr="00CB5831">
        <w:t>data are characterized by heteroskedasticity, asymmetry, and the presence of influential observations that distort linear estimates</w:t>
      </w:r>
      <w:r w:rsidR="00A53371">
        <w:t>,</w:t>
      </w:r>
      <w:r w:rsidR="00CB5831" w:rsidRPr="00CB5831">
        <w:t xml:space="preserve"> this assumption is restrictive and often misleading.</w:t>
      </w:r>
    </w:p>
    <w:p w14:paraId="02B6CE51" w14:textId="23428C95" w:rsidR="008752E7" w:rsidRPr="00CB5831" w:rsidRDefault="008752E7" w:rsidP="008752E7">
      <w:pPr>
        <w:spacing w:line="360" w:lineRule="auto"/>
      </w:pPr>
      <w:r w:rsidRPr="008752E7">
        <w:t>We adapt the Growth</w:t>
      </w:r>
      <w:r w:rsidRPr="008752E7">
        <w:noBreakHyphen/>
        <w:t>at</w:t>
      </w:r>
      <w:r w:rsidRPr="008752E7">
        <w:noBreakHyphen/>
        <w:t xml:space="preserve">Risk framework of Adrian, </w:t>
      </w:r>
      <w:proofErr w:type="spellStart"/>
      <w:r w:rsidRPr="008752E7">
        <w:t>Boyarchenko</w:t>
      </w:r>
      <w:proofErr w:type="spellEnd"/>
      <w:r w:rsidRPr="008752E7">
        <w:t xml:space="preserve">, and Giannone (2019) to model the full conditional distribution of future oil price growth. Instead of focusing on average effects, we estimate how geopolitical risk shifts different quantiles of the distribution, capturing heterogeneity across outcomes. The resulting discrete quantiles are then smoothed into a continuous density using a flexible </w:t>
      </w:r>
      <w:proofErr w:type="gramStart"/>
      <w:r w:rsidRPr="008752E7">
        <w:t>skewed t</w:t>
      </w:r>
      <w:r w:rsidRPr="008752E7">
        <w:noBreakHyphen/>
      </w:r>
      <w:proofErr w:type="gramEnd"/>
      <w:r w:rsidRPr="008752E7">
        <w:t>distribution. From this density, we compute measures of vulnerability</w:t>
      </w:r>
      <w:r>
        <w:t xml:space="preserve"> </w:t>
      </w:r>
      <w:r w:rsidRPr="008752E7">
        <w:t xml:space="preserve">that summarize the likelihood and severity of extreme price movements. </w:t>
      </w:r>
    </w:p>
    <w:p w14:paraId="6E2CA5BE" w14:textId="254E986A" w:rsidR="00E66EFB" w:rsidRPr="00CB5831" w:rsidRDefault="00E66EFB" w:rsidP="00454C0E">
      <w:pPr>
        <w:pStyle w:val="Heading1"/>
        <w:spacing w:line="360" w:lineRule="auto"/>
        <w:rPr>
          <w:b w:val="0"/>
          <w:bCs w:val="0"/>
        </w:rPr>
      </w:pPr>
      <w:r>
        <w:t>Research questions, significance and contribution</w:t>
      </w:r>
    </w:p>
    <w:p w14:paraId="3A7D85FB" w14:textId="17FE52E4" w:rsidR="00CB5831" w:rsidRPr="00CB5831" w:rsidRDefault="00CB5831" w:rsidP="00454C0E">
      <w:pPr>
        <w:spacing w:line="360" w:lineRule="auto"/>
      </w:pPr>
      <w:r w:rsidRPr="00CB5831">
        <w:t>This thesis is guided by two main research questions. First, how do geopolitical shocks asymmetrically influence different quantiles of the Brent crude oil price growth distribution? Second, what is the magnitude of tail risks</w:t>
      </w:r>
      <w:r w:rsidR="00A53371">
        <w:t xml:space="preserve">, </w:t>
      </w:r>
      <w:r w:rsidRPr="00CB5831">
        <w:t>both downside and upside</w:t>
      </w:r>
      <w:r w:rsidR="00A53371">
        <w:t xml:space="preserve">, </w:t>
      </w:r>
      <w:r w:rsidRPr="00CB5831">
        <w:t>in oil prices in response to country-specific geopolitical risk?</w:t>
      </w:r>
    </w:p>
    <w:p w14:paraId="7C89B284" w14:textId="77777777" w:rsidR="00CB5831" w:rsidRPr="00CB5831" w:rsidRDefault="00CB5831" w:rsidP="00454C0E">
      <w:pPr>
        <w:spacing w:line="360" w:lineRule="auto"/>
      </w:pPr>
      <w:r w:rsidRPr="00CB5831">
        <w:t>These questions are significant because they move beyond average effects and focus on risk exposure, which is the relevant object for economic agents operating under uncertainty. Policymakers require accurate assessments of downside risks to design stabilization policies, while firms and investors need to understand the likelihood of extreme price movements to manage exposure and hedge effectively. By explicitly modeling the tails of the distribution, this research provides a more realistic and policy-relevant characterization of oil price dynamics.</w:t>
      </w:r>
    </w:p>
    <w:p w14:paraId="1038510B" w14:textId="4E3054DC" w:rsidR="00CB5831" w:rsidRDefault="00CB5831" w:rsidP="00454C0E">
      <w:pPr>
        <w:spacing w:line="360" w:lineRule="auto"/>
      </w:pPr>
      <w:r w:rsidRPr="00CB5831">
        <w:lastRenderedPageBreak/>
        <w:t>The contribution to the literature is twofold. First, it applies the Growth-at-Risk</w:t>
      </w:r>
      <w:r w:rsidR="00FC4926">
        <w:t xml:space="preserve"> </w:t>
      </w:r>
      <w:r w:rsidR="00FC4926" w:rsidRPr="00FC4926">
        <w:t>(</w:t>
      </w:r>
      <w:proofErr w:type="spellStart"/>
      <w:r w:rsidR="00FC4926" w:rsidRPr="00FC4926">
        <w:t>G</w:t>
      </w:r>
      <w:r w:rsidR="00FC4926">
        <w:t>aR</w:t>
      </w:r>
      <w:proofErr w:type="spellEnd"/>
      <w:r w:rsidR="00FC4926">
        <w:t>)</w:t>
      </w:r>
      <w:r w:rsidRPr="00CB5831">
        <w:t xml:space="preserve"> framework</w:t>
      </w:r>
      <w:r w:rsidR="00A53371">
        <w:t xml:space="preserve">, </w:t>
      </w:r>
      <w:r w:rsidRPr="00CB5831">
        <w:t>originally developed for macroeconomic growth</w:t>
      </w:r>
      <w:r w:rsidR="00A53371">
        <w:t xml:space="preserve">, </w:t>
      </w:r>
      <w:r w:rsidRPr="00CB5831">
        <w:t>to</w:t>
      </w:r>
      <w:r w:rsidR="00A53371">
        <w:t xml:space="preserve"> recent</w:t>
      </w:r>
      <w:r w:rsidRPr="00CB5831">
        <w:t xml:space="preserve"> energy market</w:t>
      </w:r>
      <w:r w:rsidR="00A53371">
        <w:t>s data</w:t>
      </w:r>
      <w:r w:rsidRPr="00CB5831">
        <w:t xml:space="preserve">, specifically crude oil prices. Second, it combines this framework with country-specific geopolitical risk indices, rather than aggregate global measures. This allows for a more granular identification of how localized geopolitical tensions translate into global energy price risks. </w:t>
      </w:r>
    </w:p>
    <w:p w14:paraId="3824FAED" w14:textId="0CEDDA97" w:rsidR="00E66EFB" w:rsidRPr="00CB5831" w:rsidRDefault="00E66EFB" w:rsidP="00454C0E">
      <w:pPr>
        <w:pStyle w:val="Heading1"/>
        <w:spacing w:line="360" w:lineRule="auto"/>
        <w:rPr>
          <w:b w:val="0"/>
          <w:bCs w:val="0"/>
        </w:rPr>
      </w:pPr>
      <w:r>
        <w:t xml:space="preserve">Data </w:t>
      </w:r>
    </w:p>
    <w:p w14:paraId="4FFFFC96" w14:textId="6A7CC639" w:rsidR="00CB5831" w:rsidRDefault="00CB5831" w:rsidP="00454C0E">
      <w:pPr>
        <w:spacing w:line="360" w:lineRule="auto"/>
      </w:pPr>
      <w:r w:rsidRPr="00CB5831">
        <w:t xml:space="preserve">The dependent variable is the European Brent crude oil spot price, sourced from the U.S. Energy Information Administration (EIA) via the FRED database. The sample </w:t>
      </w:r>
      <w:r w:rsidR="00FC4926">
        <w:t>consist</w:t>
      </w:r>
      <w:r w:rsidR="00B26A6B">
        <w:t>s</w:t>
      </w:r>
      <w:r w:rsidR="00FC4926">
        <w:t xml:space="preserve"> of daily observations, beginning</w:t>
      </w:r>
      <w:r w:rsidRPr="00CB5831">
        <w:t xml:space="preserve"> on May 20, 1987, and is measured in U.S. dollars per barrel. Brent is selected as the benchmark because it accounts for approximately two-thirds of global crude oil trade and reflects international market conditions more accurately than alternatives such as West Texas Intermediate (WTI), which is subject to domestic logistical constraints.</w:t>
      </w:r>
    </w:p>
    <w:p w14:paraId="08FA3060" w14:textId="70A9D45F" w:rsidR="00CB79AF" w:rsidRPr="00CB5831" w:rsidRDefault="00CB79AF" w:rsidP="00454C0E">
      <w:pPr>
        <w:spacing w:line="360" w:lineRule="auto"/>
      </w:pPr>
      <w:r w:rsidRPr="00CB79AF">
        <w:t>Given that oil prices are non-stationary in levels, we transform the data by taking the first difference of the natural logarithm, effectively working with the rate of change. The original data are available at a daily frequency, with approximately 2.74% missing observations due to weekends and holidays; these are removed. To match the frequency of the explanatory variables, the series is resampled to a monthly frequency by taking the last available observation in each month.</w:t>
      </w:r>
    </w:p>
    <w:p w14:paraId="707BC05F" w14:textId="6EA17D93" w:rsidR="001B1E1E" w:rsidRDefault="00CB5831" w:rsidP="00454C0E">
      <w:pPr>
        <w:spacing w:line="360" w:lineRule="auto"/>
      </w:pPr>
      <w:r w:rsidRPr="00CB5831">
        <w:t>The main regressor is the Geopolitical Risk (GPR) Index developed by Caldara</w:t>
      </w:r>
      <w:r w:rsidR="00FC4926">
        <w:t xml:space="preserve"> and </w:t>
      </w:r>
      <w:r w:rsidR="00B167A0">
        <w:t>I</w:t>
      </w:r>
      <w:r w:rsidRPr="00CB5831">
        <w:t>acoviello</w:t>
      </w:r>
      <w:r w:rsidR="00FC4926">
        <w:t xml:space="preserve"> (2022)</w:t>
      </w:r>
      <w:r w:rsidRPr="00CB5831">
        <w:t>. This index is constructed from a large corpus of approximately 25 million English-language newspaper articles from the United States, United Kingdom, and Canada. Using a dictionary-based approach, the index measures the share of articles that discuss adverse geopolitical events and associated risks. We use the monthly country-specific version of this index, which allows us to isolate the impact of geopolitical risk originating from different regions. The data are publicly available and do not impose any constraints on access or collection.</w:t>
      </w:r>
    </w:p>
    <w:p w14:paraId="6EAEA10A" w14:textId="39F76B19" w:rsidR="00993446" w:rsidRDefault="00993446" w:rsidP="001B1E1E"/>
    <w:p w14:paraId="20B42373" w14:textId="42CA3A04" w:rsidR="00CB5831" w:rsidRDefault="00CB5831" w:rsidP="00454C0E">
      <w:pPr>
        <w:spacing w:line="360" w:lineRule="auto"/>
      </w:pPr>
    </w:p>
    <w:p w14:paraId="688DCFF7" w14:textId="77777777" w:rsidR="001B1E1E" w:rsidRDefault="001B1E1E">
      <w:pPr>
        <w:rPr>
          <w:rFonts w:asciiTheme="majorHAnsi" w:eastAsiaTheme="majorEastAsia" w:hAnsiTheme="majorHAnsi" w:cstheme="majorBidi"/>
          <w:b/>
          <w:bCs/>
          <w:caps/>
          <w:spacing w:val="4"/>
          <w:sz w:val="28"/>
          <w:szCs w:val="28"/>
        </w:rPr>
      </w:pPr>
      <w:r>
        <w:br w:type="page"/>
      </w:r>
    </w:p>
    <w:p w14:paraId="1E4CA335" w14:textId="63D474B3" w:rsidR="00E66EFB" w:rsidRPr="00CB5831" w:rsidRDefault="00E66EFB" w:rsidP="00454C0E">
      <w:pPr>
        <w:pStyle w:val="Heading1"/>
        <w:spacing w:line="360" w:lineRule="auto"/>
        <w:rPr>
          <w:b w:val="0"/>
          <w:bCs w:val="0"/>
        </w:rPr>
      </w:pPr>
      <w:r>
        <w:lastRenderedPageBreak/>
        <w:t>Empirical Strategy</w:t>
      </w:r>
    </w:p>
    <w:p w14:paraId="56900016" w14:textId="4ED9D41C" w:rsidR="00CB5831" w:rsidRPr="00CB5831" w:rsidRDefault="00CB5831" w:rsidP="00454C0E">
      <w:pPr>
        <w:spacing w:line="360" w:lineRule="auto"/>
      </w:pPr>
      <w:r w:rsidRPr="00CB5831">
        <w:t xml:space="preserve">The empirical Growth-at-Risk </w:t>
      </w:r>
      <w:r w:rsidR="00993446">
        <w:t>(</w:t>
      </w:r>
      <w:proofErr w:type="spellStart"/>
      <w:r w:rsidR="00993446">
        <w:t>GaR</w:t>
      </w:r>
      <w:proofErr w:type="spellEnd"/>
      <w:r w:rsidR="00993446">
        <w:t xml:space="preserve">) </w:t>
      </w:r>
      <w:r w:rsidRPr="00CB5831">
        <w:t>framework consists of four main steps.</w:t>
      </w:r>
    </w:p>
    <w:p w14:paraId="1C826F41" w14:textId="15AB1F00" w:rsidR="006B2039" w:rsidRDefault="00CB5831" w:rsidP="00454C0E">
      <w:pPr>
        <w:spacing w:line="360" w:lineRule="auto"/>
      </w:pPr>
      <w:r w:rsidRPr="00CB5831">
        <w:t>First, we define the setup. The dependent variable is the future rate of change of Brent crude oil prices at a given horizon, while the independent variable is the contemporaneous country-specific GPR index.</w:t>
      </w:r>
      <w:r w:rsidR="006B2039">
        <w:t xml:space="preserve"> </w:t>
      </w:r>
      <w:r w:rsidR="00993446">
        <w:t>The specification may also include a set of control variables, such as lags of the dependent variables</w:t>
      </w:r>
      <w:r w:rsidR="00B26A6B">
        <w:t xml:space="preserve"> or</w:t>
      </w:r>
      <w:r w:rsidR="00993446">
        <w:t xml:space="preserve"> other standard predictors of oil dynamics. </w:t>
      </w:r>
    </w:p>
    <w:p w14:paraId="1C5EB0A4" w14:textId="2E346393" w:rsidR="00CB5831" w:rsidRPr="00CB5831" w:rsidRDefault="00CB5831" w:rsidP="00454C0E">
      <w:pPr>
        <w:spacing w:line="360" w:lineRule="auto"/>
      </w:pPr>
      <w:r w:rsidRPr="00CB5831">
        <w:t>Second, we estimate a series of linear quantile regressions</w:t>
      </w:r>
      <w:r w:rsidR="00EA6850">
        <w:t xml:space="preserve">, </w:t>
      </w:r>
      <w:r w:rsidR="00B26A6B">
        <w:t>as</w:t>
      </w:r>
      <w:r w:rsidR="00EA6850">
        <w:t xml:space="preserve"> proposed in Koenker</w:t>
      </w:r>
      <w:r w:rsidR="00DD3A61">
        <w:t xml:space="preserve"> and Basset</w:t>
      </w:r>
      <w:r w:rsidR="00B167A0">
        <w:t>t</w:t>
      </w:r>
      <w:r w:rsidR="00EA6850">
        <w:t xml:space="preserve"> (</w:t>
      </w:r>
      <w:r w:rsidR="00DD3A61">
        <w:t>1978</w:t>
      </w:r>
      <w:r w:rsidR="00EA6850">
        <w:t xml:space="preserve">), </w:t>
      </w:r>
      <w:r w:rsidRPr="00CB5831">
        <w:t>at selected quantiles (5%, 25%, 50%, 75%, and 95%)</w:t>
      </w:r>
      <w:r w:rsidR="00E66A8A">
        <w:t>.</w:t>
      </w:r>
      <w:r w:rsidR="00947B37">
        <w:t xml:space="preserve"> </w:t>
      </w:r>
      <w:r w:rsidRPr="00CB5831">
        <w:t xml:space="preserve">Unlike OLS, which minimizes squared errors, quantile regression minimizes an asymmetric loss function that assigns different weights to positive and negative residuals. </w:t>
      </w:r>
    </w:p>
    <w:p w14:paraId="77AB3C72" w14:textId="6592C5EB" w:rsidR="00CB5831" w:rsidRPr="00CB5831" w:rsidRDefault="00CB5831" w:rsidP="00454C0E">
      <w:pPr>
        <w:spacing w:line="360" w:lineRule="auto"/>
      </w:pPr>
      <w:r w:rsidRPr="00CB5831">
        <w:t xml:space="preserve">Third, we </w:t>
      </w:r>
      <w:r w:rsidR="00EB534E">
        <w:t xml:space="preserve">follow Azzalini and Capitanio (2003) and </w:t>
      </w:r>
      <w:r w:rsidRPr="00CB5831">
        <w:t>transform the discrete set of estimated quantiles into a continuous distribution by fitting a skewed t-distribution. This distribution is parameterized by location, scale, and skewness, allowing it to capture asymmetry and fat tails. The parameters are estimated by minimizing the distance between the empirical quantiles and the theoretical quantiles implied by the distributio</w:t>
      </w:r>
      <w:r w:rsidR="006B2039">
        <w:t>n, yielding</w:t>
      </w:r>
      <w:r w:rsidRPr="00CB5831">
        <w:t xml:space="preserve"> a smooth conditional probability density function.</w:t>
      </w:r>
    </w:p>
    <w:p w14:paraId="7F3ADC71" w14:textId="0175ECAE" w:rsidR="00CB5831" w:rsidRDefault="00CB5831" w:rsidP="00454C0E">
      <w:pPr>
        <w:spacing w:line="360" w:lineRule="auto"/>
      </w:pPr>
      <w:r w:rsidRPr="00CB5831">
        <w:t xml:space="preserve">Finally, we quantify tail risks using two complementary metrics. Relative entropy measures how much the conditional distribution deviates from the unconditional (historical) distribution, capturing the increase in probability mass assigned to extreme outcomes. Expected </w:t>
      </w:r>
      <w:r w:rsidR="00B26A6B">
        <w:t>S</w:t>
      </w:r>
      <w:r w:rsidRPr="00CB5831">
        <w:t xml:space="preserve">hortfall and </w:t>
      </w:r>
      <w:r w:rsidR="00B26A6B">
        <w:t>E</w:t>
      </w:r>
      <w:r w:rsidRPr="00CB5831">
        <w:t xml:space="preserve">xpected </w:t>
      </w:r>
      <w:r w:rsidR="00B26A6B">
        <w:t>L</w:t>
      </w:r>
      <w:r w:rsidRPr="00CB5831">
        <w:t>ongrise provide absolute measures of downside and upside risk, respectively, by averaging outcomes in the lower and upper tails beyond a specified probability threshold.</w:t>
      </w:r>
    </w:p>
    <w:p w14:paraId="13BE20A6" w14:textId="68CB1632" w:rsidR="00817713" w:rsidRDefault="008752E7" w:rsidP="00454C0E">
      <w:pPr>
        <w:spacing w:line="360" w:lineRule="auto"/>
      </w:pPr>
      <w:r w:rsidRPr="008752E7">
        <w:t>Traditional symmetric distributions assume that positive and negative shocks are equally likely and of similar magnitude, which leads to understated tail risks. Using asymmetric densities</w:t>
      </w:r>
      <w:r>
        <w:t xml:space="preserve"> </w:t>
      </w:r>
      <w:r w:rsidRPr="008752E7">
        <w:t>allows the model to capture how geopolitical shocks tilt the oil price distribution, enabling more accurate measurement of upside and downside risk.</w:t>
      </w:r>
      <w:r w:rsidR="00817713">
        <w:br w:type="page"/>
      </w:r>
    </w:p>
    <w:p w14:paraId="3C39CD9F" w14:textId="2ADCC6DC" w:rsidR="00AB4E66" w:rsidRDefault="00B26A6B" w:rsidP="00AB4E66">
      <w:pPr>
        <w:pStyle w:val="Heading1"/>
        <w:spacing w:line="360" w:lineRule="auto"/>
      </w:pPr>
      <w:r>
        <w:lastRenderedPageBreak/>
        <w:t>References</w:t>
      </w:r>
    </w:p>
    <w:p w14:paraId="35582858" w14:textId="7B232D71" w:rsidR="00AB4E66" w:rsidRPr="00AB4E66" w:rsidRDefault="00AB4E66" w:rsidP="001F7768">
      <w:pPr>
        <w:pStyle w:val="ListParagraph"/>
        <w:numPr>
          <w:ilvl w:val="0"/>
          <w:numId w:val="5"/>
        </w:numPr>
        <w:spacing w:line="360" w:lineRule="auto"/>
      </w:pPr>
      <w:r w:rsidRPr="00AB4E66">
        <w:t xml:space="preserve">Adrian, T., </w:t>
      </w:r>
      <w:proofErr w:type="spellStart"/>
      <w:r w:rsidRPr="00AB4E66">
        <w:t>Boyarchenko</w:t>
      </w:r>
      <w:proofErr w:type="spellEnd"/>
      <w:r w:rsidRPr="00AB4E66">
        <w:t xml:space="preserve">, N., &amp; Giannone, D. (2019). Vulnerable growth. </w:t>
      </w:r>
      <w:r w:rsidRPr="00AB4E66">
        <w:rPr>
          <w:i/>
          <w:iCs/>
        </w:rPr>
        <w:t>American Economic Review, 109</w:t>
      </w:r>
      <w:r w:rsidRPr="00AB4E66">
        <w:t>(4), 1263–1289.</w:t>
      </w:r>
    </w:p>
    <w:p w14:paraId="12108A9E" w14:textId="77777777" w:rsidR="00AB4E66" w:rsidRPr="00AB4E66" w:rsidRDefault="00AB4E66" w:rsidP="001F7768">
      <w:pPr>
        <w:pStyle w:val="ListParagraph"/>
        <w:numPr>
          <w:ilvl w:val="0"/>
          <w:numId w:val="5"/>
        </w:numPr>
        <w:spacing w:line="360" w:lineRule="auto"/>
      </w:pPr>
      <w:r w:rsidRPr="00AB4E66">
        <w:t xml:space="preserve">Azzalini, A., &amp; Capitanio, A. (2003). Distributions generated by perturbation of symmetry with emphasis on a multivariate skew </w:t>
      </w:r>
      <w:r w:rsidRPr="00AB4E66">
        <w:rPr>
          <w:i/>
          <w:iCs/>
        </w:rPr>
        <w:t>t</w:t>
      </w:r>
      <w:r w:rsidRPr="00AB4E66">
        <w:t xml:space="preserve"> distribution. </w:t>
      </w:r>
      <w:r w:rsidRPr="00AB4E66">
        <w:rPr>
          <w:i/>
          <w:iCs/>
        </w:rPr>
        <w:t>Journal of the Royal Statistical Society: Series B (Statistical Methodology), 65</w:t>
      </w:r>
      <w:r w:rsidRPr="00AB4E66">
        <w:t>(2), 367–389.</w:t>
      </w:r>
    </w:p>
    <w:p w14:paraId="1FA2904A" w14:textId="255224EC" w:rsidR="00AB4E66" w:rsidRPr="00AB4E66" w:rsidRDefault="00AB4E66" w:rsidP="001F7768">
      <w:pPr>
        <w:pStyle w:val="ListParagraph"/>
        <w:numPr>
          <w:ilvl w:val="0"/>
          <w:numId w:val="5"/>
        </w:numPr>
        <w:spacing w:line="360" w:lineRule="auto"/>
      </w:pPr>
      <w:r w:rsidRPr="00AB4E66">
        <w:t xml:space="preserve">Caldara, D., &amp; </w:t>
      </w:r>
      <w:r w:rsidR="00B167A0">
        <w:t>I</w:t>
      </w:r>
      <w:r w:rsidRPr="00AB4E66">
        <w:t xml:space="preserve">acoviello, M. (2022). Measuring geopolitical risk. </w:t>
      </w:r>
      <w:r w:rsidRPr="00AB4E66">
        <w:rPr>
          <w:i/>
          <w:iCs/>
        </w:rPr>
        <w:t>American Economic Review, 112</w:t>
      </w:r>
      <w:r w:rsidRPr="00AB4E66">
        <w:t xml:space="preserve">(4), 1194–1225. </w:t>
      </w:r>
    </w:p>
    <w:p w14:paraId="4313F25E" w14:textId="77777777" w:rsidR="00BD22FB" w:rsidRDefault="00AB4E66" w:rsidP="00BD22FB">
      <w:pPr>
        <w:pStyle w:val="ListParagraph"/>
        <w:numPr>
          <w:ilvl w:val="0"/>
          <w:numId w:val="5"/>
        </w:numPr>
        <w:spacing w:line="360" w:lineRule="auto"/>
      </w:pPr>
      <w:r w:rsidRPr="00AB4E66">
        <w:rPr>
          <w:lang w:val="es-ES"/>
        </w:rPr>
        <w:t xml:space="preserve">Jia, W., Lyu, Y., &amp; Zhu, Z. (2024). </w:t>
      </w:r>
      <w:r w:rsidRPr="00AB4E66">
        <w:t xml:space="preserve">The tail risk of crude oil price: Based on EPU and geopolitical risk perspective. </w:t>
      </w:r>
      <w:r w:rsidRPr="00AB4E66">
        <w:rPr>
          <w:i/>
          <w:iCs/>
        </w:rPr>
        <w:t>Resources Policy, 92</w:t>
      </w:r>
      <w:r w:rsidRPr="00AB4E66">
        <w:t xml:space="preserve">, Article 105012. </w:t>
      </w:r>
    </w:p>
    <w:p w14:paraId="1794DE46" w14:textId="236DB70B" w:rsidR="00AB4E66" w:rsidRPr="00AB4E66" w:rsidRDefault="00AB4E66" w:rsidP="00BD22FB">
      <w:pPr>
        <w:pStyle w:val="ListParagraph"/>
        <w:numPr>
          <w:ilvl w:val="0"/>
          <w:numId w:val="5"/>
        </w:numPr>
        <w:spacing w:line="360" w:lineRule="auto"/>
      </w:pPr>
      <w:r w:rsidRPr="00AB4E66">
        <w:t xml:space="preserve">Koenker, R. (2017). Quantile regression: 40 years on. </w:t>
      </w:r>
      <w:r w:rsidRPr="00BD22FB">
        <w:rPr>
          <w:i/>
          <w:iCs/>
        </w:rPr>
        <w:t>Annual Review of Economics, 9</w:t>
      </w:r>
      <w:r w:rsidRPr="00AB4E66">
        <w:t xml:space="preserve">, 155–176.  </w:t>
      </w:r>
    </w:p>
    <w:p w14:paraId="451FDEA0" w14:textId="726F7A40" w:rsidR="00AB4E66" w:rsidRPr="00AB4E66" w:rsidRDefault="00AB4E66" w:rsidP="001F7768">
      <w:pPr>
        <w:pStyle w:val="ListParagraph"/>
        <w:numPr>
          <w:ilvl w:val="0"/>
          <w:numId w:val="5"/>
        </w:numPr>
        <w:spacing w:line="360" w:lineRule="auto"/>
      </w:pPr>
      <w:r w:rsidRPr="00AB4E66">
        <w:t xml:space="preserve">Koenker, R., &amp; Bassett, G., Jr. (1978). Regression quantiles. </w:t>
      </w:r>
      <w:proofErr w:type="spellStart"/>
      <w:r w:rsidRPr="00AB4E66">
        <w:rPr>
          <w:i/>
          <w:iCs/>
        </w:rPr>
        <w:t>Econometrica</w:t>
      </w:r>
      <w:proofErr w:type="spellEnd"/>
      <w:r w:rsidRPr="00AB4E66">
        <w:rPr>
          <w:i/>
          <w:iCs/>
        </w:rPr>
        <w:t>, 46</w:t>
      </w:r>
      <w:r w:rsidRPr="00AB4E66">
        <w:t xml:space="preserve">(1), 33–50.  </w:t>
      </w:r>
    </w:p>
    <w:p w14:paraId="497001BA" w14:textId="2DDEEA55" w:rsidR="00817713" w:rsidRPr="00AB4E66" w:rsidRDefault="00817713" w:rsidP="00AB4E66">
      <w:pPr>
        <w:spacing w:line="276" w:lineRule="auto"/>
        <w:rPr>
          <w:b/>
          <w:bCs/>
        </w:rPr>
      </w:pPr>
    </w:p>
    <w:p w14:paraId="26CDAE15" w14:textId="228EAF10" w:rsidR="00EC08AE" w:rsidRPr="00332AC8" w:rsidRDefault="00EC08AE" w:rsidP="00454C0E">
      <w:pPr>
        <w:spacing w:line="276" w:lineRule="auto"/>
        <w:rPr>
          <w:lang w:val="en-GB"/>
        </w:rPr>
      </w:pPr>
    </w:p>
    <w:sectPr w:rsidR="00EC08AE" w:rsidRPr="00332AC8" w:rsidSect="00454C0E">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366"/>
    <w:multiLevelType w:val="multilevel"/>
    <w:tmpl w:val="8054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F7131"/>
    <w:multiLevelType w:val="multilevel"/>
    <w:tmpl w:val="5C8E4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C01C4"/>
    <w:multiLevelType w:val="hybridMultilevel"/>
    <w:tmpl w:val="C8806684"/>
    <w:lvl w:ilvl="0" w:tplc="D66450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0300D9"/>
    <w:multiLevelType w:val="hybridMultilevel"/>
    <w:tmpl w:val="F52EA458"/>
    <w:lvl w:ilvl="0" w:tplc="D66450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117B08"/>
    <w:multiLevelType w:val="multilevel"/>
    <w:tmpl w:val="58681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763295">
    <w:abstractNumId w:val="0"/>
  </w:num>
  <w:num w:numId="2" w16cid:durableId="1984504299">
    <w:abstractNumId w:val="1"/>
  </w:num>
  <w:num w:numId="3" w16cid:durableId="657541558">
    <w:abstractNumId w:val="4"/>
  </w:num>
  <w:num w:numId="4" w16cid:durableId="1718895242">
    <w:abstractNumId w:val="3"/>
  </w:num>
  <w:num w:numId="5" w16cid:durableId="691566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FB"/>
    <w:rsid w:val="001653F9"/>
    <w:rsid w:val="00171253"/>
    <w:rsid w:val="00183E57"/>
    <w:rsid w:val="001B1E1E"/>
    <w:rsid w:val="001C111B"/>
    <w:rsid w:val="001F3DA7"/>
    <w:rsid w:val="001F7768"/>
    <w:rsid w:val="002856EA"/>
    <w:rsid w:val="002F3C26"/>
    <w:rsid w:val="00332AC8"/>
    <w:rsid w:val="003E5424"/>
    <w:rsid w:val="00422300"/>
    <w:rsid w:val="00454C0E"/>
    <w:rsid w:val="005555AA"/>
    <w:rsid w:val="005F6CBA"/>
    <w:rsid w:val="006B2039"/>
    <w:rsid w:val="007577CA"/>
    <w:rsid w:val="007A5CFB"/>
    <w:rsid w:val="00817713"/>
    <w:rsid w:val="008752E7"/>
    <w:rsid w:val="008B0C0D"/>
    <w:rsid w:val="008E086A"/>
    <w:rsid w:val="00947B37"/>
    <w:rsid w:val="00993446"/>
    <w:rsid w:val="009F36CA"/>
    <w:rsid w:val="00A53371"/>
    <w:rsid w:val="00AB4E66"/>
    <w:rsid w:val="00B167A0"/>
    <w:rsid w:val="00B26A6B"/>
    <w:rsid w:val="00BB3D7C"/>
    <w:rsid w:val="00BD22FB"/>
    <w:rsid w:val="00C949DF"/>
    <w:rsid w:val="00CB5831"/>
    <w:rsid w:val="00CB79AF"/>
    <w:rsid w:val="00DD3A61"/>
    <w:rsid w:val="00DD4216"/>
    <w:rsid w:val="00E62D11"/>
    <w:rsid w:val="00E66A8A"/>
    <w:rsid w:val="00E66EFB"/>
    <w:rsid w:val="00EA6850"/>
    <w:rsid w:val="00EB534E"/>
    <w:rsid w:val="00EC08AE"/>
    <w:rsid w:val="00EF215E"/>
    <w:rsid w:val="00F56BB1"/>
    <w:rsid w:val="00F96D28"/>
    <w:rsid w:val="00FB228C"/>
    <w:rsid w:val="00FC4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267A"/>
  <w15:chartTrackingRefBased/>
  <w15:docId w15:val="{6D4145C6-11E0-4994-8E16-1E257E61F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C0E"/>
  </w:style>
  <w:style w:type="paragraph" w:styleId="Heading1">
    <w:name w:val="heading 1"/>
    <w:basedOn w:val="Normal"/>
    <w:next w:val="Normal"/>
    <w:link w:val="Heading1Char"/>
    <w:uiPriority w:val="9"/>
    <w:qFormat/>
    <w:rsid w:val="00454C0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454C0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454C0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454C0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454C0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454C0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454C0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454C0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454C0E"/>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C0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454C0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454C0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454C0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454C0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454C0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454C0E"/>
    <w:rPr>
      <w:i/>
      <w:iCs/>
    </w:rPr>
  </w:style>
  <w:style w:type="character" w:customStyle="1" w:styleId="Heading8Char">
    <w:name w:val="Heading 8 Char"/>
    <w:basedOn w:val="DefaultParagraphFont"/>
    <w:link w:val="Heading8"/>
    <w:uiPriority w:val="9"/>
    <w:semiHidden/>
    <w:rsid w:val="00454C0E"/>
    <w:rPr>
      <w:b/>
      <w:bCs/>
    </w:rPr>
  </w:style>
  <w:style w:type="character" w:customStyle="1" w:styleId="Heading9Char">
    <w:name w:val="Heading 9 Char"/>
    <w:basedOn w:val="DefaultParagraphFont"/>
    <w:link w:val="Heading9"/>
    <w:uiPriority w:val="9"/>
    <w:semiHidden/>
    <w:rsid w:val="00454C0E"/>
    <w:rPr>
      <w:i/>
      <w:iCs/>
    </w:rPr>
  </w:style>
  <w:style w:type="paragraph" w:styleId="Title">
    <w:name w:val="Title"/>
    <w:basedOn w:val="Normal"/>
    <w:next w:val="Normal"/>
    <w:link w:val="TitleChar"/>
    <w:uiPriority w:val="10"/>
    <w:qFormat/>
    <w:rsid w:val="00454C0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454C0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454C0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54C0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54C0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454C0E"/>
    <w:rPr>
      <w:rFonts w:asciiTheme="majorHAnsi" w:eastAsiaTheme="majorEastAsia" w:hAnsiTheme="majorHAnsi" w:cstheme="majorBidi"/>
      <w:i/>
      <w:iCs/>
      <w:sz w:val="24"/>
      <w:szCs w:val="24"/>
    </w:rPr>
  </w:style>
  <w:style w:type="paragraph" w:styleId="ListParagraph">
    <w:name w:val="List Paragraph"/>
    <w:basedOn w:val="Normal"/>
    <w:uiPriority w:val="34"/>
    <w:qFormat/>
    <w:rsid w:val="007A5CFB"/>
    <w:pPr>
      <w:ind w:left="720"/>
      <w:contextualSpacing/>
    </w:pPr>
  </w:style>
  <w:style w:type="character" w:styleId="IntenseEmphasis">
    <w:name w:val="Intense Emphasis"/>
    <w:basedOn w:val="DefaultParagraphFont"/>
    <w:uiPriority w:val="21"/>
    <w:qFormat/>
    <w:rsid w:val="00454C0E"/>
    <w:rPr>
      <w:b/>
      <w:bCs/>
      <w:i/>
      <w:iCs/>
      <w:color w:val="auto"/>
    </w:rPr>
  </w:style>
  <w:style w:type="paragraph" w:styleId="IntenseQuote">
    <w:name w:val="Intense Quote"/>
    <w:basedOn w:val="Normal"/>
    <w:next w:val="Normal"/>
    <w:link w:val="IntenseQuoteChar"/>
    <w:uiPriority w:val="30"/>
    <w:qFormat/>
    <w:rsid w:val="00454C0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454C0E"/>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454C0E"/>
    <w:rPr>
      <w:b/>
      <w:bCs/>
      <w:smallCaps/>
      <w:color w:val="auto"/>
      <w:u w:val="single"/>
    </w:rPr>
  </w:style>
  <w:style w:type="character" w:styleId="CommentReference">
    <w:name w:val="annotation reference"/>
    <w:basedOn w:val="DefaultParagraphFont"/>
    <w:uiPriority w:val="99"/>
    <w:semiHidden/>
    <w:unhideWhenUsed/>
    <w:rsid w:val="00A53371"/>
    <w:rPr>
      <w:sz w:val="16"/>
      <w:szCs w:val="16"/>
    </w:rPr>
  </w:style>
  <w:style w:type="paragraph" w:styleId="CommentText">
    <w:name w:val="annotation text"/>
    <w:basedOn w:val="Normal"/>
    <w:link w:val="CommentTextChar"/>
    <w:uiPriority w:val="99"/>
    <w:unhideWhenUsed/>
    <w:rsid w:val="00A53371"/>
    <w:pPr>
      <w:spacing w:line="240" w:lineRule="auto"/>
    </w:pPr>
    <w:rPr>
      <w:sz w:val="20"/>
      <w:szCs w:val="20"/>
    </w:rPr>
  </w:style>
  <w:style w:type="character" w:customStyle="1" w:styleId="CommentTextChar">
    <w:name w:val="Comment Text Char"/>
    <w:basedOn w:val="DefaultParagraphFont"/>
    <w:link w:val="CommentText"/>
    <w:uiPriority w:val="99"/>
    <w:rsid w:val="00A53371"/>
    <w:rPr>
      <w:sz w:val="20"/>
      <w:szCs w:val="20"/>
    </w:rPr>
  </w:style>
  <w:style w:type="paragraph" w:styleId="CommentSubject">
    <w:name w:val="annotation subject"/>
    <w:basedOn w:val="CommentText"/>
    <w:next w:val="CommentText"/>
    <w:link w:val="CommentSubjectChar"/>
    <w:uiPriority w:val="99"/>
    <w:semiHidden/>
    <w:unhideWhenUsed/>
    <w:rsid w:val="00A53371"/>
    <w:rPr>
      <w:b/>
      <w:bCs/>
    </w:rPr>
  </w:style>
  <w:style w:type="character" w:customStyle="1" w:styleId="CommentSubjectChar">
    <w:name w:val="Comment Subject Char"/>
    <w:basedOn w:val="CommentTextChar"/>
    <w:link w:val="CommentSubject"/>
    <w:uiPriority w:val="99"/>
    <w:semiHidden/>
    <w:rsid w:val="00A53371"/>
    <w:rPr>
      <w:b/>
      <w:bCs/>
      <w:sz w:val="20"/>
      <w:szCs w:val="20"/>
    </w:rPr>
  </w:style>
  <w:style w:type="paragraph" w:styleId="NoSpacing">
    <w:name w:val="No Spacing"/>
    <w:link w:val="NoSpacingChar"/>
    <w:uiPriority w:val="1"/>
    <w:qFormat/>
    <w:rsid w:val="00454C0E"/>
    <w:pPr>
      <w:spacing w:after="0" w:line="240" w:lineRule="auto"/>
    </w:pPr>
  </w:style>
  <w:style w:type="character" w:customStyle="1" w:styleId="NoSpacingChar">
    <w:name w:val="No Spacing Char"/>
    <w:basedOn w:val="DefaultParagraphFont"/>
    <w:link w:val="NoSpacing"/>
    <w:uiPriority w:val="1"/>
    <w:rsid w:val="00454C0E"/>
  </w:style>
  <w:style w:type="paragraph" w:styleId="Caption">
    <w:name w:val="caption"/>
    <w:basedOn w:val="Normal"/>
    <w:next w:val="Normal"/>
    <w:uiPriority w:val="35"/>
    <w:semiHidden/>
    <w:unhideWhenUsed/>
    <w:qFormat/>
    <w:rsid w:val="00454C0E"/>
    <w:rPr>
      <w:b/>
      <w:bCs/>
      <w:sz w:val="18"/>
      <w:szCs w:val="18"/>
    </w:rPr>
  </w:style>
  <w:style w:type="character" w:styleId="Strong">
    <w:name w:val="Strong"/>
    <w:basedOn w:val="DefaultParagraphFont"/>
    <w:uiPriority w:val="22"/>
    <w:qFormat/>
    <w:rsid w:val="00454C0E"/>
    <w:rPr>
      <w:b/>
      <w:bCs/>
      <w:color w:val="auto"/>
    </w:rPr>
  </w:style>
  <w:style w:type="character" w:styleId="Emphasis">
    <w:name w:val="Emphasis"/>
    <w:basedOn w:val="DefaultParagraphFont"/>
    <w:uiPriority w:val="20"/>
    <w:qFormat/>
    <w:rsid w:val="00454C0E"/>
    <w:rPr>
      <w:i/>
      <w:iCs/>
      <w:color w:val="auto"/>
    </w:rPr>
  </w:style>
  <w:style w:type="character" w:styleId="SubtleEmphasis">
    <w:name w:val="Subtle Emphasis"/>
    <w:basedOn w:val="DefaultParagraphFont"/>
    <w:uiPriority w:val="19"/>
    <w:qFormat/>
    <w:rsid w:val="00454C0E"/>
    <w:rPr>
      <w:i/>
      <w:iCs/>
      <w:color w:val="auto"/>
    </w:rPr>
  </w:style>
  <w:style w:type="character" w:styleId="SubtleReference">
    <w:name w:val="Subtle Reference"/>
    <w:basedOn w:val="DefaultParagraphFont"/>
    <w:uiPriority w:val="31"/>
    <w:qFormat/>
    <w:rsid w:val="00454C0E"/>
    <w:rPr>
      <w:smallCaps/>
      <w:color w:val="auto"/>
      <w:u w:val="single" w:color="7F7F7F" w:themeColor="text1" w:themeTint="80"/>
    </w:rPr>
  </w:style>
  <w:style w:type="character" w:styleId="BookTitle">
    <w:name w:val="Book Title"/>
    <w:basedOn w:val="DefaultParagraphFont"/>
    <w:uiPriority w:val="33"/>
    <w:qFormat/>
    <w:rsid w:val="00454C0E"/>
    <w:rPr>
      <w:b/>
      <w:bCs/>
      <w:smallCaps/>
      <w:color w:val="auto"/>
    </w:rPr>
  </w:style>
  <w:style w:type="paragraph" w:styleId="TOCHeading">
    <w:name w:val="TOC Heading"/>
    <w:basedOn w:val="Heading1"/>
    <w:next w:val="Normal"/>
    <w:uiPriority w:val="39"/>
    <w:semiHidden/>
    <w:unhideWhenUsed/>
    <w:qFormat/>
    <w:rsid w:val="00454C0E"/>
    <w:pPr>
      <w:outlineLvl w:val="9"/>
    </w:pPr>
  </w:style>
  <w:style w:type="character" w:styleId="Hyperlink">
    <w:name w:val="Hyperlink"/>
    <w:basedOn w:val="DefaultParagraphFont"/>
    <w:uiPriority w:val="99"/>
    <w:unhideWhenUsed/>
    <w:rsid w:val="00AB4E66"/>
    <w:rPr>
      <w:color w:val="467886" w:themeColor="hyperlink"/>
      <w:u w:val="single"/>
    </w:rPr>
  </w:style>
  <w:style w:type="character" w:styleId="UnresolvedMention">
    <w:name w:val="Unresolved Mention"/>
    <w:basedOn w:val="DefaultParagraphFont"/>
    <w:uiPriority w:val="99"/>
    <w:semiHidden/>
    <w:unhideWhenUsed/>
    <w:rsid w:val="00AB4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00BBB7-316E-4A41-B2A4-942042D0E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Beyond the Mean: Quantifying Tail Risks in Brent Crude Oil Prices under Geopolitical Uncertainty</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Mean: Quantifying Tail Risks in Brent Crude Oil Prices under Geopolitical Uncertainty</dc:title>
  <dc:subject>Directed by: Diego Eduardo Fresoli and Pilar Poncela Blanco</dc:subject>
  <dc:creator>Author: Jose Alejandro Rodriguez Garrido</dc:creator>
  <cp:keywords/>
  <dc:description/>
  <cp:lastModifiedBy>Jose Alejandro Rodriguez Garrido</cp:lastModifiedBy>
  <cp:revision>15</cp:revision>
  <cp:lastPrinted>2026-04-06T10:04:00Z</cp:lastPrinted>
  <dcterms:created xsi:type="dcterms:W3CDTF">2026-03-31T19:03:00Z</dcterms:created>
  <dcterms:modified xsi:type="dcterms:W3CDTF">2026-04-19T13:44:00Z</dcterms:modified>
</cp:coreProperties>
</file>