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280"/>
      </w:pPr>
      <w:r>
        <w:rPr>
          <w:rFonts w:ascii="Calibri" w:hAnsi="Calibri"/>
          <w:b/>
          <w:i w:val="0"/>
          <w:color w:val="1F4D78"/>
          <w:sz w:val="24"/>
        </w:rPr>
        <w:t>ERP TROJES DE MARAÑÓN</w:t>
      </w:r>
    </w:p>
    <w:p>
      <w:pPr>
        <w:spacing w:after="120"/>
      </w:pPr>
      <w:r>
        <w:rPr>
          <w:rFonts w:ascii="Calibri" w:hAnsi="Calibri"/>
          <w:b/>
          <w:i w:val="0"/>
          <w:color w:val="0B2545"/>
          <w:sz w:val="50"/>
        </w:rPr>
        <w:t>Acta constitutiva del proyecto</w:t>
      </w:r>
    </w:p>
    <w:p>
      <w:pPr>
        <w:spacing w:after="560"/>
      </w:pPr>
      <w:r>
        <w:rPr>
          <w:rFonts w:ascii="Calibri" w:hAnsi="Calibri"/>
          <w:b w:val="0"/>
          <w:i w:val="0"/>
          <w:color w:val="666666"/>
          <w:sz w:val="28"/>
        </w:rPr>
        <w:t>Base formal para validación y aprobación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W w:w="2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Código</w:t>
            </w:r>
          </w:p>
        </w:tc>
        <w:tc>
          <w:tcPr>
            <w:tcW w:type="dxa" w:w="7160"/>
            <w:tcW w:w="71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TDM-ERP</w:t>
            </w:r>
          </w:p>
        </w:tc>
      </w:tr>
      <w:tr>
        <w:trPr>
          <w:cantSplit/>
        </w:trPr>
        <w:tc>
          <w:tcPr>
            <w:tcW w:type="dxa" w:w="2200"/>
            <w:tcW w:w="2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Versión</w:t>
            </w:r>
          </w:p>
        </w:tc>
        <w:tc>
          <w:tcPr>
            <w:tcW w:type="dxa" w:w="7160"/>
            <w:tcW w:w="71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1.0 — Base para validación</w:t>
            </w:r>
          </w:p>
        </w:tc>
      </w:tr>
      <w:tr>
        <w:trPr>
          <w:cantSplit/>
        </w:trPr>
        <w:tc>
          <w:tcPr>
            <w:tcW w:type="dxa" w:w="2200"/>
            <w:tcW w:w="2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Estado</w:t>
            </w:r>
          </w:p>
        </w:tc>
        <w:tc>
          <w:tcPr>
            <w:tcW w:type="dxa" w:w="7160"/>
            <w:tcW w:w="71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Borrador controlado</w:t>
            </w:r>
          </w:p>
        </w:tc>
      </w:tr>
      <w:tr>
        <w:trPr>
          <w:cantSplit/>
        </w:trPr>
        <w:tc>
          <w:tcPr>
            <w:tcW w:type="dxa" w:w="2200"/>
            <w:tcW w:w="2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Fecha</w:t>
            </w:r>
          </w:p>
        </w:tc>
        <w:tc>
          <w:tcPr>
            <w:tcW w:type="dxa" w:w="7160"/>
            <w:tcW w:w="71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09/07/2026</w:t>
            </w:r>
          </w:p>
        </w:tc>
      </w:tr>
      <w:tr>
        <w:trPr>
          <w:cantSplit/>
        </w:trPr>
        <w:tc>
          <w:tcPr>
            <w:tcW w:type="dxa" w:w="2200"/>
            <w:tcW w:w="2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Aprobación</w:t>
            </w:r>
          </w:p>
        </w:tc>
        <w:tc>
          <w:tcPr>
            <w:tcW w:type="dxa" w:w="7160"/>
            <w:tcW w:w="71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Pendiente de los interesados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Calibri" w:hAnsi="Calibri"/>
          <w:b w:val="0"/>
          <w:i w:val="0"/>
          <w:color w:val="000000"/>
          <w:sz w:val="26"/>
        </w:rPr>
        <w:t>ERP Trojes de Marañón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808"/>
        <w:gridCol w:w="6552"/>
      </w:tblGrid>
      <w:tr>
        <w:trPr>
          <w:cantSplit/>
          <w:tblHeader w:val="true"/>
        </w:trPr>
        <w:tc>
          <w:tcPr>
            <w:tcW w:type="dxa" w:w="2808"/>
            <w:tcW w:w="280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Campo</w:t>
            </w:r>
          </w:p>
        </w:tc>
        <w:tc>
          <w:tcPr>
            <w:tcW w:type="dxa" w:w="6552"/>
            <w:tcW w:w="655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Valor</w:t>
            </w:r>
          </w:p>
        </w:tc>
      </w:tr>
      <w:tr>
        <w:trPr>
          <w:cantSplit/>
        </w:trPr>
        <w:tc>
          <w:tcPr>
            <w:tcW w:type="dxa" w:w="2808"/>
            <w:tcW w:w="280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Código</w:t>
            </w:r>
          </w:p>
        </w:tc>
        <w:tc>
          <w:tcPr>
            <w:tcW w:type="dxa" w:w="6552"/>
            <w:tcW w:w="655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TDM-ERP</w:t>
            </w:r>
          </w:p>
        </w:tc>
      </w:tr>
      <w:tr>
        <w:trPr>
          <w:cantSplit/>
        </w:trPr>
        <w:tc>
          <w:tcPr>
            <w:tcW w:type="dxa" w:w="2808"/>
            <w:tcW w:w="280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Versión</w:t>
            </w:r>
          </w:p>
        </w:tc>
        <w:tc>
          <w:tcPr>
            <w:tcW w:type="dxa" w:w="6552"/>
            <w:tcW w:w="655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1.0 — Base para validación</w:t>
            </w:r>
          </w:p>
        </w:tc>
      </w:tr>
      <w:tr>
        <w:trPr>
          <w:cantSplit/>
        </w:trPr>
        <w:tc>
          <w:tcPr>
            <w:tcW w:type="dxa" w:w="2808"/>
            <w:tcW w:w="280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Estado</w:t>
            </w:r>
          </w:p>
        </w:tc>
        <w:tc>
          <w:tcPr>
            <w:tcW w:type="dxa" w:w="6552"/>
            <w:tcW w:w="655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Borrador controlado</w:t>
            </w:r>
          </w:p>
        </w:tc>
      </w:tr>
      <w:tr>
        <w:trPr>
          <w:cantSplit/>
        </w:trPr>
        <w:tc>
          <w:tcPr>
            <w:tcW w:type="dxa" w:w="2808"/>
            <w:tcW w:w="280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Fecha de consolidación</w:t>
            </w:r>
          </w:p>
        </w:tc>
        <w:tc>
          <w:tcPr>
            <w:tcW w:type="dxa" w:w="6552"/>
            <w:tcW w:w="655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9 de julio de 2026</w:t>
            </w:r>
          </w:p>
        </w:tc>
      </w:tr>
      <w:tr>
        <w:trPr>
          <w:cantSplit/>
        </w:trPr>
        <w:tc>
          <w:tcPr>
            <w:tcW w:type="dxa" w:w="2808"/>
            <w:tcW w:w="280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Patrocinador</w:t>
            </w:r>
          </w:p>
        </w:tc>
        <w:tc>
          <w:tcPr>
            <w:tcW w:type="dxa" w:w="6552"/>
            <w:tcW w:w="655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Pendiente de designación formal</w:t>
            </w:r>
          </w:p>
        </w:tc>
      </w:tr>
      <w:tr>
        <w:trPr>
          <w:cantSplit/>
        </w:trPr>
        <w:tc>
          <w:tcPr>
            <w:tcW w:type="dxa" w:w="2808"/>
            <w:tcW w:w="280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Propietario del producto</w:t>
            </w:r>
          </w:p>
        </w:tc>
        <w:tc>
          <w:tcPr>
            <w:tcW w:type="dxa" w:w="6552"/>
            <w:tcW w:w="655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Pendiente de validación</w:t>
            </w:r>
          </w:p>
        </w:tc>
      </w:tr>
      <w:tr>
        <w:trPr>
          <w:cantSplit/>
        </w:trPr>
        <w:tc>
          <w:tcPr>
            <w:tcW w:type="dxa" w:w="2808"/>
            <w:tcW w:w="280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Línea base verificada</w:t>
            </w:r>
          </w:p>
        </w:tc>
        <w:tc>
          <w:tcPr>
            <w:tcW w:type="dxa" w:w="6552"/>
            <w:tcW w:w="655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Seguridad, administración, catálogos, proyectos/plataformas e inventario documental</w:t>
            </w:r>
          </w:p>
        </w:tc>
      </w:tr>
    </w:tbl>
    <w:p>
      <w:pPr>
        <w:spacing w:before="120" w:after="160"/>
        <w:ind w:left="360"/>
      </w:pPr>
      <w:r>
        <w:rPr>
          <w:rFonts w:ascii="Calibri" w:hAnsi="Calibri"/>
          <w:b w:val="0"/>
          <w:i/>
          <w:color w:val="000000"/>
          <w:sz w:val="22"/>
        </w:rPr>
        <w:t>Las fechas, presupuesto, identidad legal, responsables y firmas requieren información de los interesados y no se infieren del código.</w:t>
      </w:r>
    </w:p>
    <w:p>
      <w:pPr>
        <w:pStyle w:val="Heading2"/>
      </w:pPr>
      <w:r>
        <w:rPr>
          <w:rFonts w:ascii="Calibri" w:hAnsi="Calibri"/>
          <w:b w:val="0"/>
          <w:i w:val="0"/>
          <w:color w:val="000000"/>
          <w:sz w:val="26"/>
        </w:rPr>
        <w:t>1. Justificación</w:t>
      </w:r>
    </w:p>
    <w:p>
      <w:r>
        <w:rPr>
          <w:rFonts w:ascii="Calibri" w:hAnsi="Calibri"/>
          <w:b w:val="0"/>
          <w:i w:val="0"/>
          <w:color w:val="000000"/>
          <w:sz w:val="22"/>
        </w:rPr>
        <w:t>La operación de construcción necesita relacionar materiales, almacenes, proyectos y plataformas con documentos de entrada, salida, transferencia y ajuste, manteniendo control multiempresa, costos y trazabilidad. La solución establece una base para ampliar posteriormente maquinaria, diésel, mantenimiento, mano de obra, compras y productividad.</w:t>
      </w:r>
    </w:p>
    <w:p>
      <w:pPr>
        <w:pStyle w:val="Heading2"/>
      </w:pPr>
      <w:r>
        <w:rPr>
          <w:rFonts w:ascii="Calibri" w:hAnsi="Calibri"/>
          <w:b w:val="0"/>
          <w:i w:val="0"/>
          <w:color w:val="000000"/>
          <w:sz w:val="26"/>
        </w:rPr>
        <w:t>2. Objetivo general</w:t>
      </w:r>
    </w:p>
    <w:p>
      <w:r>
        <w:rPr>
          <w:rFonts w:ascii="Calibri" w:hAnsi="Calibri"/>
          <w:b w:val="0"/>
          <w:i w:val="0"/>
          <w:color w:val="000000"/>
          <w:sz w:val="22"/>
        </w:rPr>
        <w:t>Implementar un ERP web multiempresa que permita controlar proyectos, plataformas y materiales desde su planeación y recepción hasta su consumo real, conservando inventario consistente, alcance por usuario y evidencia auditable.</w:t>
      </w:r>
    </w:p>
    <w:p>
      <w:pPr>
        <w:pStyle w:val="Heading2"/>
      </w:pPr>
      <w:r>
        <w:rPr>
          <w:rFonts w:ascii="Calibri" w:hAnsi="Calibri"/>
          <w:b w:val="0"/>
          <w:i w:val="0"/>
          <w:color w:val="000000"/>
          <w:sz w:val="26"/>
        </w:rPr>
        <w:t>3. Objetivos específicos</w:t>
      </w:r>
    </w:p>
    <w:p>
      <w:pPr>
        <w:pStyle w:val="ListNumber"/>
      </w:pPr>
      <w:r>
        <w:rPr>
          <w:rFonts w:ascii="Calibri" w:hAnsi="Calibri"/>
          <w:b w:val="0"/>
          <w:i w:val="0"/>
          <w:color w:val="000000"/>
          <w:sz w:val="22"/>
        </w:rPr>
        <w:t>Administrar empresas, sucursales, usuarios, roles y permisos.</w:t>
      </w:r>
    </w:p>
    <w:p>
      <w:pPr>
        <w:pStyle w:val="ListNumber"/>
      </w:pPr>
      <w:r>
        <w:rPr>
          <w:rFonts w:ascii="Calibri" w:hAnsi="Calibri"/>
          <w:b w:val="0"/>
          <w:i w:val="0"/>
          <w:color w:val="000000"/>
          <w:sz w:val="22"/>
        </w:rPr>
        <w:t>Normalizar clientes, proveedores, unidades, familias, materiales y almacenes.</w:t>
      </w:r>
    </w:p>
    <w:p>
      <w:pPr>
        <w:pStyle w:val="ListNumber"/>
      </w:pPr>
      <w:r>
        <w:rPr>
          <w:rFonts w:ascii="Calibri" w:hAnsi="Calibri"/>
          <w:b w:val="0"/>
          <w:i w:val="0"/>
          <w:color w:val="000000"/>
          <w:sz w:val="22"/>
        </w:rPr>
        <w:t>Gestionar proyectos, plataformas, actividades y consumos estimados.</w:t>
      </w:r>
    </w:p>
    <w:p>
      <w:pPr>
        <w:pStyle w:val="ListNumber"/>
      </w:pPr>
      <w:r>
        <w:rPr>
          <w:rFonts w:ascii="Calibri" w:hAnsi="Calibri"/>
          <w:b w:val="0"/>
          <w:i w:val="0"/>
          <w:color w:val="000000"/>
          <w:sz w:val="22"/>
        </w:rPr>
        <w:t>Publicar entradas, salidas, transferencias y ajustes con movimientos inmutables.</w:t>
      </w:r>
    </w:p>
    <w:p>
      <w:pPr>
        <w:pStyle w:val="ListNumber"/>
      </w:pPr>
      <w:r>
        <w:rPr>
          <w:rFonts w:ascii="Calibri" w:hAnsi="Calibri"/>
          <w:b w:val="0"/>
          <w:i w:val="0"/>
          <w:color w:val="000000"/>
          <w:sz w:val="22"/>
        </w:rPr>
        <w:t>Comparar consumo estimado contra real por plataforma.</w:t>
      </w:r>
    </w:p>
    <w:p>
      <w:pPr>
        <w:pStyle w:val="ListNumber"/>
      </w:pPr>
      <w:r>
        <w:rPr>
          <w:rFonts w:ascii="Calibri" w:hAnsi="Calibri"/>
          <w:b w:val="0"/>
          <w:i w:val="0"/>
          <w:color w:val="000000"/>
          <w:sz w:val="22"/>
        </w:rPr>
        <w:t>Preparar el modelo para costos, maquinaria y operación de obra sin romper el núcleo.</w:t>
      </w:r>
    </w:p>
    <w:p>
      <w:pPr>
        <w:pStyle w:val="Heading2"/>
      </w:pPr>
      <w:r>
        <w:rPr>
          <w:rFonts w:ascii="Calibri" w:hAnsi="Calibri"/>
          <w:b w:val="0"/>
          <w:i w:val="0"/>
          <w:color w:val="000000"/>
          <w:sz w:val="26"/>
        </w:rPr>
        <w:t>4. Alcance autorizado</w:t>
      </w:r>
    </w:p>
    <w:p>
      <w:r>
        <w:rPr>
          <w:rFonts w:ascii="Calibri" w:hAnsi="Calibri"/>
          <w:b w:val="0"/>
          <w:i w:val="0"/>
          <w:color w:val="000000"/>
          <w:sz w:val="22"/>
        </w:rPr>
        <w:t xml:space="preserve">La línea base comprende los módulos verificados en el repositorio. Los módulos descritos solamente en el roadmap son visión planificada y requieren autorización por fase. </w:t>
      </w:r>
      <w:r>
        <w:rPr>
          <w:rFonts w:ascii="Calibri" w:hAnsi="Calibri"/>
          <w:b w:val="0"/>
          <w:i w:val="0"/>
          <w:color w:val="0B2545"/>
          <w:sz w:val="20"/>
        </w:rPr>
        <w:t>alcance-producto.md</w:t>
      </w:r>
      <w:r>
        <w:rPr>
          <w:rFonts w:ascii="Calibri" w:hAnsi="Calibri"/>
          <w:b w:val="0"/>
          <w:i w:val="0"/>
          <w:color w:val="000000"/>
          <w:sz w:val="22"/>
        </w:rPr>
        <w:t xml:space="preserve"> define esta separación.</w:t>
      </w:r>
    </w:p>
    <w:p>
      <w:pPr>
        <w:pStyle w:val="Heading2"/>
      </w:pPr>
      <w:r>
        <w:rPr>
          <w:rFonts w:ascii="Calibri" w:hAnsi="Calibri"/>
          <w:b w:val="0"/>
          <w:i w:val="0"/>
          <w:color w:val="000000"/>
          <w:sz w:val="26"/>
        </w:rPr>
        <w:t>5. Entregables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API .NET 9 y SPA React desplegables.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Base PostgreSQL/Supabase con migraciones y auditoría.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Seguridad y administración multiempresa.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Catálogos, proyectos, plataformas e inventario documental.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Documentación de arquitectura, datos, casos de uso y APIs.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Requerimientos, reglas, trazabilidad y pruebas de aceptación.</w:t>
      </w:r>
    </w:p>
    <w:p>
      <w:pPr>
        <w:pStyle w:val="Heading2"/>
      </w:pPr>
      <w:r>
        <w:rPr>
          <w:rFonts w:ascii="Calibri" w:hAnsi="Calibri"/>
          <w:b w:val="0"/>
          <w:i w:val="0"/>
          <w:color w:val="000000"/>
          <w:sz w:val="26"/>
        </w:rPr>
        <w:t>6. Interesados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808"/>
        <w:gridCol w:w="6552"/>
      </w:tblGrid>
      <w:tr>
        <w:trPr>
          <w:cantSplit/>
          <w:tblHeader w:val="true"/>
        </w:trPr>
        <w:tc>
          <w:tcPr>
            <w:tcW w:type="dxa" w:w="2808"/>
            <w:tcW w:w="280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Actor</w:t>
            </w:r>
          </w:p>
        </w:tc>
        <w:tc>
          <w:tcPr>
            <w:tcW w:type="dxa" w:w="6552"/>
            <w:tcW w:w="655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Responsabilidad</w:t>
            </w:r>
          </w:p>
        </w:tc>
      </w:tr>
      <w:tr>
        <w:trPr>
          <w:cantSplit/>
        </w:trPr>
        <w:tc>
          <w:tcPr>
            <w:tcW w:type="dxa" w:w="2808"/>
            <w:tcW w:w="280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Patrocinador</w:t>
            </w:r>
          </w:p>
        </w:tc>
        <w:tc>
          <w:tcPr>
            <w:tcW w:type="dxa" w:w="6552"/>
            <w:tcW w:w="655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Autorizar inversión, prioridades y aceptación global</w:t>
            </w:r>
          </w:p>
        </w:tc>
      </w:tr>
      <w:tr>
        <w:trPr>
          <w:cantSplit/>
        </w:trPr>
        <w:tc>
          <w:tcPr>
            <w:tcW w:type="dxa" w:w="2808"/>
            <w:tcW w:w="280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Propietario del producto</w:t>
            </w:r>
          </w:p>
        </w:tc>
        <w:tc>
          <w:tcPr>
            <w:tcW w:type="dxa" w:w="6552"/>
            <w:tcW w:w="655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Resolver reglas y aprobar alcance por MVP</w:t>
            </w:r>
          </w:p>
        </w:tc>
      </w:tr>
      <w:tr>
        <w:trPr>
          <w:cantSplit/>
        </w:trPr>
        <w:tc>
          <w:tcPr>
            <w:tcW w:type="dxa" w:w="2808"/>
            <w:tcW w:w="280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Administrador</w:t>
            </w:r>
          </w:p>
        </w:tc>
        <w:tc>
          <w:tcPr>
            <w:tcW w:type="dxa" w:w="6552"/>
            <w:tcW w:w="655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Empresas, usuarios, permisos y configuración</w:t>
            </w:r>
          </w:p>
        </w:tc>
      </w:tr>
      <w:tr>
        <w:trPr>
          <w:cantSplit/>
        </w:trPr>
        <w:tc>
          <w:tcPr>
            <w:tcW w:type="dxa" w:w="2808"/>
            <w:tcW w:w="280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Almacén</w:t>
            </w:r>
          </w:p>
        </w:tc>
        <w:tc>
          <w:tcPr>
            <w:tcW w:type="dxa" w:w="6552"/>
            <w:tcW w:w="655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Recepciones, salidas, transferencias, ajustes y existencias</w:t>
            </w:r>
          </w:p>
        </w:tc>
      </w:tr>
      <w:tr>
        <w:trPr>
          <w:cantSplit/>
        </w:trPr>
        <w:tc>
          <w:tcPr>
            <w:tcW w:type="dxa" w:w="2808"/>
            <w:tcW w:w="280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Residente/supervisor</w:t>
            </w:r>
          </w:p>
        </w:tc>
        <w:tc>
          <w:tcPr>
            <w:tcW w:type="dxa" w:w="6552"/>
            <w:tcW w:w="655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Proyectos, plataformas, actividades y consumos</w:t>
            </w:r>
          </w:p>
        </w:tc>
      </w:tr>
      <w:tr>
        <w:trPr>
          <w:cantSplit/>
        </w:trPr>
        <w:tc>
          <w:tcPr>
            <w:tcW w:type="dxa" w:w="2808"/>
            <w:tcW w:w="280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Compras/costos</w:t>
            </w:r>
          </w:p>
        </w:tc>
        <w:tc>
          <w:tcPr>
            <w:tcW w:type="dxa" w:w="6552"/>
            <w:tcW w:w="655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Proveedores, compras y costos en fases autorizadas</w:t>
            </w:r>
          </w:p>
        </w:tc>
      </w:tr>
      <w:tr>
        <w:trPr>
          <w:cantSplit/>
        </w:trPr>
        <w:tc>
          <w:tcPr>
            <w:tcW w:type="dxa" w:w="2808"/>
            <w:tcW w:w="280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Equipo técnico</w:t>
            </w:r>
          </w:p>
        </w:tc>
        <w:tc>
          <w:tcPr>
            <w:tcW w:type="dxa" w:w="6552"/>
            <w:tcW w:w="655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Desarrollo, seguridad, pruebas, despliegue y soporte</w:t>
            </w:r>
          </w:p>
        </w:tc>
      </w:tr>
    </w:tbl>
    <w:p>
      <w:pPr>
        <w:pStyle w:val="Heading2"/>
      </w:pPr>
      <w:r>
        <w:rPr>
          <w:rFonts w:ascii="Calibri" w:hAnsi="Calibri"/>
          <w:b w:val="0"/>
          <w:i w:val="0"/>
          <w:color w:val="000000"/>
          <w:sz w:val="26"/>
        </w:rPr>
        <w:t>7. Riesgos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Confundir la visión de once MVP con funcionalidad entregada.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Publicación concurrente que produzca doble movimiento o stock negativo.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Alcance multiempresa/proyecto/almacén incompleto.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Conversión de unidades incorrecta.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Cancelaciones que destruyan trazabilidad.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Catálogos duplicados o datos maestros deficientes.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Ausencia de objetivos formales de respaldo y disponibilidad.</w:t>
      </w:r>
    </w:p>
    <w:p>
      <w:pPr>
        <w:pStyle w:val="Heading2"/>
      </w:pPr>
      <w:r>
        <w:rPr>
          <w:rFonts w:ascii="Calibri" w:hAnsi="Calibri"/>
          <w:b w:val="0"/>
          <w:i w:val="0"/>
          <w:color w:val="000000"/>
          <w:sz w:val="26"/>
        </w:rPr>
        <w:t>8. Éxito propuesto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100 % de documentos publicados generan movimientos balanceados y auditables.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Cero lecturas o escrituras fuera de empresa/alcance autorizado.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Inventario por material y almacén reproducible desde movimientos.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Comparación estimado-real disponible por plataforma y unidad base.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Cancelaciones mediante reversos, sin borrar documentos publicados.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Aceptación formal por fase con pruebas trazables.</w:t>
      </w:r>
    </w:p>
    <w:p>
      <w:pPr>
        <w:pStyle w:val="Heading2"/>
      </w:pPr>
      <w:r>
        <w:rPr>
          <w:rFonts w:ascii="Calibri" w:hAnsi="Calibri"/>
          <w:b w:val="0"/>
          <w:i w:val="0"/>
          <w:color w:val="000000"/>
          <w:sz w:val="26"/>
        </w:rPr>
        <w:t>9. Aprobación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123"/>
        <w:gridCol w:w="5429"/>
        <w:gridCol w:w="1123"/>
        <w:gridCol w:w="1685"/>
      </w:tblGrid>
      <w:tr>
        <w:trPr>
          <w:cantSplit/>
          <w:tblHeader w:val="true"/>
        </w:trPr>
        <w:tc>
          <w:tcPr>
            <w:tcW w:type="dxa" w:w="1123"/>
            <w:tcW w:w="112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Rol</w:t>
            </w:r>
          </w:p>
        </w:tc>
        <w:tc>
          <w:tcPr>
            <w:tcW w:type="dxa" w:w="5429"/>
            <w:tcW w:w="542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Nombre</w:t>
            </w:r>
          </w:p>
        </w:tc>
        <w:tc>
          <w:tcPr>
            <w:tcW w:type="dxa" w:w="1123"/>
            <w:tcW w:w="112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Firma</w:t>
            </w:r>
          </w:p>
        </w:tc>
        <w:tc>
          <w:tcPr>
            <w:tcW w:type="dxa" w:w="1685"/>
            <w:tcW w:w="168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Fecha</w:t>
            </w:r>
          </w:p>
        </w:tc>
      </w:tr>
      <w:tr>
        <w:trPr>
          <w:cantSplit/>
        </w:trPr>
        <w:tc>
          <w:tcPr>
            <w:tcW w:type="dxa" w:w="1123"/>
            <w:tcW w:w="112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Patrocinador</w:t>
            </w:r>
          </w:p>
        </w:tc>
        <w:tc>
          <w:tcPr>
            <w:tcW w:type="dxa" w:w="5429"/>
            <w:tcW w:w="542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Pendiente</w:t>
            </w:r>
          </w:p>
        </w:tc>
        <w:tc>
          <w:tcPr>
            <w:tcW w:type="dxa" w:w="1123"/>
            <w:tcW w:w="112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Pendiente</w:t>
            </w:r>
          </w:p>
        </w:tc>
        <w:tc>
          <w:tcPr>
            <w:tcW w:type="dxa" w:w="1685"/>
            <w:tcW w:w="168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Pendiente</w:t>
            </w:r>
          </w:p>
        </w:tc>
      </w:tr>
      <w:tr>
        <w:trPr>
          <w:cantSplit/>
        </w:trPr>
        <w:tc>
          <w:tcPr>
            <w:tcW w:type="dxa" w:w="1123"/>
            <w:tcW w:w="112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Propietario del producto</w:t>
            </w:r>
          </w:p>
        </w:tc>
        <w:tc>
          <w:tcPr>
            <w:tcW w:type="dxa" w:w="5429"/>
            <w:tcW w:w="542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Pendiente</w:t>
            </w:r>
          </w:p>
        </w:tc>
        <w:tc>
          <w:tcPr>
            <w:tcW w:type="dxa" w:w="1123"/>
            <w:tcW w:w="112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Pendiente</w:t>
            </w:r>
          </w:p>
        </w:tc>
        <w:tc>
          <w:tcPr>
            <w:tcW w:type="dxa" w:w="1685"/>
            <w:tcW w:w="168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Pendiente</w:t>
            </w:r>
          </w:p>
        </w:tc>
      </w:tr>
      <w:tr>
        <w:trPr>
          <w:cantSplit/>
        </w:trPr>
        <w:tc>
          <w:tcPr>
            <w:tcW w:type="dxa" w:w="1123"/>
            <w:tcW w:w="112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Responsable técnico</w:t>
            </w:r>
          </w:p>
        </w:tc>
        <w:tc>
          <w:tcPr>
            <w:tcW w:type="dxa" w:w="5429"/>
            <w:tcW w:w="542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Pendiente</w:t>
            </w:r>
          </w:p>
        </w:tc>
        <w:tc>
          <w:tcPr>
            <w:tcW w:type="dxa" w:w="1123"/>
            <w:tcW w:w="112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Pendiente</w:t>
            </w:r>
          </w:p>
        </w:tc>
        <w:tc>
          <w:tcPr>
            <w:tcW w:type="dxa" w:w="1685"/>
            <w:tcW w:w="168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Pendiente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666666"/>
        <w:sz w:val="17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/>
        <w:i w:val="0"/>
        <w:color w:val="666666"/>
        <w:sz w:val="17"/>
      </w:rPr>
      <w:t>ERP TROJES DE MARAÑÓN  |  ACTA CONSTITUTIVA DEL PROYECTO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