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spacing w:after="280"/>
      </w:pPr>
      <w:r>
        <w:rPr>
          <w:rFonts w:ascii="Calibri" w:hAnsi="Calibri"/>
          <w:b/>
          <w:i w:val="0"/>
          <w:color w:val="1F4D78"/>
          <w:sz w:val="24"/>
        </w:rPr>
        <w:t>ERP TROJES DE MARAÑÓN</w:t>
      </w:r>
    </w:p>
    <w:p>
      <w:pPr>
        <w:spacing w:after="120"/>
      </w:pPr>
      <w:r>
        <w:rPr>
          <w:rFonts w:ascii="Calibri" w:hAnsi="Calibri"/>
          <w:b/>
          <w:i w:val="0"/>
          <w:color w:val="0B2545"/>
          <w:sz w:val="50"/>
        </w:rPr>
        <w:t>Documento maestro del proyecto</w:t>
      </w:r>
    </w:p>
    <w:p>
      <w:pPr>
        <w:spacing w:after="560"/>
      </w:pPr>
      <w:r>
        <w:rPr>
          <w:rFonts w:ascii="Calibri" w:hAnsi="Calibri"/>
          <w:b w:val="0"/>
          <w:i w:val="0"/>
          <w:color w:val="666666"/>
          <w:sz w:val="28"/>
        </w:rPr>
        <w:t>Alcance, requerimientos, reglas y trazabilidad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2200"/>
        <w:gridCol w:w="7160"/>
      </w:tblGrid>
      <w:tr>
        <w:trPr>
          <w:cantSplit/>
        </w:trPr>
        <w:tc>
          <w:tcPr>
            <w:tcW w:type="dxa" w:w="2200"/>
            <w:tcW w:w="22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Código</w:t>
            </w:r>
          </w:p>
        </w:tc>
        <w:tc>
          <w:tcPr>
            <w:tcW w:type="dxa" w:w="7160"/>
            <w:tcW w:w="71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TDM-ERP</w:t>
            </w:r>
          </w:p>
        </w:tc>
      </w:tr>
      <w:tr>
        <w:trPr>
          <w:cantSplit/>
        </w:trPr>
        <w:tc>
          <w:tcPr>
            <w:tcW w:type="dxa" w:w="2200"/>
            <w:tcW w:w="22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Versión</w:t>
            </w:r>
          </w:p>
        </w:tc>
        <w:tc>
          <w:tcPr>
            <w:tcW w:type="dxa" w:w="7160"/>
            <w:tcW w:w="71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1.0 — Base para validación</w:t>
            </w:r>
          </w:p>
        </w:tc>
      </w:tr>
      <w:tr>
        <w:trPr>
          <w:cantSplit/>
        </w:trPr>
        <w:tc>
          <w:tcPr>
            <w:tcW w:type="dxa" w:w="2200"/>
            <w:tcW w:w="22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Estado</w:t>
            </w:r>
          </w:p>
        </w:tc>
        <w:tc>
          <w:tcPr>
            <w:tcW w:type="dxa" w:w="7160"/>
            <w:tcW w:w="71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Borrador controlado</w:t>
            </w:r>
          </w:p>
        </w:tc>
      </w:tr>
      <w:tr>
        <w:trPr>
          <w:cantSplit/>
        </w:trPr>
        <w:tc>
          <w:tcPr>
            <w:tcW w:type="dxa" w:w="2200"/>
            <w:tcW w:w="22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Fecha</w:t>
            </w:r>
          </w:p>
        </w:tc>
        <w:tc>
          <w:tcPr>
            <w:tcW w:type="dxa" w:w="7160"/>
            <w:tcW w:w="71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09/07/2026</w:t>
            </w:r>
          </w:p>
        </w:tc>
      </w:tr>
      <w:tr>
        <w:trPr>
          <w:cantSplit/>
        </w:trPr>
        <w:tc>
          <w:tcPr>
            <w:tcW w:type="dxa" w:w="2200"/>
            <w:tcW w:w="22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Aprobación</w:t>
            </w:r>
          </w:p>
        </w:tc>
        <w:tc>
          <w:tcPr>
            <w:tcW w:type="dxa" w:w="7160"/>
            <w:tcW w:w="71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Pendiente de los interesados</w:t>
            </w:r>
          </w:p>
        </w:tc>
      </w:tr>
    </w:tbl>
    <w:p>
      <w:r>
        <w:br w:type="page"/>
      </w:r>
    </w:p>
    <w:p>
      <w:pPr>
        <w:pStyle w:val="Heading2"/>
      </w:pPr>
      <w:r>
        <w:rPr>
          <w:rFonts w:ascii="Calibri" w:hAnsi="Calibri"/>
          <w:b w:val="0"/>
          <w:i w:val="0"/>
          <w:color w:val="000000"/>
          <w:sz w:val="26"/>
        </w:rPr>
        <w:t>ERP Trojes de Marañón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2808"/>
        <w:gridCol w:w="6552"/>
      </w:tblGrid>
      <w:tr>
        <w:trPr>
          <w:cantSplit/>
          <w:tblHeader w:val="true"/>
        </w:trPr>
        <w:tc>
          <w:tcPr>
            <w:tcW w:type="dxa" w:w="2808"/>
            <w:tcW w:w="2808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Campo</w:t>
            </w:r>
          </w:p>
        </w:tc>
        <w:tc>
          <w:tcPr>
            <w:tcW w:type="dxa" w:w="6552"/>
            <w:tcW w:w="6552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Valor</w:t>
            </w:r>
          </w:p>
        </w:tc>
      </w:tr>
      <w:tr>
        <w:trPr>
          <w:cantSplit/>
        </w:trPr>
        <w:tc>
          <w:tcPr>
            <w:tcW w:type="dxa" w:w="2808"/>
            <w:tcW w:w="2808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Código</w:t>
            </w:r>
          </w:p>
        </w:tc>
        <w:tc>
          <w:tcPr>
            <w:tcW w:type="dxa" w:w="6552"/>
            <w:tcW w:w="6552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TDM-ERP</w:t>
            </w:r>
          </w:p>
        </w:tc>
      </w:tr>
      <w:tr>
        <w:trPr>
          <w:cantSplit/>
        </w:trPr>
        <w:tc>
          <w:tcPr>
            <w:tcW w:type="dxa" w:w="2808"/>
            <w:tcW w:w="2808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Versión</w:t>
            </w:r>
          </w:p>
        </w:tc>
        <w:tc>
          <w:tcPr>
            <w:tcW w:type="dxa" w:w="6552"/>
            <w:tcW w:w="6552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1.0 — Base para validación</w:t>
            </w:r>
          </w:p>
        </w:tc>
      </w:tr>
      <w:tr>
        <w:trPr>
          <w:cantSplit/>
        </w:trPr>
        <w:tc>
          <w:tcPr>
            <w:tcW w:type="dxa" w:w="2808"/>
            <w:tcW w:w="2808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Estado</w:t>
            </w:r>
          </w:p>
        </w:tc>
        <w:tc>
          <w:tcPr>
            <w:tcW w:type="dxa" w:w="6552"/>
            <w:tcW w:w="6552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Borrador controlado</w:t>
            </w:r>
          </w:p>
        </w:tc>
      </w:tr>
      <w:tr>
        <w:trPr>
          <w:cantSplit/>
        </w:trPr>
        <w:tc>
          <w:tcPr>
            <w:tcW w:type="dxa" w:w="2808"/>
            <w:tcW w:w="2808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Línea base revisada</w:t>
            </w:r>
          </w:p>
        </w:tc>
        <w:tc>
          <w:tcPr>
            <w:tcW w:type="dxa" w:w="6552"/>
            <w:tcW w:w="6552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9 de julio de 2026</w:t>
            </w:r>
          </w:p>
        </w:tc>
      </w:tr>
    </w:tbl>
    <w:p>
      <w:pPr>
        <w:pStyle w:val="Heading2"/>
      </w:pPr>
      <w:r>
        <w:rPr>
          <w:rFonts w:ascii="Calibri" w:hAnsi="Calibri"/>
          <w:b w:val="0"/>
          <w:i w:val="0"/>
          <w:color w:val="000000"/>
          <w:sz w:val="26"/>
        </w:rPr>
        <w:t>1. Propósito y jerarquía</w:t>
      </w:r>
    </w:p>
    <w:p>
      <w:r>
        <w:rPr>
          <w:rFonts w:ascii="Calibri" w:hAnsi="Calibri"/>
          <w:b w:val="0"/>
          <w:i w:val="0"/>
          <w:color w:val="000000"/>
          <w:sz w:val="22"/>
        </w:rPr>
        <w:t>Referencia única para gobernar alcance, requisitos, reglas, pruebas y aceptación. Orden de precedencia: cambio aprobado; acta/documento maestro; alcance y reglas; requerimientos consolidados; matriz; arquitectura/casos de uso/APIs/roadmap; README. El software existente demuestra una capacidad técnica, no su aceptación comercial.</w:t>
      </w:r>
    </w:p>
    <w:p>
      <w:pPr>
        <w:pStyle w:val="Heading2"/>
      </w:pPr>
      <w:r>
        <w:rPr>
          <w:rFonts w:ascii="Calibri" w:hAnsi="Calibri"/>
          <w:b w:val="0"/>
          <w:i w:val="0"/>
          <w:color w:val="000000"/>
          <w:sz w:val="26"/>
        </w:rPr>
        <w:t>2. Definición del producto</w:t>
      </w:r>
    </w:p>
    <w:p>
      <w:r>
        <w:rPr>
          <w:rFonts w:ascii="Calibri" w:hAnsi="Calibri"/>
          <w:b w:val="0"/>
          <w:i w:val="0"/>
          <w:color w:val="000000"/>
          <w:sz w:val="22"/>
        </w:rPr>
        <w:t>ERP web multiempresa para empresas de construcción, centrado inicialmente en proyectos, plataformas, materiales y almacenes. El núcleo transaccional usa documentos publicables que generan movimientos de inventario y permiten rastrear consumo real frente a estimado.</w:t>
      </w:r>
    </w:p>
    <w:p>
      <w:pPr>
        <w:pStyle w:val="Heading2"/>
      </w:pPr>
      <w:r>
        <w:rPr>
          <w:rFonts w:ascii="Calibri" w:hAnsi="Calibri"/>
          <w:b w:val="0"/>
          <w:i w:val="0"/>
          <w:color w:val="000000"/>
          <w:sz w:val="26"/>
        </w:rPr>
        <w:t>3. Estado consolidado</w:t>
      </w:r>
    </w:p>
    <w:p>
      <w:r>
        <w:rPr>
          <w:rFonts w:ascii="Calibri" w:hAnsi="Calibri"/>
          <w:b w:val="0"/>
          <w:i w:val="0"/>
          <w:color w:val="000000"/>
          <w:sz w:val="22"/>
        </w:rPr>
        <w:t>La implementación supera la declaración “MVP 2” del README: existen entidades, endpoints y páginas para proyectos, plataformas, recepciones, salidas, transferencias, ajustes, saldos, movimientos y desviaciones. Maquinaria, diésel, mantenimiento, mano de obra, compras avanzadas, costos y reportes ejecutivos permanecen como visión por fases.</w:t>
      </w:r>
    </w:p>
    <w:p>
      <w:pPr>
        <w:pStyle w:val="Heading2"/>
      </w:pPr>
      <w:r>
        <w:rPr>
          <w:rFonts w:ascii="Calibri" w:hAnsi="Calibri"/>
          <w:b w:val="0"/>
          <w:i w:val="0"/>
          <w:color w:val="000000"/>
          <w:sz w:val="26"/>
        </w:rPr>
        <w:t>4. Paquete documental</w:t>
      </w:r>
    </w:p>
    <w:p>
      <w:pPr>
        <w:pStyle w:val="ListBullet"/>
      </w:pPr>
      <w:r>
        <w:rPr>
          <w:rFonts w:ascii="Calibri" w:hAnsi="Calibri"/>
          <w:b w:val="0"/>
          <w:i w:val="0"/>
          <w:color w:val="0B2545"/>
          <w:sz w:val="20"/>
        </w:rPr>
        <w:t>acta-constitutiva.md</w:t>
      </w:r>
      <w:r>
        <w:rPr>
          <w:rFonts w:ascii="Calibri" w:hAnsi="Calibri"/>
          <w:b w:val="0"/>
          <w:i w:val="0"/>
          <w:color w:val="000000"/>
          <w:sz w:val="22"/>
        </w:rPr>
        <w:t xml:space="preserve"> — mandato, interesados, riesgos y aprobación.</w:t>
      </w:r>
    </w:p>
    <w:p>
      <w:pPr>
        <w:pStyle w:val="ListBullet"/>
      </w:pPr>
      <w:r>
        <w:rPr>
          <w:rFonts w:ascii="Calibri" w:hAnsi="Calibri"/>
          <w:b w:val="0"/>
          <w:i w:val="0"/>
          <w:color w:val="0B2545"/>
          <w:sz w:val="20"/>
        </w:rPr>
        <w:t>alcance-producto.md</w:t>
      </w:r>
      <w:r>
        <w:rPr>
          <w:rFonts w:ascii="Calibri" w:hAnsi="Calibri"/>
          <w:b w:val="0"/>
          <w:i w:val="0"/>
          <w:color w:val="000000"/>
          <w:sz w:val="22"/>
        </w:rPr>
        <w:t xml:space="preserve"> — entregado frente a planificado/excluido.</w:t>
      </w:r>
    </w:p>
    <w:p>
      <w:pPr>
        <w:pStyle w:val="ListBullet"/>
      </w:pPr>
      <w:r>
        <w:rPr>
          <w:rFonts w:ascii="Calibri" w:hAnsi="Calibri"/>
          <w:b w:val="0"/>
          <w:i w:val="0"/>
          <w:color w:val="0B2545"/>
          <w:sz w:val="20"/>
        </w:rPr>
        <w:t>requerimientos-consolidados.md</w:t>
      </w:r>
      <w:r>
        <w:rPr>
          <w:rFonts w:ascii="Calibri" w:hAnsi="Calibri"/>
          <w:b w:val="0"/>
          <w:i w:val="0"/>
          <w:color w:val="000000"/>
          <w:sz w:val="22"/>
        </w:rPr>
        <w:t xml:space="preserve"> — obligaciones verificables.</w:t>
      </w:r>
    </w:p>
    <w:p>
      <w:pPr>
        <w:pStyle w:val="ListBullet"/>
      </w:pPr>
      <w:r>
        <w:rPr>
          <w:rFonts w:ascii="Calibri" w:hAnsi="Calibri"/>
          <w:b w:val="0"/>
          <w:i w:val="0"/>
          <w:color w:val="0B2545"/>
          <w:sz w:val="20"/>
        </w:rPr>
        <w:t>reglas-de-negocio.md</w:t>
      </w:r>
      <w:r>
        <w:rPr>
          <w:rFonts w:ascii="Calibri" w:hAnsi="Calibri"/>
          <w:b w:val="0"/>
          <w:i w:val="0"/>
          <w:color w:val="000000"/>
          <w:sz w:val="22"/>
        </w:rPr>
        <w:t xml:space="preserve"> — invariantes de documentos, unidades e inventario.</w:t>
      </w:r>
    </w:p>
    <w:p>
      <w:pPr>
        <w:pStyle w:val="ListBullet"/>
      </w:pPr>
      <w:r>
        <w:rPr>
          <w:rFonts w:ascii="Calibri" w:hAnsi="Calibri"/>
          <w:b w:val="0"/>
          <w:i w:val="0"/>
          <w:color w:val="0B2545"/>
          <w:sz w:val="20"/>
        </w:rPr>
        <w:t>matriz-trazabilidad.md</w:t>
      </w:r>
      <w:r>
        <w:rPr>
          <w:rFonts w:ascii="Calibri" w:hAnsi="Calibri"/>
          <w:b w:val="0"/>
          <w:i w:val="0"/>
          <w:color w:val="000000"/>
          <w:sz w:val="22"/>
        </w:rPr>
        <w:t xml:space="preserve"> — evidencia y pruebas.</w:t>
      </w:r>
    </w:p>
    <w:p>
      <w:pPr>
        <w:pStyle w:val="ListBullet"/>
      </w:pPr>
      <w:r>
        <w:rPr>
          <w:rFonts w:ascii="Calibri" w:hAnsi="Calibri"/>
          <w:b w:val="0"/>
          <w:i w:val="0"/>
          <w:color w:val="0B2545"/>
          <w:sz w:val="20"/>
        </w:rPr>
        <w:t>01</w:t>
      </w:r>
      <w:r>
        <w:rPr>
          <w:rFonts w:ascii="Calibri" w:hAnsi="Calibri"/>
          <w:b w:val="0"/>
          <w:i w:val="0"/>
          <w:color w:val="000000"/>
          <w:sz w:val="22"/>
        </w:rPr>
        <w:t xml:space="preserve"> a </w:t>
      </w:r>
      <w:r>
        <w:rPr>
          <w:rFonts w:ascii="Calibri" w:hAnsi="Calibri"/>
          <w:b w:val="0"/>
          <w:i w:val="0"/>
          <w:color w:val="0B2545"/>
          <w:sz w:val="20"/>
        </w:rPr>
        <w:t>08</w:t>
      </w:r>
      <w:r>
        <w:rPr>
          <w:rFonts w:ascii="Calibri" w:hAnsi="Calibri"/>
          <w:b w:val="0"/>
          <w:i w:val="0"/>
          <w:color w:val="000000"/>
          <w:sz w:val="22"/>
        </w:rPr>
        <w:t xml:space="preserve"> — diseño técnico y roadmap detallado existente.</w:t>
      </w:r>
    </w:p>
    <w:p>
      <w:pPr>
        <w:pStyle w:val="Heading2"/>
      </w:pPr>
      <w:r>
        <w:rPr>
          <w:rFonts w:ascii="Calibri" w:hAnsi="Calibri"/>
          <w:b w:val="0"/>
          <w:i w:val="0"/>
          <w:color w:val="000000"/>
          <w:sz w:val="26"/>
        </w:rPr>
        <w:t>5. Arquitectura de control</w:t>
      </w:r>
    </w:p>
    <w:p>
      <w:r>
        <w:rPr>
          <w:rFonts w:ascii="Calibri" w:hAnsi="Calibri"/>
          <w:b w:val="0"/>
          <w:i w:val="0"/>
          <w:color w:val="000000"/>
          <w:sz w:val="22"/>
        </w:rPr>
        <w:t xml:space="preserve">La SPA consume </w:t>
      </w:r>
      <w:r>
        <w:rPr>
          <w:rFonts w:ascii="Calibri" w:hAnsi="Calibri"/>
          <w:b w:val="0"/>
          <w:i w:val="0"/>
          <w:color w:val="0B2545"/>
          <w:sz w:val="20"/>
        </w:rPr>
        <w:t>/api/v1</w:t>
      </w:r>
      <w:r>
        <w:rPr>
          <w:rFonts w:ascii="Calibri" w:hAnsi="Calibri"/>
          <w:b w:val="0"/>
          <w:i w:val="0"/>
          <w:color w:val="000000"/>
          <w:sz w:val="22"/>
        </w:rPr>
        <w:t xml:space="preserve">; la API .NET aplica autorización y reglas; EF Core persiste en Supabase/PostgreSQL. </w:t>
      </w:r>
      <w:r>
        <w:rPr>
          <w:rFonts w:ascii="Calibri" w:hAnsi="Calibri"/>
          <w:b w:val="0"/>
          <w:i w:val="0"/>
          <w:color w:val="0B2545"/>
          <w:sz w:val="20"/>
        </w:rPr>
        <w:t>CompanyId</w:t>
      </w:r>
      <w:r>
        <w:rPr>
          <w:rFonts w:ascii="Calibri" w:hAnsi="Calibri"/>
          <w:b w:val="0"/>
          <w:i w:val="0"/>
          <w:color w:val="000000"/>
          <w:sz w:val="22"/>
        </w:rPr>
        <w:t>, permisos y alcance se derivan del usuario autenticado. La base local de Docker es solo alternativa de desarrollo.</w:t>
      </w:r>
    </w:p>
    <w:p>
      <w:pPr>
        <w:pStyle w:val="Heading2"/>
      </w:pPr>
      <w:r>
        <w:rPr>
          <w:rFonts w:ascii="Calibri" w:hAnsi="Calibri"/>
          <w:b w:val="0"/>
          <w:i w:val="0"/>
          <w:color w:val="000000"/>
          <w:sz w:val="26"/>
        </w:rPr>
        <w:t>6. Entregables por control de fase</w:t>
      </w:r>
    </w:p>
    <w:p>
      <w:r>
        <w:rPr>
          <w:rFonts w:ascii="Calibri" w:hAnsi="Calibri"/>
          <w:b w:val="0"/>
          <w:i w:val="0"/>
          <w:color w:val="000000"/>
          <w:sz w:val="22"/>
        </w:rPr>
        <w:t>Cada MVP debe definir alcance, migración, endpoints, interfaz, permisos, auditoría, pruebas, manual, despliegue y aceptación. Una fase no se considera entregada solo por existir en el ERD o roadmap.</w:t>
      </w:r>
    </w:p>
    <w:p>
      <w:pPr>
        <w:pStyle w:val="Heading2"/>
      </w:pPr>
      <w:r>
        <w:rPr>
          <w:rFonts w:ascii="Calibri" w:hAnsi="Calibri"/>
          <w:b w:val="0"/>
          <w:i w:val="0"/>
          <w:color w:val="000000"/>
          <w:sz w:val="26"/>
        </w:rPr>
        <w:t>7. Estrategia de pruebas</w:t>
      </w:r>
    </w:p>
    <w:p>
      <w:pPr>
        <w:pStyle w:val="ListBullet"/>
      </w:pPr>
      <w:r>
        <w:rPr>
          <w:rFonts w:ascii="Calibri" w:hAnsi="Calibri"/>
          <w:b w:val="0"/>
          <w:i w:val="0"/>
          <w:color w:val="000000"/>
          <w:sz w:val="22"/>
        </w:rPr>
        <w:t>Unidad: conversiones, estados, numeración y cálculos.</w:t>
      </w:r>
    </w:p>
    <w:p>
      <w:pPr>
        <w:pStyle w:val="ListBullet"/>
      </w:pPr>
      <w:r>
        <w:rPr>
          <w:rFonts w:ascii="Calibri" w:hAnsi="Calibri"/>
          <w:b w:val="0"/>
          <w:i w:val="0"/>
          <w:color w:val="000000"/>
          <w:sz w:val="22"/>
        </w:rPr>
        <w:t>Integración: filtros de empresa, permisos, publicación, reverso e idempotencia.</w:t>
      </w:r>
    </w:p>
    <w:p>
      <w:pPr>
        <w:pStyle w:val="ListBullet"/>
      </w:pPr>
      <w:r>
        <w:rPr>
          <w:rFonts w:ascii="Calibri" w:hAnsi="Calibri"/>
          <w:b w:val="0"/>
          <w:i w:val="0"/>
          <w:color w:val="000000"/>
          <w:sz w:val="22"/>
        </w:rPr>
        <w:t>Concurrencia: dos salidas contra el mismo saldo y doble publicación.</w:t>
      </w:r>
    </w:p>
    <w:p>
      <w:pPr>
        <w:pStyle w:val="ListBullet"/>
      </w:pPr>
      <w:r>
        <w:rPr>
          <w:rFonts w:ascii="Calibri" w:hAnsi="Calibri"/>
          <w:b w:val="0"/>
          <w:i w:val="0"/>
          <w:color w:val="000000"/>
          <w:sz w:val="22"/>
        </w:rPr>
        <w:t>E2E: borrador-publicación-consulta-cancelación desde UI.</w:t>
      </w:r>
    </w:p>
    <w:p>
      <w:pPr>
        <w:pStyle w:val="ListBullet"/>
      </w:pPr>
      <w:r>
        <w:rPr>
          <w:rFonts w:ascii="Calibri" w:hAnsi="Calibri"/>
          <w:b w:val="0"/>
          <w:i w:val="0"/>
          <w:color w:val="000000"/>
          <w:sz w:val="22"/>
        </w:rPr>
        <w:t>Reconciliación: saldo almacenado frente a suma de movimientos.</w:t>
      </w:r>
    </w:p>
    <w:p>
      <w:pPr>
        <w:pStyle w:val="ListBullet"/>
      </w:pPr>
      <w:r>
        <w:rPr>
          <w:rFonts w:ascii="Calibri" w:hAnsi="Calibri"/>
          <w:b w:val="0"/>
          <w:i w:val="0"/>
          <w:color w:val="000000"/>
          <w:sz w:val="22"/>
        </w:rPr>
        <w:t>Seguridad: acceso cruzado por empresa, proyecto y almacén.</w:t>
      </w:r>
    </w:p>
    <w:p>
      <w:pPr>
        <w:pStyle w:val="Heading2"/>
      </w:pPr>
      <w:r>
        <w:rPr>
          <w:rFonts w:ascii="Calibri" w:hAnsi="Calibri"/>
          <w:b w:val="0"/>
          <w:i w:val="0"/>
          <w:color w:val="000000"/>
          <w:sz w:val="26"/>
        </w:rPr>
        <w:t>8. Decisiones pendientes</w:t>
      </w:r>
    </w:p>
    <w:p>
      <w:pPr>
        <w:pStyle w:val="ListNumber"/>
      </w:pPr>
      <w:r>
        <w:rPr>
          <w:rFonts w:ascii="Calibri" w:hAnsi="Calibri"/>
          <w:b w:val="0"/>
          <w:i w:val="0"/>
          <w:color w:val="000000"/>
          <w:sz w:val="22"/>
        </w:rPr>
        <w:t>Patrocinador, propietario y responsables por módulo.</w:t>
      </w:r>
    </w:p>
    <w:p>
      <w:pPr>
        <w:pStyle w:val="ListNumber"/>
      </w:pPr>
      <w:r>
        <w:rPr>
          <w:rFonts w:ascii="Calibri" w:hAnsi="Calibri"/>
          <w:b w:val="0"/>
          <w:i w:val="0"/>
          <w:color w:val="000000"/>
          <w:sz w:val="22"/>
        </w:rPr>
        <w:t>Nombre legal de empresa(s), series documentales y monedas iniciales.</w:t>
      </w:r>
    </w:p>
    <w:p>
      <w:pPr>
        <w:pStyle w:val="ListNumber"/>
      </w:pPr>
      <w:r>
        <w:rPr>
          <w:rFonts w:ascii="Calibri" w:hAnsi="Calibri"/>
          <w:b w:val="0"/>
          <w:i w:val="0"/>
          <w:color w:val="000000"/>
          <w:sz w:val="22"/>
        </w:rPr>
        <w:t>Política de stock negativo, cierres y reaperturas.</w:t>
      </w:r>
    </w:p>
    <w:p>
      <w:pPr>
        <w:pStyle w:val="ListNumber"/>
      </w:pPr>
      <w:r>
        <w:rPr>
          <w:rFonts w:ascii="Calibri" w:hAnsi="Calibri"/>
          <w:b w:val="0"/>
          <w:i w:val="0"/>
          <w:color w:val="000000"/>
          <w:sz w:val="22"/>
        </w:rPr>
        <w:t>Reglas de aprobación para ajustes, compras y costos.</w:t>
      </w:r>
    </w:p>
    <w:p>
      <w:pPr>
        <w:pStyle w:val="ListNumber"/>
      </w:pPr>
      <w:r>
        <w:rPr>
          <w:rFonts w:ascii="Calibri" w:hAnsi="Calibri"/>
          <w:b w:val="0"/>
          <w:i w:val="0"/>
          <w:color w:val="000000"/>
          <w:sz w:val="22"/>
        </w:rPr>
        <w:t>Definiciones de avance, productividad y costo atribuible.</w:t>
      </w:r>
    </w:p>
    <w:p>
      <w:pPr>
        <w:pStyle w:val="ListNumber"/>
      </w:pPr>
      <w:r>
        <w:rPr>
          <w:rFonts w:ascii="Calibri" w:hAnsi="Calibri"/>
          <w:b w:val="0"/>
          <w:i w:val="0"/>
          <w:color w:val="000000"/>
          <w:sz w:val="22"/>
        </w:rPr>
        <w:t>SLA, carga esperada, RTO, RPO, retención y soporte.</w:t>
      </w:r>
    </w:p>
    <w:p>
      <w:pPr>
        <w:pStyle w:val="ListNumber"/>
      </w:pPr>
      <w:r>
        <w:rPr>
          <w:rFonts w:ascii="Calibri" w:hAnsi="Calibri"/>
          <w:b w:val="0"/>
          <w:i w:val="0"/>
          <w:color w:val="000000"/>
          <w:sz w:val="22"/>
        </w:rPr>
        <w:t>Orden y presupuesto de las fases futuras.</w:t>
      </w:r>
    </w:p>
    <w:p>
      <w:pPr>
        <w:pStyle w:val="Heading2"/>
      </w:pPr>
      <w:r>
        <w:rPr>
          <w:rFonts w:ascii="Calibri" w:hAnsi="Calibri"/>
          <w:b w:val="0"/>
          <w:i w:val="0"/>
          <w:color w:val="000000"/>
          <w:sz w:val="26"/>
        </w:rPr>
        <w:t>9. Control de cambios y aprobación</w:t>
      </w:r>
    </w:p>
    <w:p>
      <w:r>
        <w:rPr>
          <w:rFonts w:ascii="Calibri" w:hAnsi="Calibri"/>
          <w:b w:val="0"/>
          <w:i w:val="0"/>
          <w:color w:val="000000"/>
          <w:sz w:val="22"/>
        </w:rPr>
        <w:t>Todo cambio registra solicitante, motivo, requerimientos/reglas afectados, impacto en datos, seguridad, UI, pruebas, despliegue y fecha. La versión solo se aprueba con resolución de decisiones críticas y firma o aprobación electrónica trazable en el acta.</w:t>
      </w:r>
    </w:p>
    <w:p>
      <w:r>
        <w:br w:type="page"/>
      </w:r>
    </w:p>
    <w:p>
      <w:pPr>
        <w:pStyle w:val="Heading2"/>
      </w:pPr>
      <w:r>
        <w:rPr>
          <w:rFonts w:ascii="Calibri" w:hAnsi="Calibri"/>
          <w:b w:val="0"/>
          <w:i w:val="0"/>
          <w:color w:val="000000"/>
          <w:sz w:val="26"/>
        </w:rPr>
        <w:t>ERP Trojes de Marañón</w:t>
      </w:r>
    </w:p>
    <w:p>
      <w:pPr>
        <w:pStyle w:val="Heading2"/>
      </w:pPr>
      <w:r>
        <w:rPr>
          <w:rFonts w:ascii="Calibri" w:hAnsi="Calibri"/>
          <w:b w:val="0"/>
          <w:i w:val="0"/>
          <w:color w:val="000000"/>
          <w:sz w:val="26"/>
        </w:rPr>
        <w:t>1. Línea base implementada verificada</w:t>
      </w:r>
    </w:p>
    <w:p>
      <w:pPr>
        <w:pStyle w:val="ListBullet"/>
      </w:pPr>
      <w:r>
        <w:rPr>
          <w:rFonts w:ascii="Calibri" w:hAnsi="Calibri"/>
          <w:b w:val="0"/>
          <w:i w:val="0"/>
          <w:color w:val="000000"/>
          <w:sz w:val="22"/>
        </w:rPr>
        <w:t>Autenticación JWT, refresh token, cierre de sesión y perfil.</w:t>
      </w:r>
    </w:p>
    <w:p>
      <w:pPr>
        <w:pStyle w:val="ListBullet"/>
      </w:pPr>
      <w:r>
        <w:rPr>
          <w:rFonts w:ascii="Calibri" w:hAnsi="Calibri"/>
          <w:b w:val="0"/>
          <w:i w:val="0"/>
          <w:color w:val="000000"/>
          <w:sz w:val="22"/>
        </w:rPr>
        <w:t>Empresas, sucursales, configuración, usuarios, roles y permisos.</w:t>
      </w:r>
    </w:p>
    <w:p>
      <w:pPr>
        <w:pStyle w:val="ListBullet"/>
      </w:pPr>
      <w:r>
        <w:rPr>
          <w:rFonts w:ascii="Calibri" w:hAnsi="Calibri"/>
          <w:b w:val="0"/>
          <w:i w:val="0"/>
          <w:color w:val="000000"/>
          <w:sz w:val="22"/>
        </w:rPr>
        <w:t xml:space="preserve">Auditoría automática, soft delete y separación por </w:t>
      </w:r>
      <w:r>
        <w:rPr>
          <w:rFonts w:ascii="Calibri" w:hAnsi="Calibri"/>
          <w:b w:val="0"/>
          <w:i w:val="0"/>
          <w:color w:val="0B2545"/>
          <w:sz w:val="20"/>
        </w:rPr>
        <w:t>CompanyId</w:t>
      </w:r>
      <w:r>
        <w:rPr>
          <w:rFonts w:ascii="Calibri" w:hAnsi="Calibri"/>
          <w:b w:val="0"/>
          <w:i w:val="0"/>
          <w:color w:val="000000"/>
          <w:sz w:val="22"/>
        </w:rPr>
        <w:t>.</w:t>
      </w:r>
    </w:p>
    <w:p>
      <w:pPr>
        <w:pStyle w:val="ListBullet"/>
      </w:pPr>
      <w:r>
        <w:rPr>
          <w:rFonts w:ascii="Calibri" w:hAnsi="Calibri"/>
          <w:b w:val="0"/>
          <w:i w:val="0"/>
          <w:color w:val="000000"/>
          <w:sz w:val="22"/>
        </w:rPr>
        <w:t>Clientes, proveedores, unidades, familias, subfamilias y materiales.</w:t>
      </w:r>
    </w:p>
    <w:p>
      <w:pPr>
        <w:pStyle w:val="ListBullet"/>
      </w:pPr>
      <w:r>
        <w:rPr>
          <w:rFonts w:ascii="Calibri" w:hAnsi="Calibri"/>
          <w:b w:val="0"/>
          <w:i w:val="0"/>
          <w:color w:val="000000"/>
          <w:sz w:val="22"/>
        </w:rPr>
        <w:t>Conversiones de unidad por material y almacenes.</w:t>
      </w:r>
    </w:p>
    <w:p>
      <w:pPr>
        <w:pStyle w:val="ListBullet"/>
      </w:pPr>
      <w:r>
        <w:rPr>
          <w:rFonts w:ascii="Calibri" w:hAnsi="Calibri"/>
          <w:b w:val="0"/>
          <w:i w:val="0"/>
          <w:color w:val="000000"/>
          <w:sz w:val="22"/>
        </w:rPr>
        <w:t>Proyectos, plataformas, progreso, actividades y consumos estimados.</w:t>
      </w:r>
    </w:p>
    <w:p>
      <w:pPr>
        <w:pStyle w:val="ListBullet"/>
      </w:pPr>
      <w:r>
        <w:rPr>
          <w:rFonts w:ascii="Calibri" w:hAnsi="Calibri"/>
          <w:b w:val="0"/>
          <w:i w:val="0"/>
          <w:color w:val="000000"/>
          <w:sz w:val="22"/>
        </w:rPr>
        <w:t>Recepciones, salidas, transferencias y ajustes de inventario.</w:t>
      </w:r>
    </w:p>
    <w:p>
      <w:pPr>
        <w:pStyle w:val="ListBullet"/>
      </w:pPr>
      <w:r>
        <w:rPr>
          <w:rFonts w:ascii="Calibri" w:hAnsi="Calibri"/>
          <w:b w:val="0"/>
          <w:i w:val="0"/>
          <w:color w:val="000000"/>
          <w:sz w:val="22"/>
        </w:rPr>
        <w:t>Consulta de saldos, movimientos, consumo real y desviaciones por plataforma.</w:t>
      </w:r>
    </w:p>
    <w:p>
      <w:pPr>
        <w:pStyle w:val="ListBullet"/>
      </w:pPr>
      <w:r>
        <w:rPr>
          <w:rFonts w:ascii="Calibri" w:hAnsi="Calibri"/>
          <w:b w:val="0"/>
          <w:i w:val="0"/>
          <w:color w:val="000000"/>
          <w:sz w:val="22"/>
        </w:rPr>
        <w:t>Frontend para administración, catálogos, proyectos e inventario.</w:t>
      </w:r>
    </w:p>
    <w:p>
      <w:pPr>
        <w:pStyle w:val="Heading2"/>
      </w:pPr>
      <w:r>
        <w:rPr>
          <w:rFonts w:ascii="Calibri" w:hAnsi="Calibri"/>
          <w:b w:val="0"/>
          <w:i w:val="0"/>
          <w:color w:val="000000"/>
          <w:sz w:val="26"/>
        </w:rPr>
        <w:t>2. Visión planificada, no declarada como entregada</w:t>
      </w:r>
    </w:p>
    <w:p>
      <w:pPr>
        <w:pStyle w:val="ListBullet"/>
      </w:pPr>
      <w:r>
        <w:rPr>
          <w:rFonts w:ascii="Calibri" w:hAnsi="Calibri"/>
          <w:b w:val="0"/>
          <w:i w:val="0"/>
          <w:color w:val="000000"/>
          <w:sz w:val="22"/>
        </w:rPr>
        <w:t>Reportes diarios de avance e incidencias de obra.</w:t>
      </w:r>
    </w:p>
    <w:p>
      <w:pPr>
        <w:pStyle w:val="ListBullet"/>
      </w:pPr>
      <w:r>
        <w:rPr>
          <w:rFonts w:ascii="Calibri" w:hAnsi="Calibri"/>
          <w:b w:val="0"/>
          <w:i w:val="0"/>
          <w:color w:val="000000"/>
          <w:sz w:val="22"/>
        </w:rPr>
        <w:t>Maquinaria, tarifas, bitácoras y asignaciones.</w:t>
      </w:r>
    </w:p>
    <w:p>
      <w:pPr>
        <w:pStyle w:val="ListBullet"/>
      </w:pPr>
      <w:r>
        <w:rPr>
          <w:rFonts w:ascii="Calibri" w:hAnsi="Calibri"/>
          <w:b w:val="0"/>
          <w:i w:val="0"/>
          <w:color w:val="000000"/>
          <w:sz w:val="22"/>
        </w:rPr>
        <w:t>Tanques, cargas y consumos de diésel.</w:t>
      </w:r>
    </w:p>
    <w:p>
      <w:pPr>
        <w:pStyle w:val="ListBullet"/>
      </w:pPr>
      <w:r>
        <w:rPr>
          <w:rFonts w:ascii="Calibri" w:hAnsi="Calibri"/>
          <w:b w:val="0"/>
          <w:i w:val="0"/>
          <w:color w:val="000000"/>
          <w:sz w:val="22"/>
        </w:rPr>
        <w:t>Mantenimiento preventivo, ejecuciones y reparaciones.</w:t>
      </w:r>
    </w:p>
    <w:p>
      <w:pPr>
        <w:pStyle w:val="ListBullet"/>
      </w:pPr>
      <w:r>
        <w:rPr>
          <w:rFonts w:ascii="Calibri" w:hAnsi="Calibri"/>
          <w:b w:val="0"/>
          <w:i w:val="0"/>
          <w:color w:val="000000"/>
          <w:sz w:val="22"/>
        </w:rPr>
        <w:t>Mano de obra y cuadrillas.</w:t>
      </w:r>
    </w:p>
    <w:p>
      <w:pPr>
        <w:pStyle w:val="ListBullet"/>
      </w:pPr>
      <w:r>
        <w:rPr>
          <w:rFonts w:ascii="Calibri" w:hAnsi="Calibri"/>
          <w:b w:val="0"/>
          <w:i w:val="0"/>
          <w:color w:val="000000"/>
          <w:sz w:val="22"/>
        </w:rPr>
        <w:t>Solicitudes, cotizaciones, órdenes y recepciones de compra avanzadas.</w:t>
      </w:r>
    </w:p>
    <w:p>
      <w:pPr>
        <w:pStyle w:val="ListBullet"/>
      </w:pPr>
      <w:r>
        <w:rPr>
          <w:rFonts w:ascii="Calibri" w:hAnsi="Calibri"/>
          <w:b w:val="0"/>
          <w:i w:val="0"/>
          <w:color w:val="000000"/>
          <w:sz w:val="22"/>
        </w:rPr>
        <w:t>Cost Ledger, productividad, archivos/evidencias, Power BI y reportes ejecutivos.</w:t>
      </w:r>
    </w:p>
    <w:p>
      <w:r>
        <w:rPr>
          <w:rFonts w:ascii="Calibri" w:hAnsi="Calibri"/>
          <w:b w:val="0"/>
          <w:i w:val="0"/>
          <w:color w:val="000000"/>
          <w:sz w:val="22"/>
        </w:rPr>
        <w:t>La activación de cada bloque debe seguir el roadmap y una aceptación independiente.</w:t>
      </w:r>
    </w:p>
    <w:p>
      <w:pPr>
        <w:pStyle w:val="Heading2"/>
      </w:pPr>
      <w:r>
        <w:rPr>
          <w:rFonts w:ascii="Calibri" w:hAnsi="Calibri"/>
          <w:b w:val="0"/>
          <w:i w:val="0"/>
          <w:color w:val="000000"/>
          <w:sz w:val="26"/>
        </w:rPr>
        <w:t>3. Fuera de alcance salvo autorización</w:t>
      </w:r>
    </w:p>
    <w:p>
      <w:pPr>
        <w:pStyle w:val="ListBullet"/>
      </w:pPr>
      <w:r>
        <w:rPr>
          <w:rFonts w:ascii="Calibri" w:hAnsi="Calibri"/>
          <w:b w:val="0"/>
          <w:i w:val="0"/>
          <w:color w:val="000000"/>
          <w:sz w:val="22"/>
        </w:rPr>
        <w:t>Nómina, contabilidad fiscal, bancos y facturación electrónica.</w:t>
      </w:r>
    </w:p>
    <w:p>
      <w:pPr>
        <w:pStyle w:val="ListBullet"/>
      </w:pPr>
      <w:r>
        <w:rPr>
          <w:rFonts w:ascii="Calibri" w:hAnsi="Calibri"/>
          <w:b w:val="0"/>
          <w:i w:val="0"/>
          <w:color w:val="000000"/>
          <w:sz w:val="22"/>
        </w:rPr>
        <w:t>BIM, estimaciones de obra contractual y programación de obra completa.</w:t>
      </w:r>
    </w:p>
    <w:p>
      <w:pPr>
        <w:pStyle w:val="ListBullet"/>
      </w:pPr>
      <w:r>
        <w:rPr>
          <w:rFonts w:ascii="Calibri" w:hAnsi="Calibri"/>
          <w:b w:val="0"/>
          <w:i w:val="0"/>
          <w:color w:val="000000"/>
          <w:sz w:val="22"/>
        </w:rPr>
        <w:t>Aplicación móvil nativa u operación offline.</w:t>
      </w:r>
    </w:p>
    <w:p>
      <w:pPr>
        <w:pStyle w:val="ListBullet"/>
      </w:pPr>
      <w:r>
        <w:rPr>
          <w:rFonts w:ascii="Calibri" w:hAnsi="Calibri"/>
          <w:b w:val="0"/>
          <w:i w:val="0"/>
          <w:color w:val="000000"/>
          <w:sz w:val="22"/>
        </w:rPr>
        <w:t>Migración a otro stack backend: la línea base aprobada es .NET/EF Core.</w:t>
      </w:r>
    </w:p>
    <w:p>
      <w:pPr>
        <w:pStyle w:val="Heading2"/>
      </w:pPr>
      <w:r>
        <w:rPr>
          <w:rFonts w:ascii="Calibri" w:hAnsi="Calibri"/>
          <w:b w:val="0"/>
          <w:i w:val="0"/>
          <w:color w:val="000000"/>
          <w:sz w:val="26"/>
        </w:rPr>
        <w:t>4. Supuestos y restricciones</w:t>
      </w:r>
    </w:p>
    <w:p>
      <w:pPr>
        <w:pStyle w:val="ListBullet"/>
      </w:pPr>
      <w:r>
        <w:rPr>
          <w:rFonts w:ascii="Calibri" w:hAnsi="Calibri"/>
          <w:b w:val="0"/>
          <w:i w:val="0"/>
          <w:color w:val="000000"/>
          <w:sz w:val="22"/>
        </w:rPr>
        <w:t>Supabase/PostgreSQL es la base primaria; el contenedor local es alternativa offline de desarrollo.</w:t>
      </w:r>
    </w:p>
    <w:p>
      <w:pPr>
        <w:pStyle w:val="ListBullet"/>
      </w:pPr>
      <w:r>
        <w:rPr>
          <w:rFonts w:ascii="Calibri" w:hAnsi="Calibri"/>
          <w:b w:val="0"/>
          <w:i w:val="0"/>
          <w:color w:val="000000"/>
          <w:sz w:val="22"/>
        </w:rPr>
        <w:t>Los documentos operativos tienen estados borrador, publicado y cancelado.</w:t>
      </w:r>
    </w:p>
    <w:p>
      <w:pPr>
        <w:pStyle w:val="ListBullet"/>
      </w:pPr>
      <w:r>
        <w:rPr>
          <w:rFonts w:ascii="Calibri" w:hAnsi="Calibri"/>
          <w:b w:val="0"/>
          <w:i w:val="0"/>
          <w:color w:val="000000"/>
          <w:sz w:val="22"/>
        </w:rPr>
        <w:t>La moneda base y reglas documentales se configuran por empresa.</w:t>
      </w:r>
    </w:p>
    <w:p>
      <w:pPr>
        <w:pStyle w:val="ListBullet"/>
      </w:pPr>
      <w:r>
        <w:rPr>
          <w:rFonts w:ascii="Calibri" w:hAnsi="Calibri"/>
          <w:b w:val="0"/>
          <w:i w:val="0"/>
          <w:color w:val="000000"/>
          <w:sz w:val="22"/>
        </w:rPr>
        <w:t>Las existencias se conservan en unidad base y las conversiones son específicas por material.</w:t>
      </w:r>
    </w:p>
    <w:p>
      <w:pPr>
        <w:pStyle w:val="ListBullet"/>
      </w:pPr>
      <w:r>
        <w:rPr>
          <w:rFonts w:ascii="Calibri" w:hAnsi="Calibri"/>
          <w:b w:val="0"/>
          <w:i w:val="0"/>
          <w:color w:val="000000"/>
          <w:sz w:val="22"/>
        </w:rPr>
        <w:t>El frontend no implementa lógica de autorización ni inventario que sustituya al servidor.</w:t>
      </w:r>
    </w:p>
    <w:p>
      <w:pPr>
        <w:pStyle w:val="Heading2"/>
      </w:pPr>
      <w:r>
        <w:rPr>
          <w:rFonts w:ascii="Calibri" w:hAnsi="Calibri"/>
          <w:b w:val="0"/>
          <w:i w:val="0"/>
          <w:color w:val="000000"/>
          <w:sz w:val="26"/>
        </w:rPr>
        <w:t>5. Aceptación general</w:t>
      </w:r>
    </w:p>
    <w:p>
      <w:pPr>
        <w:pStyle w:val="ListNumber"/>
      </w:pPr>
      <w:r>
        <w:rPr>
          <w:rFonts w:ascii="Calibri" w:hAnsi="Calibri"/>
          <w:b w:val="0"/>
          <w:i w:val="0"/>
          <w:color w:val="000000"/>
          <w:sz w:val="22"/>
        </w:rPr>
        <w:t>Todo recurso pertenece a empresa y respeta el alcance del usuario.</w:t>
      </w:r>
    </w:p>
    <w:p>
      <w:pPr>
        <w:pStyle w:val="ListNumber"/>
      </w:pPr>
      <w:r>
        <w:rPr>
          <w:rFonts w:ascii="Calibri" w:hAnsi="Calibri"/>
          <w:b w:val="0"/>
          <w:i w:val="0"/>
          <w:color w:val="000000"/>
          <w:sz w:val="22"/>
        </w:rPr>
        <w:t>Publicar un documento genera exactamente un conjunto de movimientos.</w:t>
      </w:r>
    </w:p>
    <w:p>
      <w:pPr>
        <w:pStyle w:val="ListNumber"/>
      </w:pPr>
      <w:r>
        <w:rPr>
          <w:rFonts w:ascii="Calibri" w:hAnsi="Calibri"/>
          <w:b w:val="0"/>
          <w:i w:val="0"/>
          <w:color w:val="000000"/>
          <w:sz w:val="22"/>
        </w:rPr>
        <w:t>La misma orden repetida no duplica efectos.</w:t>
      </w:r>
    </w:p>
    <w:p>
      <w:pPr>
        <w:pStyle w:val="ListNumber"/>
      </w:pPr>
      <w:r>
        <w:rPr>
          <w:rFonts w:ascii="Calibri" w:hAnsi="Calibri"/>
          <w:b w:val="0"/>
          <w:i w:val="0"/>
          <w:color w:val="000000"/>
          <w:sz w:val="22"/>
        </w:rPr>
        <w:t>Cancelar genera reversos y conserva documento, autor, motivo y fecha.</w:t>
      </w:r>
    </w:p>
    <w:p>
      <w:pPr>
        <w:pStyle w:val="ListNumber"/>
      </w:pPr>
      <w:r>
        <w:rPr>
          <w:rFonts w:ascii="Calibri" w:hAnsi="Calibri"/>
          <w:b w:val="0"/>
          <w:i w:val="0"/>
          <w:color w:val="000000"/>
          <w:sz w:val="22"/>
        </w:rPr>
        <w:t>No se permite stock negativo salvo política explícita aprobada.</w:t>
      </w:r>
    </w:p>
    <w:p>
      <w:pPr>
        <w:pStyle w:val="ListNumber"/>
      </w:pPr>
      <w:r>
        <w:rPr>
          <w:rFonts w:ascii="Calibri" w:hAnsi="Calibri"/>
          <w:b w:val="0"/>
          <w:i w:val="0"/>
          <w:color w:val="000000"/>
          <w:sz w:val="22"/>
        </w:rPr>
        <w:t>El saldo coincide con la suma de movimientos por material, almacén y unidad base.</w:t>
      </w:r>
    </w:p>
    <w:p>
      <w:pPr>
        <w:pStyle w:val="ListNumber"/>
      </w:pPr>
      <w:r>
        <w:rPr>
          <w:rFonts w:ascii="Calibri" w:hAnsi="Calibri"/>
          <w:b w:val="0"/>
          <w:i w:val="0"/>
          <w:color w:val="000000"/>
          <w:sz w:val="22"/>
        </w:rPr>
        <w:t>La interfaz y API muestran estados y errores coherentes.</w:t>
      </w:r>
    </w:p>
    <w:p>
      <w:r>
        <w:br w:type="page"/>
      </w:r>
    </w:p>
    <w:p>
      <w:pPr>
        <w:pStyle w:val="Heading2"/>
      </w:pPr>
      <w:r>
        <w:rPr>
          <w:rFonts w:ascii="Calibri" w:hAnsi="Calibri"/>
          <w:b w:val="0"/>
          <w:i w:val="0"/>
          <w:color w:val="000000"/>
          <w:sz w:val="26"/>
        </w:rPr>
        <w:t>ERP Trojes de Marañón</w:t>
      </w:r>
    </w:p>
    <w:p>
      <w:r>
        <w:rPr>
          <w:rFonts w:ascii="Calibri" w:hAnsi="Calibri"/>
          <w:b w:val="0"/>
          <w:i w:val="0"/>
          <w:color w:val="000000"/>
          <w:sz w:val="22"/>
        </w:rPr>
        <w:t xml:space="preserve">Convención: </w:t>
      </w:r>
      <w:r>
        <w:rPr>
          <w:rFonts w:ascii="Calibri" w:hAnsi="Calibri"/>
          <w:b/>
          <w:i w:val="0"/>
          <w:color w:val="000000"/>
          <w:sz w:val="22"/>
        </w:rPr>
        <w:t>M</w:t>
      </w:r>
      <w:r>
        <w:rPr>
          <w:rFonts w:ascii="Calibri" w:hAnsi="Calibri"/>
          <w:b w:val="0"/>
          <w:i w:val="0"/>
          <w:color w:val="000000"/>
          <w:sz w:val="22"/>
        </w:rPr>
        <w:t xml:space="preserve"> imprescindible. Estado </w:t>
      </w:r>
      <w:r>
        <w:rPr>
          <w:rFonts w:ascii="Calibri" w:hAnsi="Calibri"/>
          <w:b/>
          <w:i w:val="0"/>
          <w:color w:val="000000"/>
          <w:sz w:val="22"/>
        </w:rPr>
        <w:t>I</w:t>
      </w:r>
      <w:r>
        <w:rPr>
          <w:rFonts w:ascii="Calibri" w:hAnsi="Calibri"/>
          <w:b w:val="0"/>
          <w:i w:val="0"/>
          <w:color w:val="000000"/>
          <w:sz w:val="22"/>
        </w:rPr>
        <w:t xml:space="preserve"> implementado/verificado en estructura; </w:t>
      </w:r>
      <w:r>
        <w:rPr>
          <w:rFonts w:ascii="Calibri" w:hAnsi="Calibri"/>
          <w:b/>
          <w:i w:val="0"/>
          <w:color w:val="000000"/>
          <w:sz w:val="22"/>
        </w:rPr>
        <w:t>F</w:t>
      </w:r>
      <w:r>
        <w:rPr>
          <w:rFonts w:ascii="Calibri" w:hAnsi="Calibri"/>
          <w:b w:val="0"/>
          <w:i w:val="0"/>
          <w:color w:val="000000"/>
          <w:sz w:val="22"/>
        </w:rPr>
        <w:t xml:space="preserve"> previsto en fase futura; la aceptación operativa sigue pendiente.</w:t>
      </w:r>
    </w:p>
    <w:p>
      <w:pPr>
        <w:pStyle w:val="Heading2"/>
      </w:pPr>
      <w:r>
        <w:rPr>
          <w:rFonts w:ascii="Calibri" w:hAnsi="Calibri"/>
          <w:b w:val="0"/>
          <w:i w:val="0"/>
          <w:color w:val="000000"/>
          <w:sz w:val="26"/>
        </w:rPr>
        <w:t>1. Funcionales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1123"/>
        <w:gridCol w:w="5429"/>
        <w:gridCol w:w="1123"/>
        <w:gridCol w:w="1685"/>
      </w:tblGrid>
      <w:tr>
        <w:trPr>
          <w:cantSplit/>
          <w:tblHeader w:val="true"/>
        </w:trPr>
        <w:tc>
          <w:tcPr>
            <w:tcW w:type="dxa" w:w="1123"/>
            <w:tcW w:w="1123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i w:val="0"/>
                <w:color w:val="0B2545"/>
                <w:sz w:val="16"/>
              </w:rPr>
              <w:t>ID</w:t>
            </w:r>
          </w:p>
        </w:tc>
        <w:tc>
          <w:tcPr>
            <w:tcW w:type="dxa" w:w="5429"/>
            <w:tcW w:w="5429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i w:val="0"/>
                <w:color w:val="0B2545"/>
                <w:sz w:val="16"/>
              </w:rPr>
              <w:t>Requerimiento verificable</w:t>
            </w:r>
          </w:p>
        </w:tc>
        <w:tc>
          <w:tcPr>
            <w:tcW w:type="dxa" w:w="1123"/>
            <w:tcW w:w="1123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i w:val="0"/>
                <w:color w:val="0B2545"/>
                <w:sz w:val="16"/>
              </w:rPr>
              <w:t>Pri.</w:t>
            </w:r>
          </w:p>
        </w:tc>
        <w:tc>
          <w:tcPr>
            <w:tcW w:type="dxa" w:w="1685"/>
            <w:tcW w:w="1685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i w:val="0"/>
                <w:color w:val="0B2545"/>
                <w:sz w:val="16"/>
              </w:rPr>
              <w:t>Estado</w:t>
            </w:r>
          </w:p>
        </w:tc>
      </w:tr>
      <w:tr>
        <w:trPr>
          <w:cantSplit/>
        </w:trPr>
        <w:tc>
          <w:tcPr>
            <w:tcW w:type="dxa" w:w="1123"/>
            <w:tcW w:w="1123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RF-SEG-001</w:t>
            </w:r>
          </w:p>
        </w:tc>
        <w:tc>
          <w:tcPr>
            <w:tcW w:type="dxa" w:w="5429"/>
            <w:tcW w:w="5429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El sistema deberá autenticar con access y refresh token, permitir cierre y obtener perfil.</w:t>
            </w:r>
          </w:p>
        </w:tc>
        <w:tc>
          <w:tcPr>
            <w:tcW w:type="dxa" w:w="1123"/>
            <w:tcW w:w="1123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</w:t>
            </w:r>
          </w:p>
        </w:tc>
        <w:tc>
          <w:tcPr>
            <w:tcW w:type="dxa" w:w="1685"/>
            <w:tcW w:w="1685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</w:t>
            </w:r>
          </w:p>
        </w:tc>
      </w:tr>
      <w:tr>
        <w:trPr>
          <w:cantSplit/>
        </w:trPr>
        <w:tc>
          <w:tcPr>
            <w:tcW w:type="dxa" w:w="1123"/>
            <w:tcW w:w="1123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RF-SEG-002</w:t>
            </w:r>
          </w:p>
        </w:tc>
        <w:tc>
          <w:tcPr>
            <w:tcW w:type="dxa" w:w="5429"/>
            <w:tcW w:w="5429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El administrador deberá gestionar usuarios, roles, permisos y alcance por empresa.</w:t>
            </w:r>
          </w:p>
        </w:tc>
        <w:tc>
          <w:tcPr>
            <w:tcW w:type="dxa" w:w="1123"/>
            <w:tcW w:w="1123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</w:t>
            </w:r>
          </w:p>
        </w:tc>
        <w:tc>
          <w:tcPr>
            <w:tcW w:type="dxa" w:w="1685"/>
            <w:tcW w:w="1685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</w:t>
            </w:r>
          </w:p>
        </w:tc>
      </w:tr>
      <w:tr>
        <w:trPr>
          <w:cantSplit/>
        </w:trPr>
        <w:tc>
          <w:tcPr>
            <w:tcW w:type="dxa" w:w="1123"/>
            <w:tcW w:w="1123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RF-EMP-001</w:t>
            </w:r>
          </w:p>
        </w:tc>
        <w:tc>
          <w:tcPr>
            <w:tcW w:type="dxa" w:w="5429"/>
            <w:tcW w:w="5429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El sistema deberá gestionar empresas, sucursales y parámetros documentales/monetarios.</w:t>
            </w:r>
          </w:p>
        </w:tc>
        <w:tc>
          <w:tcPr>
            <w:tcW w:type="dxa" w:w="1123"/>
            <w:tcW w:w="1123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</w:t>
            </w:r>
          </w:p>
        </w:tc>
        <w:tc>
          <w:tcPr>
            <w:tcW w:type="dxa" w:w="1685"/>
            <w:tcW w:w="1685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</w:t>
            </w:r>
          </w:p>
        </w:tc>
      </w:tr>
      <w:tr>
        <w:trPr>
          <w:cantSplit/>
        </w:trPr>
        <w:tc>
          <w:tcPr>
            <w:tcW w:type="dxa" w:w="1123"/>
            <w:tcW w:w="1123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RF-CAT-001</w:t>
            </w:r>
          </w:p>
        </w:tc>
        <w:tc>
          <w:tcPr>
            <w:tcW w:type="dxa" w:w="5429"/>
            <w:tcW w:w="5429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El usuario autorizado deberá gestionar clientes, proveedores, unidades, familias y subfamilias.</w:t>
            </w:r>
          </w:p>
        </w:tc>
        <w:tc>
          <w:tcPr>
            <w:tcW w:type="dxa" w:w="1123"/>
            <w:tcW w:w="1123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</w:t>
            </w:r>
          </w:p>
        </w:tc>
        <w:tc>
          <w:tcPr>
            <w:tcW w:type="dxa" w:w="1685"/>
            <w:tcW w:w="1685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</w:t>
            </w:r>
          </w:p>
        </w:tc>
      </w:tr>
      <w:tr>
        <w:trPr>
          <w:cantSplit/>
        </w:trPr>
        <w:tc>
          <w:tcPr>
            <w:tcW w:type="dxa" w:w="1123"/>
            <w:tcW w:w="1123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RF-MAT-001</w:t>
            </w:r>
          </w:p>
        </w:tc>
        <w:tc>
          <w:tcPr>
            <w:tcW w:type="dxa" w:w="5429"/>
            <w:tcW w:w="5429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El sistema deberá gestionar materiales únicos por empresa y sus conversiones de unidad.</w:t>
            </w:r>
          </w:p>
        </w:tc>
        <w:tc>
          <w:tcPr>
            <w:tcW w:type="dxa" w:w="1123"/>
            <w:tcW w:w="1123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</w:t>
            </w:r>
          </w:p>
        </w:tc>
        <w:tc>
          <w:tcPr>
            <w:tcW w:type="dxa" w:w="1685"/>
            <w:tcW w:w="1685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</w:t>
            </w:r>
          </w:p>
        </w:tc>
      </w:tr>
      <w:tr>
        <w:trPr>
          <w:cantSplit/>
        </w:trPr>
        <w:tc>
          <w:tcPr>
            <w:tcW w:type="dxa" w:w="1123"/>
            <w:tcW w:w="1123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RF-ALM-001</w:t>
            </w:r>
          </w:p>
        </w:tc>
        <w:tc>
          <w:tcPr>
            <w:tcW w:type="dxa" w:w="5429"/>
            <w:tcW w:w="5429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El sistema deberá gestionar almacenes y filtrar operaciones por alcance autorizado.</w:t>
            </w:r>
          </w:p>
        </w:tc>
        <w:tc>
          <w:tcPr>
            <w:tcW w:type="dxa" w:w="1123"/>
            <w:tcW w:w="1123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</w:t>
            </w:r>
          </w:p>
        </w:tc>
        <w:tc>
          <w:tcPr>
            <w:tcW w:type="dxa" w:w="1685"/>
            <w:tcW w:w="1685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</w:t>
            </w:r>
          </w:p>
        </w:tc>
      </w:tr>
      <w:tr>
        <w:trPr>
          <w:cantSplit/>
        </w:trPr>
        <w:tc>
          <w:tcPr>
            <w:tcW w:type="dxa" w:w="1123"/>
            <w:tcW w:w="1123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RF-PRO-001</w:t>
            </w:r>
          </w:p>
        </w:tc>
        <w:tc>
          <w:tcPr>
            <w:tcW w:type="dxa" w:w="5429"/>
            <w:tcW w:w="5429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El sistema deberá gestionar proyectos con cliente, estado, fechas y moneda.</w:t>
            </w:r>
          </w:p>
        </w:tc>
        <w:tc>
          <w:tcPr>
            <w:tcW w:type="dxa" w:w="1123"/>
            <w:tcW w:w="1123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</w:t>
            </w:r>
          </w:p>
        </w:tc>
        <w:tc>
          <w:tcPr>
            <w:tcW w:type="dxa" w:w="1685"/>
            <w:tcW w:w="1685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</w:t>
            </w:r>
          </w:p>
        </w:tc>
      </w:tr>
      <w:tr>
        <w:trPr>
          <w:cantSplit/>
        </w:trPr>
        <w:tc>
          <w:tcPr>
            <w:tcW w:type="dxa" w:w="1123"/>
            <w:tcW w:w="1123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RF-PLA-001</w:t>
            </w:r>
          </w:p>
        </w:tc>
        <w:tc>
          <w:tcPr>
            <w:tcW w:type="dxa" w:w="5429"/>
            <w:tcW w:w="5429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El sistema deberá gestionar plataformas, progreso, actividades y consumo estimado.</w:t>
            </w:r>
          </w:p>
        </w:tc>
        <w:tc>
          <w:tcPr>
            <w:tcW w:type="dxa" w:w="1123"/>
            <w:tcW w:w="1123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</w:t>
            </w:r>
          </w:p>
        </w:tc>
        <w:tc>
          <w:tcPr>
            <w:tcW w:type="dxa" w:w="1685"/>
            <w:tcW w:w="1685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</w:t>
            </w:r>
          </w:p>
        </w:tc>
      </w:tr>
      <w:tr>
        <w:trPr>
          <w:cantSplit/>
        </w:trPr>
        <w:tc>
          <w:tcPr>
            <w:tcW w:type="dxa" w:w="1123"/>
            <w:tcW w:w="1123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RF-REC-001</w:t>
            </w:r>
          </w:p>
        </w:tc>
        <w:tc>
          <w:tcPr>
            <w:tcW w:type="dxa" w:w="5429"/>
            <w:tcW w:w="5429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El usuario deberá crear, publicar y cancelar recepciones de material.</w:t>
            </w:r>
          </w:p>
        </w:tc>
        <w:tc>
          <w:tcPr>
            <w:tcW w:type="dxa" w:w="1123"/>
            <w:tcW w:w="1123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</w:t>
            </w:r>
          </w:p>
        </w:tc>
        <w:tc>
          <w:tcPr>
            <w:tcW w:type="dxa" w:w="1685"/>
            <w:tcW w:w="1685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</w:t>
            </w:r>
          </w:p>
        </w:tc>
      </w:tr>
      <w:tr>
        <w:trPr>
          <w:cantSplit/>
        </w:trPr>
        <w:tc>
          <w:tcPr>
            <w:tcW w:type="dxa" w:w="1123"/>
            <w:tcW w:w="1123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RF-SAL-001</w:t>
            </w:r>
          </w:p>
        </w:tc>
        <w:tc>
          <w:tcPr>
            <w:tcW w:type="dxa" w:w="5429"/>
            <w:tcW w:w="5429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El usuario deberá crear, publicar y cancelar salidas ligadas a almacén y, cuando aplique, proyecto/plataforma.</w:t>
            </w:r>
          </w:p>
        </w:tc>
        <w:tc>
          <w:tcPr>
            <w:tcW w:type="dxa" w:w="1123"/>
            <w:tcW w:w="1123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</w:t>
            </w:r>
          </w:p>
        </w:tc>
        <w:tc>
          <w:tcPr>
            <w:tcW w:type="dxa" w:w="1685"/>
            <w:tcW w:w="1685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</w:t>
            </w:r>
          </w:p>
        </w:tc>
      </w:tr>
      <w:tr>
        <w:trPr>
          <w:cantSplit/>
        </w:trPr>
        <w:tc>
          <w:tcPr>
            <w:tcW w:type="dxa" w:w="1123"/>
            <w:tcW w:w="1123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RF-TRF-001</w:t>
            </w:r>
          </w:p>
        </w:tc>
        <w:tc>
          <w:tcPr>
            <w:tcW w:type="dxa" w:w="5429"/>
            <w:tcW w:w="5429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El sistema deberá transferir material entre almacenes mediante salida y entrada equivalentes.</w:t>
            </w:r>
          </w:p>
        </w:tc>
        <w:tc>
          <w:tcPr>
            <w:tcW w:type="dxa" w:w="1123"/>
            <w:tcW w:w="1123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</w:t>
            </w:r>
          </w:p>
        </w:tc>
        <w:tc>
          <w:tcPr>
            <w:tcW w:type="dxa" w:w="1685"/>
            <w:tcW w:w="1685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</w:t>
            </w:r>
          </w:p>
        </w:tc>
      </w:tr>
      <w:tr>
        <w:trPr>
          <w:cantSplit/>
        </w:trPr>
        <w:tc>
          <w:tcPr>
            <w:tcW w:type="dxa" w:w="1123"/>
            <w:tcW w:w="1123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RF-AJU-001</w:t>
            </w:r>
          </w:p>
        </w:tc>
        <w:tc>
          <w:tcPr>
            <w:tcW w:type="dxa" w:w="5429"/>
            <w:tcW w:w="5429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El sistema deberá registrar ajustes con motivo, líneas y aprobación/publicación controlada.</w:t>
            </w:r>
          </w:p>
        </w:tc>
        <w:tc>
          <w:tcPr>
            <w:tcW w:type="dxa" w:w="1123"/>
            <w:tcW w:w="1123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</w:t>
            </w:r>
          </w:p>
        </w:tc>
        <w:tc>
          <w:tcPr>
            <w:tcW w:type="dxa" w:w="1685"/>
            <w:tcW w:w="1685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</w:t>
            </w:r>
          </w:p>
        </w:tc>
      </w:tr>
      <w:tr>
        <w:trPr>
          <w:cantSplit/>
        </w:trPr>
        <w:tc>
          <w:tcPr>
            <w:tcW w:type="dxa" w:w="1123"/>
            <w:tcW w:w="1123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RF-INV-001</w:t>
            </w:r>
          </w:p>
        </w:tc>
        <w:tc>
          <w:tcPr>
            <w:tcW w:type="dxa" w:w="5429"/>
            <w:tcW w:w="5429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El sistema deberá consultar saldos y movimientos por empresa, almacén, material y periodo.</w:t>
            </w:r>
          </w:p>
        </w:tc>
        <w:tc>
          <w:tcPr>
            <w:tcW w:type="dxa" w:w="1123"/>
            <w:tcW w:w="1123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</w:t>
            </w:r>
          </w:p>
        </w:tc>
        <w:tc>
          <w:tcPr>
            <w:tcW w:type="dxa" w:w="1685"/>
            <w:tcW w:w="1685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</w:t>
            </w:r>
          </w:p>
        </w:tc>
      </w:tr>
      <w:tr>
        <w:trPr>
          <w:cantSplit/>
        </w:trPr>
        <w:tc>
          <w:tcPr>
            <w:tcW w:type="dxa" w:w="1123"/>
            <w:tcW w:w="1123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RF-CON-001</w:t>
            </w:r>
          </w:p>
        </w:tc>
        <w:tc>
          <w:tcPr>
            <w:tcW w:type="dxa" w:w="5429"/>
            <w:tcW w:w="5429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El sistema deberá comparar consumo estimado y real por plataforma usando una unidad comparable.</w:t>
            </w:r>
          </w:p>
        </w:tc>
        <w:tc>
          <w:tcPr>
            <w:tcW w:type="dxa" w:w="1123"/>
            <w:tcW w:w="1123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</w:t>
            </w:r>
          </w:p>
        </w:tc>
        <w:tc>
          <w:tcPr>
            <w:tcW w:type="dxa" w:w="1685"/>
            <w:tcW w:w="1685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</w:t>
            </w:r>
          </w:p>
        </w:tc>
      </w:tr>
      <w:tr>
        <w:trPr>
          <w:cantSplit/>
        </w:trPr>
        <w:tc>
          <w:tcPr>
            <w:tcW w:type="dxa" w:w="1123"/>
            <w:tcW w:w="1123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RF-AUD-001</w:t>
            </w:r>
          </w:p>
        </w:tc>
        <w:tc>
          <w:tcPr>
            <w:tcW w:type="dxa" w:w="5429"/>
            <w:tcW w:w="5429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El sistema deberá auditar creación, edición, publicación, cancelación y seguridad.</w:t>
            </w:r>
          </w:p>
        </w:tc>
        <w:tc>
          <w:tcPr>
            <w:tcW w:type="dxa" w:w="1123"/>
            <w:tcW w:w="1123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</w:t>
            </w:r>
          </w:p>
        </w:tc>
        <w:tc>
          <w:tcPr>
            <w:tcW w:type="dxa" w:w="1685"/>
            <w:tcW w:w="1685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</w:t>
            </w:r>
          </w:p>
        </w:tc>
      </w:tr>
      <w:tr>
        <w:trPr>
          <w:cantSplit/>
        </w:trPr>
        <w:tc>
          <w:tcPr>
            <w:tcW w:type="dxa" w:w="1123"/>
            <w:tcW w:w="1123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RF-OBR-001</w:t>
            </w:r>
          </w:p>
        </w:tc>
        <w:tc>
          <w:tcPr>
            <w:tcW w:type="dxa" w:w="5429"/>
            <w:tcW w:w="5429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El sistema deberá registrar avance diario, incidencias y evidencias.</w:t>
            </w:r>
          </w:p>
        </w:tc>
        <w:tc>
          <w:tcPr>
            <w:tcW w:type="dxa" w:w="1123"/>
            <w:tcW w:w="1123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</w:t>
            </w:r>
          </w:p>
        </w:tc>
        <w:tc>
          <w:tcPr>
            <w:tcW w:type="dxa" w:w="1685"/>
            <w:tcW w:w="1685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F</w:t>
            </w:r>
          </w:p>
        </w:tc>
      </w:tr>
      <w:tr>
        <w:trPr>
          <w:cantSplit/>
        </w:trPr>
        <w:tc>
          <w:tcPr>
            <w:tcW w:type="dxa" w:w="1123"/>
            <w:tcW w:w="1123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RF-MAQ-001</w:t>
            </w:r>
          </w:p>
        </w:tc>
        <w:tc>
          <w:tcPr>
            <w:tcW w:type="dxa" w:w="5429"/>
            <w:tcW w:w="5429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El sistema deberá gestionar maquinaria, tarifas, asignación y bitácora.</w:t>
            </w:r>
          </w:p>
        </w:tc>
        <w:tc>
          <w:tcPr>
            <w:tcW w:type="dxa" w:w="1123"/>
            <w:tcW w:w="1123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</w:t>
            </w:r>
          </w:p>
        </w:tc>
        <w:tc>
          <w:tcPr>
            <w:tcW w:type="dxa" w:w="1685"/>
            <w:tcW w:w="1685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F</w:t>
            </w:r>
          </w:p>
        </w:tc>
      </w:tr>
      <w:tr>
        <w:trPr>
          <w:cantSplit/>
        </w:trPr>
        <w:tc>
          <w:tcPr>
            <w:tcW w:type="dxa" w:w="1123"/>
            <w:tcW w:w="1123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RF-DIE-001</w:t>
            </w:r>
          </w:p>
        </w:tc>
        <w:tc>
          <w:tcPr>
            <w:tcW w:type="dxa" w:w="5429"/>
            <w:tcW w:w="5429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El sistema deberá controlar tanques, cargas y consumo de diésel.</w:t>
            </w:r>
          </w:p>
        </w:tc>
        <w:tc>
          <w:tcPr>
            <w:tcW w:type="dxa" w:w="1123"/>
            <w:tcW w:w="1123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</w:t>
            </w:r>
          </w:p>
        </w:tc>
        <w:tc>
          <w:tcPr>
            <w:tcW w:type="dxa" w:w="1685"/>
            <w:tcW w:w="1685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F</w:t>
            </w:r>
          </w:p>
        </w:tc>
      </w:tr>
      <w:tr>
        <w:trPr>
          <w:cantSplit/>
        </w:trPr>
        <w:tc>
          <w:tcPr>
            <w:tcW w:type="dxa" w:w="1123"/>
            <w:tcW w:w="1123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RF-MAN-001</w:t>
            </w:r>
          </w:p>
        </w:tc>
        <w:tc>
          <w:tcPr>
            <w:tcW w:type="dxa" w:w="5429"/>
            <w:tcW w:w="5429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El sistema deberá gestionar planes, alertas, mantenimientos y reparaciones.</w:t>
            </w:r>
          </w:p>
        </w:tc>
        <w:tc>
          <w:tcPr>
            <w:tcW w:type="dxa" w:w="1123"/>
            <w:tcW w:w="1123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</w:t>
            </w:r>
          </w:p>
        </w:tc>
        <w:tc>
          <w:tcPr>
            <w:tcW w:type="dxa" w:w="1685"/>
            <w:tcW w:w="1685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F</w:t>
            </w:r>
          </w:p>
        </w:tc>
      </w:tr>
      <w:tr>
        <w:trPr>
          <w:cantSplit/>
        </w:trPr>
        <w:tc>
          <w:tcPr>
            <w:tcW w:type="dxa" w:w="1123"/>
            <w:tcW w:w="1123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RF-LAB-001</w:t>
            </w:r>
          </w:p>
        </w:tc>
        <w:tc>
          <w:tcPr>
            <w:tcW w:type="dxa" w:w="5429"/>
            <w:tcW w:w="5429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El sistema deberá registrar categorías, tarifas, cuadrillas y tiempo de mano de obra.</w:t>
            </w:r>
          </w:p>
        </w:tc>
        <w:tc>
          <w:tcPr>
            <w:tcW w:type="dxa" w:w="1123"/>
            <w:tcW w:w="1123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</w:t>
            </w:r>
          </w:p>
        </w:tc>
        <w:tc>
          <w:tcPr>
            <w:tcW w:type="dxa" w:w="1685"/>
            <w:tcW w:w="1685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F</w:t>
            </w:r>
          </w:p>
        </w:tc>
      </w:tr>
      <w:tr>
        <w:trPr>
          <w:cantSplit/>
        </w:trPr>
        <w:tc>
          <w:tcPr>
            <w:tcW w:type="dxa" w:w="1123"/>
            <w:tcW w:w="1123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RF-COM-001</w:t>
            </w:r>
          </w:p>
        </w:tc>
        <w:tc>
          <w:tcPr>
            <w:tcW w:type="dxa" w:w="5429"/>
            <w:tcW w:w="5429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El sistema deberá gestionar solicitud, cotización, orden y recepción parcial de compra.</w:t>
            </w:r>
          </w:p>
        </w:tc>
        <w:tc>
          <w:tcPr>
            <w:tcW w:type="dxa" w:w="1123"/>
            <w:tcW w:w="1123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</w:t>
            </w:r>
          </w:p>
        </w:tc>
        <w:tc>
          <w:tcPr>
            <w:tcW w:type="dxa" w:w="1685"/>
            <w:tcW w:w="1685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F</w:t>
            </w:r>
          </w:p>
        </w:tc>
      </w:tr>
      <w:tr>
        <w:trPr>
          <w:cantSplit/>
        </w:trPr>
        <w:tc>
          <w:tcPr>
            <w:tcW w:type="dxa" w:w="1123"/>
            <w:tcW w:w="1123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RF-COS-001</w:t>
            </w:r>
          </w:p>
        </w:tc>
        <w:tc>
          <w:tcPr>
            <w:tcW w:type="dxa" w:w="5429"/>
            <w:tcW w:w="5429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El sistema deberá registrar costos inmutables y reversos en un ledger por plataforma.</w:t>
            </w:r>
          </w:p>
        </w:tc>
        <w:tc>
          <w:tcPr>
            <w:tcW w:type="dxa" w:w="1123"/>
            <w:tcW w:w="1123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</w:t>
            </w:r>
          </w:p>
        </w:tc>
        <w:tc>
          <w:tcPr>
            <w:tcW w:type="dxa" w:w="1685"/>
            <w:tcW w:w="1685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F</w:t>
            </w:r>
          </w:p>
        </w:tc>
      </w:tr>
      <w:tr>
        <w:trPr>
          <w:cantSplit/>
        </w:trPr>
        <w:tc>
          <w:tcPr>
            <w:tcW w:type="dxa" w:w="1123"/>
            <w:tcW w:w="1123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RF-RPT-001</w:t>
            </w:r>
          </w:p>
        </w:tc>
        <w:tc>
          <w:tcPr>
            <w:tcW w:type="dxa" w:w="5429"/>
            <w:tcW w:w="5429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El sistema deberá presentar dashboard, productividad y exportaciones con filtros de alcance.</w:t>
            </w:r>
          </w:p>
        </w:tc>
        <w:tc>
          <w:tcPr>
            <w:tcW w:type="dxa" w:w="1123"/>
            <w:tcW w:w="1123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</w:t>
            </w:r>
          </w:p>
        </w:tc>
        <w:tc>
          <w:tcPr>
            <w:tcW w:type="dxa" w:w="1685"/>
            <w:tcW w:w="1685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F</w:t>
            </w:r>
          </w:p>
        </w:tc>
      </w:tr>
    </w:tbl>
    <w:p>
      <w:pPr>
        <w:pStyle w:val="Heading2"/>
      </w:pPr>
      <w:r>
        <w:rPr>
          <w:rFonts w:ascii="Calibri" w:hAnsi="Calibri"/>
          <w:b w:val="0"/>
          <w:i w:val="0"/>
          <w:color w:val="000000"/>
          <w:sz w:val="26"/>
        </w:rPr>
        <w:t>2. No funcionales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1685"/>
        <w:gridCol w:w="4867"/>
        <w:gridCol w:w="2808"/>
      </w:tblGrid>
      <w:tr>
        <w:trPr>
          <w:cantSplit/>
          <w:tblHeader w:val="true"/>
        </w:trPr>
        <w:tc>
          <w:tcPr>
            <w:tcW w:type="dxa" w:w="1685"/>
            <w:tcW w:w="1685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ID</w:t>
            </w:r>
          </w:p>
        </w:tc>
        <w:tc>
          <w:tcPr>
            <w:tcW w:type="dxa" w:w="4867"/>
            <w:tcW w:w="4867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Requerimiento</w:t>
            </w:r>
          </w:p>
        </w:tc>
        <w:tc>
          <w:tcPr>
            <w:tcW w:type="dxa" w:w="2808"/>
            <w:tcW w:w="2808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Criterio</w:t>
            </w:r>
          </w:p>
        </w:tc>
      </w:tr>
      <w:tr>
        <w:trPr>
          <w:cantSplit/>
        </w:trPr>
        <w:tc>
          <w:tcPr>
            <w:tcW w:type="dxa" w:w="1685"/>
            <w:tcW w:w="1685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RNF-SEG-001</w:t>
            </w:r>
          </w:p>
        </w:tc>
        <w:tc>
          <w:tcPr>
            <w:tcW w:type="dxa" w:w="4867"/>
            <w:tcW w:w="4867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Aislamiento multiempresa</w:t>
            </w:r>
          </w:p>
        </w:tc>
        <w:tc>
          <w:tcPr>
            <w:tcW w:type="dxa" w:w="2808"/>
            <w:tcW w:w="2808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CompanyId derivado del usuario/token y aplicado en todas las consultas y comandos</w:t>
            </w:r>
          </w:p>
        </w:tc>
      </w:tr>
      <w:tr>
        <w:trPr>
          <w:cantSplit/>
        </w:trPr>
        <w:tc>
          <w:tcPr>
            <w:tcW w:type="dxa" w:w="1685"/>
            <w:tcW w:w="1685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RNF-SEG-002</w:t>
            </w:r>
          </w:p>
        </w:tc>
        <w:tc>
          <w:tcPr>
            <w:tcW w:type="dxa" w:w="4867"/>
            <w:tcW w:w="4867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Autorización</w:t>
            </w:r>
          </w:p>
        </w:tc>
        <w:tc>
          <w:tcPr>
            <w:tcW w:type="dxa" w:w="2808"/>
            <w:tcW w:w="2808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Verificación en API por permiso y alcance; el frontend solo orienta la UX</w:t>
            </w:r>
          </w:p>
        </w:tc>
      </w:tr>
      <w:tr>
        <w:trPr>
          <w:cantSplit/>
        </w:trPr>
        <w:tc>
          <w:tcPr>
            <w:tcW w:type="dxa" w:w="1685"/>
            <w:tcW w:w="1685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RNF-INT-001</w:t>
            </w:r>
          </w:p>
        </w:tc>
        <w:tc>
          <w:tcPr>
            <w:tcW w:type="dxa" w:w="4867"/>
            <w:tcW w:w="4867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Atomicidad</w:t>
            </w:r>
          </w:p>
        </w:tc>
        <w:tc>
          <w:tcPr>
            <w:tcW w:type="dxa" w:w="2808"/>
            <w:tcW w:w="2808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Publicación/cancelación y movimientos dentro de una transacción</w:t>
            </w:r>
          </w:p>
        </w:tc>
      </w:tr>
      <w:tr>
        <w:trPr>
          <w:cantSplit/>
        </w:trPr>
        <w:tc>
          <w:tcPr>
            <w:tcW w:type="dxa" w:w="1685"/>
            <w:tcW w:w="1685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RNF-INT-002</w:t>
            </w:r>
          </w:p>
        </w:tc>
        <w:tc>
          <w:tcPr>
            <w:tcW w:type="dxa" w:w="4867"/>
            <w:tcW w:w="4867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Idempotencia</w:t>
            </w:r>
          </w:p>
        </w:tc>
        <w:tc>
          <w:tcPr>
            <w:tcW w:type="dxa" w:w="2808"/>
            <w:tcW w:w="2808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Repetir una solicitud de publicación no duplica movimientos</w:t>
            </w:r>
          </w:p>
        </w:tc>
      </w:tr>
      <w:tr>
        <w:trPr>
          <w:cantSplit/>
        </w:trPr>
        <w:tc>
          <w:tcPr>
            <w:tcW w:type="dxa" w:w="1685"/>
            <w:tcW w:w="1685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RNF-AUD-001</w:t>
            </w:r>
          </w:p>
        </w:tc>
        <w:tc>
          <w:tcPr>
            <w:tcW w:type="dxa" w:w="4867"/>
            <w:tcW w:w="4867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Trazabilidad</w:t>
            </w:r>
          </w:p>
        </w:tc>
        <w:tc>
          <w:tcPr>
            <w:tcW w:type="dxa" w:w="2808"/>
            <w:tcW w:w="2808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Usuario, fecha, entidad, acción, valores relevantes y motivo en eventos críticos</w:t>
            </w:r>
          </w:p>
        </w:tc>
      </w:tr>
      <w:tr>
        <w:trPr>
          <w:cantSplit/>
        </w:trPr>
        <w:tc>
          <w:tcPr>
            <w:tcW w:type="dxa" w:w="1685"/>
            <w:tcW w:w="1685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RNF-RND-001</w:t>
            </w:r>
          </w:p>
        </w:tc>
        <w:tc>
          <w:tcPr>
            <w:tcW w:type="dxa" w:w="4867"/>
            <w:tcW w:w="4867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Rendimiento</w:t>
            </w:r>
          </w:p>
        </w:tc>
        <w:tc>
          <w:tcPr>
            <w:tcW w:type="dxa" w:w="2808"/>
            <w:tcW w:w="2808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Paginación y objetivo inicial p95 menor a 2 s, pendiente de carga acordada</w:t>
            </w:r>
          </w:p>
        </w:tc>
      </w:tr>
      <w:tr>
        <w:trPr>
          <w:cantSplit/>
        </w:trPr>
        <w:tc>
          <w:tcPr>
            <w:tcW w:type="dxa" w:w="1685"/>
            <w:tcW w:w="1685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RNF-DIS-001</w:t>
            </w:r>
          </w:p>
        </w:tc>
        <w:tc>
          <w:tcPr>
            <w:tcW w:type="dxa" w:w="4867"/>
            <w:tcW w:w="4867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Recuperación</w:t>
            </w:r>
          </w:p>
        </w:tc>
        <w:tc>
          <w:tcPr>
            <w:tcW w:type="dxa" w:w="2808"/>
            <w:tcW w:w="2808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RTO, RPO, retención y restauración ensayada pendientes de aprobación</w:t>
            </w:r>
          </w:p>
        </w:tc>
      </w:tr>
      <w:tr>
        <w:trPr>
          <w:cantSplit/>
        </w:trPr>
        <w:tc>
          <w:tcPr>
            <w:tcW w:type="dxa" w:w="1685"/>
            <w:tcW w:w="1685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RNF-USA-001</w:t>
            </w:r>
          </w:p>
        </w:tc>
        <w:tc>
          <w:tcPr>
            <w:tcW w:type="dxa" w:w="4867"/>
            <w:tcW w:w="4867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Usabilidad</w:t>
            </w:r>
          </w:p>
        </w:tc>
        <w:tc>
          <w:tcPr>
            <w:tcW w:type="dxa" w:w="2808"/>
            <w:tcW w:w="2808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Español, responsivo, estados visibles y confirmación en acciones irreversibles</w:t>
            </w:r>
          </w:p>
        </w:tc>
      </w:tr>
      <w:tr>
        <w:trPr>
          <w:cantSplit/>
        </w:trPr>
        <w:tc>
          <w:tcPr>
            <w:tcW w:type="dxa" w:w="1685"/>
            <w:tcW w:w="1685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RNF-MAN-001</w:t>
            </w:r>
          </w:p>
        </w:tc>
        <w:tc>
          <w:tcPr>
            <w:tcW w:type="dxa" w:w="4867"/>
            <w:tcW w:w="4867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Mantenibilidad</w:t>
            </w:r>
          </w:p>
        </w:tc>
        <w:tc>
          <w:tcPr>
            <w:tcW w:type="dxa" w:w="2808"/>
            <w:tcW w:w="2808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Capas limpias, migraciones EF versionadas, build y documentación actualizada</w:t>
            </w:r>
          </w:p>
        </w:tc>
      </w:tr>
      <w:tr>
        <w:trPr>
          <w:cantSplit/>
        </w:trPr>
        <w:tc>
          <w:tcPr>
            <w:tcW w:type="dxa" w:w="1685"/>
            <w:tcW w:w="1685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RNF-OBS-001</w:t>
            </w:r>
          </w:p>
        </w:tc>
        <w:tc>
          <w:tcPr>
            <w:tcW w:type="dxa" w:w="4867"/>
            <w:tcW w:w="4867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Observabilidad</w:t>
            </w:r>
          </w:p>
        </w:tc>
        <w:tc>
          <w:tcPr>
            <w:tcW w:type="dxa" w:w="2808"/>
            <w:tcW w:w="2808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Logs estructurados y correlación sin secretos ni datos sensibles innecesarios</w:t>
            </w:r>
          </w:p>
        </w:tc>
      </w:tr>
    </w:tbl>
    <w:p>
      <w:pPr>
        <w:pStyle w:val="Heading2"/>
      </w:pPr>
      <w:r>
        <w:rPr>
          <w:rFonts w:ascii="Calibri" w:hAnsi="Calibri"/>
          <w:b w:val="0"/>
          <w:i w:val="0"/>
          <w:color w:val="000000"/>
          <w:sz w:val="26"/>
        </w:rPr>
        <w:t>3. Definición de terminado</w:t>
      </w:r>
    </w:p>
    <w:p>
      <w:r>
        <w:rPr>
          <w:rFonts w:ascii="Calibri" w:hAnsi="Calibri"/>
          <w:b w:val="0"/>
          <w:i w:val="0"/>
          <w:color w:val="000000"/>
          <w:sz w:val="22"/>
        </w:rPr>
        <w:t>Implementación en backend y frontend cuando aplique, migración, validación, autorización, auditoría, pruebas de éxito/error/concurrencia, documentación y aceptación por el propietario del producto.</w:t>
      </w:r>
    </w:p>
    <w:p>
      <w:r>
        <w:br w:type="page"/>
      </w:r>
    </w:p>
    <w:p>
      <w:pPr>
        <w:pStyle w:val="Heading2"/>
      </w:pPr>
      <w:r>
        <w:rPr>
          <w:rFonts w:ascii="Calibri" w:hAnsi="Calibri"/>
          <w:b w:val="0"/>
          <w:i w:val="0"/>
          <w:color w:val="000000"/>
          <w:sz w:val="26"/>
        </w:rPr>
        <w:t>ERP Trojes de Marañón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1685"/>
        <w:gridCol w:w="4867"/>
        <w:gridCol w:w="2808"/>
      </w:tblGrid>
      <w:tr>
        <w:trPr>
          <w:cantSplit/>
          <w:tblHeader w:val="true"/>
        </w:trPr>
        <w:tc>
          <w:tcPr>
            <w:tcW w:type="dxa" w:w="1685"/>
            <w:tcW w:w="1685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ID</w:t>
            </w:r>
          </w:p>
        </w:tc>
        <w:tc>
          <w:tcPr>
            <w:tcW w:type="dxa" w:w="4867"/>
            <w:tcW w:w="4867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Regla</w:t>
            </w:r>
          </w:p>
        </w:tc>
        <w:tc>
          <w:tcPr>
            <w:tcW w:type="dxa" w:w="2808"/>
            <w:tcW w:w="2808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Estado</w:t>
            </w:r>
          </w:p>
        </w:tc>
      </w:tr>
      <w:tr>
        <w:trPr>
          <w:cantSplit/>
        </w:trPr>
        <w:tc>
          <w:tcPr>
            <w:tcW w:type="dxa" w:w="1685"/>
            <w:tcW w:w="1685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RN-EMP-001</w:t>
            </w:r>
          </w:p>
        </w:tc>
        <w:tc>
          <w:tcPr>
            <w:tcW w:type="dxa" w:w="4867"/>
            <w:tcW w:w="4867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Todo registro operativo pertenece a una empresa; no se confía en un CompanyId arbitrario enviado por el cliente.</w:t>
            </w:r>
          </w:p>
        </w:tc>
        <w:tc>
          <w:tcPr>
            <w:tcW w:type="dxa" w:w="2808"/>
            <w:tcW w:w="2808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Arquitectura; validar en cada handler</w:t>
            </w:r>
          </w:p>
        </w:tc>
      </w:tr>
      <w:tr>
        <w:trPr>
          <w:cantSplit/>
        </w:trPr>
        <w:tc>
          <w:tcPr>
            <w:tcW w:type="dxa" w:w="1685"/>
            <w:tcW w:w="1685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RN-ACC-001</w:t>
            </w:r>
          </w:p>
        </w:tc>
        <w:tc>
          <w:tcPr>
            <w:tcW w:type="dxa" w:w="4867"/>
            <w:tcW w:w="4867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El usuario solo opera proyectos y almacenes dentro de su alcance, además del permiso funcional requerido.</w:t>
            </w:r>
          </w:p>
        </w:tc>
        <w:tc>
          <w:tcPr>
            <w:tcW w:type="dxa" w:w="2808"/>
            <w:tcW w:w="2808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Diseñada; cobertura progresiva</w:t>
            </w:r>
          </w:p>
        </w:tc>
      </w:tr>
      <w:tr>
        <w:trPr>
          <w:cantSplit/>
        </w:trPr>
        <w:tc>
          <w:tcPr>
            <w:tcW w:type="dxa" w:w="1685"/>
            <w:tcW w:w="1685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RN-CAT-001</w:t>
            </w:r>
          </w:p>
        </w:tc>
        <w:tc>
          <w:tcPr>
            <w:tcW w:type="dxa" w:w="4867"/>
            <w:tcW w:w="4867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Códigos de catálogos son únicos por empresa entre registros activos.</w:t>
            </w:r>
          </w:p>
        </w:tc>
        <w:tc>
          <w:tcPr>
            <w:tcW w:type="dxa" w:w="2808"/>
            <w:tcW w:w="2808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Implementada/documentada</w:t>
            </w:r>
          </w:p>
        </w:tc>
      </w:tr>
      <w:tr>
        <w:trPr>
          <w:cantSplit/>
        </w:trPr>
        <w:tc>
          <w:tcPr>
            <w:tcW w:type="dxa" w:w="1685"/>
            <w:tcW w:w="1685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RN-DEL-001</w:t>
            </w:r>
          </w:p>
        </w:tc>
        <w:tc>
          <w:tcPr>
            <w:tcW w:type="dxa" w:w="4867"/>
            <w:tcW w:w="4867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Entidades maestras con historial se desactivan mediante soft delete; no se destruyen referencias.</w:t>
            </w:r>
          </w:p>
        </w:tc>
        <w:tc>
          <w:tcPr>
            <w:tcW w:type="dxa" w:w="2808"/>
            <w:tcW w:w="2808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Implementada</w:t>
            </w:r>
          </w:p>
        </w:tc>
      </w:tr>
      <w:tr>
        <w:trPr>
          <w:cantSplit/>
        </w:trPr>
        <w:tc>
          <w:tcPr>
            <w:tcW w:type="dxa" w:w="1685"/>
            <w:tcW w:w="1685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RN-UNI-001</w:t>
            </w:r>
          </w:p>
        </w:tc>
        <w:tc>
          <w:tcPr>
            <w:tcW w:type="dxa" w:w="4867"/>
            <w:tcW w:w="4867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El inventario se expresa en unidad base del material.</w:t>
            </w:r>
          </w:p>
        </w:tc>
        <w:tc>
          <w:tcPr>
            <w:tcW w:type="dxa" w:w="2808"/>
            <w:tcW w:w="2808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Diseñada</w:t>
            </w:r>
          </w:p>
        </w:tc>
      </w:tr>
      <w:tr>
        <w:trPr>
          <w:cantSplit/>
        </w:trPr>
        <w:tc>
          <w:tcPr>
            <w:tcW w:type="dxa" w:w="1685"/>
            <w:tcW w:w="1685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RN-UNI-002</w:t>
            </w:r>
          </w:p>
        </w:tc>
        <w:tc>
          <w:tcPr>
            <w:tcW w:type="dxa" w:w="4867"/>
            <w:tcW w:w="4867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Una conversión es positiva, específica del material y no puede ser ambigua para la misma unidad origen.</w:t>
            </w:r>
          </w:p>
        </w:tc>
        <w:tc>
          <w:tcPr>
            <w:tcW w:type="dxa" w:w="2808"/>
            <w:tcW w:w="2808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Diseñada; validar constraints</w:t>
            </w:r>
          </w:p>
        </w:tc>
      </w:tr>
      <w:tr>
        <w:trPr>
          <w:cantSplit/>
        </w:trPr>
        <w:tc>
          <w:tcPr>
            <w:tcW w:type="dxa" w:w="1685"/>
            <w:tcW w:w="1685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RN-DOC-001</w:t>
            </w:r>
          </w:p>
        </w:tc>
        <w:tc>
          <w:tcPr>
            <w:tcW w:type="dxa" w:w="4867"/>
            <w:tcW w:w="4867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Un documento inicia en borrador, solo un borrador es editable y publicar fija número, fecha y responsable.</w:t>
            </w:r>
          </w:p>
        </w:tc>
        <w:tc>
          <w:tcPr>
            <w:tcW w:type="dxa" w:w="2808"/>
            <w:tcW w:w="2808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Diseñada/implementada en inventario</w:t>
            </w:r>
          </w:p>
        </w:tc>
      </w:tr>
      <w:tr>
        <w:trPr>
          <w:cantSplit/>
        </w:trPr>
        <w:tc>
          <w:tcPr>
            <w:tcW w:type="dxa" w:w="1685"/>
            <w:tcW w:w="1685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RN-DOC-002</w:t>
            </w:r>
          </w:p>
        </w:tc>
        <w:tc>
          <w:tcPr>
            <w:tcW w:type="dxa" w:w="4867"/>
            <w:tcW w:w="4867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Un documento publicado no se elimina ni edita; cancelar exige motivo y genera reversos.</w:t>
            </w:r>
          </w:p>
        </w:tc>
        <w:tc>
          <w:tcPr>
            <w:tcW w:type="dxa" w:w="2808"/>
            <w:tcW w:w="2808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Diseñada/implementada</w:t>
            </w:r>
          </w:p>
        </w:tc>
      </w:tr>
      <w:tr>
        <w:trPr>
          <w:cantSplit/>
        </w:trPr>
        <w:tc>
          <w:tcPr>
            <w:tcW w:type="dxa" w:w="1685"/>
            <w:tcW w:w="1685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RN-DOC-003</w:t>
            </w:r>
          </w:p>
        </w:tc>
        <w:tc>
          <w:tcPr>
            <w:tcW w:type="dxa" w:w="4867"/>
            <w:tcW w:w="4867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Publicación y cancelación son idempotentes.</w:t>
            </w:r>
          </w:p>
        </w:tc>
        <w:tc>
          <w:tcPr>
            <w:tcW w:type="dxa" w:w="2808"/>
            <w:tcW w:w="2808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Requerida; validar prueba concurrente</w:t>
            </w:r>
          </w:p>
        </w:tc>
      </w:tr>
      <w:tr>
        <w:trPr>
          <w:cantSplit/>
        </w:trPr>
        <w:tc>
          <w:tcPr>
            <w:tcW w:type="dxa" w:w="1685"/>
            <w:tcW w:w="1685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RN-INV-001</w:t>
            </w:r>
          </w:p>
        </w:tc>
        <w:tc>
          <w:tcPr>
            <w:tcW w:type="dxa" w:w="4867"/>
            <w:tcW w:w="4867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Recepción publicada aumenta inventario; salida publicada lo disminuye.</w:t>
            </w:r>
          </w:p>
        </w:tc>
        <w:tc>
          <w:tcPr>
            <w:tcW w:type="dxa" w:w="2808"/>
            <w:tcW w:w="2808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Implementada</w:t>
            </w:r>
          </w:p>
        </w:tc>
      </w:tr>
      <w:tr>
        <w:trPr>
          <w:cantSplit/>
        </w:trPr>
        <w:tc>
          <w:tcPr>
            <w:tcW w:type="dxa" w:w="1685"/>
            <w:tcW w:w="1685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RN-INV-002</w:t>
            </w:r>
          </w:p>
        </w:tc>
        <w:tc>
          <w:tcPr>
            <w:tcW w:type="dxa" w:w="4867"/>
            <w:tcW w:w="4867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Una salida no puede dejar saldo negativo, salvo política por empresa explícita y autorizada.</w:t>
            </w:r>
          </w:p>
        </w:tc>
        <w:tc>
          <w:tcPr>
            <w:tcW w:type="dxa" w:w="2808"/>
            <w:tcW w:w="2808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Implementada según diseño; validar configuración</w:t>
            </w:r>
          </w:p>
        </w:tc>
      </w:tr>
      <w:tr>
        <w:trPr>
          <w:cantSplit/>
        </w:trPr>
        <w:tc>
          <w:tcPr>
            <w:tcW w:type="dxa" w:w="1685"/>
            <w:tcW w:w="1685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RN-INV-003</w:t>
            </w:r>
          </w:p>
        </w:tc>
        <w:tc>
          <w:tcPr>
            <w:tcW w:type="dxa" w:w="4867"/>
            <w:tcW w:w="4867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Transferencia publicada genera salida del almacén origen y entrada equivalente al destino.</w:t>
            </w:r>
          </w:p>
        </w:tc>
        <w:tc>
          <w:tcPr>
            <w:tcW w:type="dxa" w:w="2808"/>
            <w:tcW w:w="2808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Implementada</w:t>
            </w:r>
          </w:p>
        </w:tc>
      </w:tr>
      <w:tr>
        <w:trPr>
          <w:cantSplit/>
        </w:trPr>
        <w:tc>
          <w:tcPr>
            <w:tcW w:type="dxa" w:w="1685"/>
            <w:tcW w:w="1685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RN-INV-004</w:t>
            </w:r>
          </w:p>
        </w:tc>
        <w:tc>
          <w:tcPr>
            <w:tcW w:type="dxa" w:w="4867"/>
            <w:tcW w:w="4867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Origen y destino de transferencia deben ser diferentes y pertenecer a la misma empresa.</w:t>
            </w:r>
          </w:p>
        </w:tc>
        <w:tc>
          <w:tcPr>
            <w:tcW w:type="dxa" w:w="2808"/>
            <w:tcW w:w="2808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Requerida</w:t>
            </w:r>
          </w:p>
        </w:tc>
      </w:tr>
      <w:tr>
        <w:trPr>
          <w:cantSplit/>
        </w:trPr>
        <w:tc>
          <w:tcPr>
            <w:tcW w:type="dxa" w:w="1685"/>
            <w:tcW w:w="1685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RN-INV-005</w:t>
            </w:r>
          </w:p>
        </w:tc>
        <w:tc>
          <w:tcPr>
            <w:tcW w:type="dxa" w:w="4867"/>
            <w:tcW w:w="4867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Ajuste requiere motivo y diferencia; su movimiento usa el signo de la diferencia.</w:t>
            </w:r>
          </w:p>
        </w:tc>
        <w:tc>
          <w:tcPr>
            <w:tcW w:type="dxa" w:w="2808"/>
            <w:tcW w:w="2808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Implementada</w:t>
            </w:r>
          </w:p>
        </w:tc>
      </w:tr>
      <w:tr>
        <w:trPr>
          <w:cantSplit/>
        </w:trPr>
        <w:tc>
          <w:tcPr>
            <w:tcW w:type="dxa" w:w="1685"/>
            <w:tcW w:w="1685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RN-INV-006</w:t>
            </w:r>
          </w:p>
        </w:tc>
        <w:tc>
          <w:tcPr>
            <w:tcW w:type="dxa" w:w="4867"/>
            <w:tcW w:w="4867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Saldo = suma de movimientos publicados no cancelados por material, almacén y unidad base.</w:t>
            </w:r>
          </w:p>
        </w:tc>
        <w:tc>
          <w:tcPr>
            <w:tcW w:type="dxa" w:w="2808"/>
            <w:tcW w:w="2808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Regla canónica</w:t>
            </w:r>
          </w:p>
        </w:tc>
      </w:tr>
      <w:tr>
        <w:trPr>
          <w:cantSplit/>
        </w:trPr>
        <w:tc>
          <w:tcPr>
            <w:tcW w:type="dxa" w:w="1685"/>
            <w:tcW w:w="1685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RN-PRO-001</w:t>
            </w:r>
          </w:p>
        </w:tc>
        <w:tc>
          <w:tcPr>
            <w:tcW w:type="dxa" w:w="4867"/>
            <w:tcW w:w="4867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Una plataforma pertenece a un solo proyecto y sus actividades/consumos a la misma empresa.</w:t>
            </w:r>
          </w:p>
        </w:tc>
        <w:tc>
          <w:tcPr>
            <w:tcW w:type="dxa" w:w="2808"/>
            <w:tcW w:w="2808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Implementada</w:t>
            </w:r>
          </w:p>
        </w:tc>
      </w:tr>
      <w:tr>
        <w:trPr>
          <w:cantSplit/>
        </w:trPr>
        <w:tc>
          <w:tcPr>
            <w:tcW w:type="dxa" w:w="1685"/>
            <w:tcW w:w="1685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RN-PRO-002</w:t>
            </w:r>
          </w:p>
        </w:tc>
        <w:tc>
          <w:tcPr>
            <w:tcW w:type="dxa" w:w="4867"/>
            <w:tcW w:w="4867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Progreso físico está entre 0 y 100 y una plataforma terminada no recibe operación ordinaria.</w:t>
            </w:r>
          </w:p>
        </w:tc>
        <w:tc>
          <w:tcPr>
            <w:tcW w:type="dxa" w:w="2808"/>
            <w:tcW w:w="2808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Parcial; validar cierre</w:t>
            </w:r>
          </w:p>
        </w:tc>
      </w:tr>
      <w:tr>
        <w:trPr>
          <w:cantSplit/>
        </w:trPr>
        <w:tc>
          <w:tcPr>
            <w:tcW w:type="dxa" w:w="1685"/>
            <w:tcW w:w="1685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RN-CON-001</w:t>
            </w:r>
          </w:p>
        </w:tc>
        <w:tc>
          <w:tcPr>
            <w:tcW w:type="dxa" w:w="4867"/>
            <w:tcW w:w="4867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Comparación estimado-real convierte ambos valores a la unidad base del material.</w:t>
            </w:r>
          </w:p>
        </w:tc>
        <w:tc>
          <w:tcPr>
            <w:tcW w:type="dxa" w:w="2808"/>
            <w:tcW w:w="2808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Implementada/diseñada</w:t>
            </w:r>
          </w:p>
        </w:tc>
      </w:tr>
      <w:tr>
        <w:trPr>
          <w:cantSplit/>
        </w:trPr>
        <w:tc>
          <w:tcPr>
            <w:tcW w:type="dxa" w:w="1685"/>
            <w:tcW w:w="1685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RN-MON-001</w:t>
            </w:r>
          </w:p>
        </w:tc>
        <w:tc>
          <w:tcPr>
            <w:tcW w:type="dxa" w:w="4867"/>
            <w:tcW w:w="4867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Importes conservan moneda y tipo de cambio aplicable; no se suman monedas sin conversión.</w:t>
            </w:r>
          </w:p>
        </w:tc>
        <w:tc>
          <w:tcPr>
            <w:tcW w:type="dxa" w:w="2808"/>
            <w:tcW w:w="2808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Diseñada; fase de costos</w:t>
            </w:r>
          </w:p>
        </w:tc>
      </w:tr>
      <w:tr>
        <w:trPr>
          <w:cantSplit/>
        </w:trPr>
        <w:tc>
          <w:tcPr>
            <w:tcW w:type="dxa" w:w="1685"/>
            <w:tcW w:w="1685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RN-AUD-001</w:t>
            </w:r>
          </w:p>
        </w:tc>
        <w:tc>
          <w:tcPr>
            <w:tcW w:type="dxa" w:w="4867"/>
            <w:tcW w:w="4867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Seguridad, publicación, cancelación y cambios maestros críticos dejan auditoría.</w:t>
            </w:r>
          </w:p>
        </w:tc>
        <w:tc>
          <w:tcPr>
            <w:tcW w:type="dxa" w:w="2808"/>
            <w:tcW w:w="2808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Implementada base</w:t>
            </w:r>
          </w:p>
        </w:tc>
      </w:tr>
    </w:tbl>
    <w:p>
      <w:pPr>
        <w:pStyle w:val="Heading2"/>
      </w:pPr>
      <w:r>
        <w:rPr>
          <w:rFonts w:ascii="Calibri" w:hAnsi="Calibri"/>
          <w:b w:val="0"/>
          <w:i w:val="0"/>
          <w:color w:val="000000"/>
          <w:sz w:val="26"/>
        </w:rPr>
        <w:t>Invariantes de publicación</w:t>
      </w:r>
    </w:p>
    <w:p>
      <w:pPr>
        <w:pStyle w:val="ListNumber"/>
      </w:pPr>
      <w:r>
        <w:rPr>
          <w:rFonts w:ascii="Calibri" w:hAnsi="Calibri"/>
          <w:b w:val="0"/>
          <w:i w:val="0"/>
          <w:color w:val="000000"/>
          <w:sz w:val="22"/>
        </w:rPr>
        <w:t>Documento, líneas, almacenes, materiales, proyecto y plataforma pertenecen a la misma empresa.</w:t>
      </w:r>
    </w:p>
    <w:p>
      <w:pPr>
        <w:pStyle w:val="ListNumber"/>
      </w:pPr>
      <w:r>
        <w:rPr>
          <w:rFonts w:ascii="Calibri" w:hAnsi="Calibri"/>
          <w:b w:val="0"/>
          <w:i w:val="0"/>
          <w:color w:val="000000"/>
          <w:sz w:val="22"/>
        </w:rPr>
        <w:t>Cantidades y factores son mayores que cero, salvo diferencia firmada de un ajuste.</w:t>
      </w:r>
    </w:p>
    <w:p>
      <w:pPr>
        <w:pStyle w:val="ListNumber"/>
      </w:pPr>
      <w:r>
        <w:rPr>
          <w:rFonts w:ascii="Calibri" w:hAnsi="Calibri"/>
          <w:b w:val="0"/>
          <w:i w:val="0"/>
          <w:color w:val="000000"/>
          <w:sz w:val="22"/>
        </w:rPr>
        <w:t>Cada línea se convierte a unidad base antes de afectar saldo.</w:t>
      </w:r>
    </w:p>
    <w:p>
      <w:pPr>
        <w:pStyle w:val="ListNumber"/>
      </w:pPr>
      <w:r>
        <w:rPr>
          <w:rFonts w:ascii="Calibri" w:hAnsi="Calibri"/>
          <w:b w:val="0"/>
          <w:i w:val="0"/>
          <w:color w:val="000000"/>
          <w:sz w:val="22"/>
        </w:rPr>
        <w:t>Se valida stock dentro de la misma transacción que crea movimientos.</w:t>
      </w:r>
    </w:p>
    <w:p>
      <w:pPr>
        <w:pStyle w:val="ListNumber"/>
      </w:pPr>
      <w:r>
        <w:rPr>
          <w:rFonts w:ascii="Calibri" w:hAnsi="Calibri"/>
          <w:b w:val="0"/>
          <w:i w:val="0"/>
          <w:color w:val="000000"/>
          <w:sz w:val="22"/>
        </w:rPr>
        <w:t>El número documental es único según serie y empresa.</w:t>
      </w:r>
    </w:p>
    <w:p>
      <w:pPr>
        <w:pStyle w:val="ListNumber"/>
      </w:pPr>
      <w:r>
        <w:rPr>
          <w:rFonts w:ascii="Calibri" w:hAnsi="Calibri"/>
          <w:b w:val="0"/>
          <w:i w:val="0"/>
          <w:color w:val="000000"/>
          <w:sz w:val="22"/>
        </w:rPr>
        <w:t>El resultado es todo o nada; no se permiten publicaciones parciales invisibles.</w:t>
      </w:r>
    </w:p>
    <w:p>
      <w:r>
        <w:br w:type="page"/>
      </w:r>
    </w:p>
    <w:p>
      <w:pPr>
        <w:pStyle w:val="Heading2"/>
      </w:pPr>
      <w:r>
        <w:rPr>
          <w:rFonts w:ascii="Calibri" w:hAnsi="Calibri"/>
          <w:b w:val="0"/>
          <w:i w:val="0"/>
          <w:color w:val="000000"/>
          <w:sz w:val="26"/>
        </w:rPr>
        <w:t>ERP Trojes de Marañón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1123"/>
        <w:gridCol w:w="5429"/>
        <w:gridCol w:w="1123"/>
        <w:gridCol w:w="1685"/>
      </w:tblGrid>
      <w:tr>
        <w:trPr>
          <w:cantSplit/>
          <w:tblHeader w:val="true"/>
        </w:trPr>
        <w:tc>
          <w:tcPr>
            <w:tcW w:type="dxa" w:w="1123"/>
            <w:tcW w:w="1123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i w:val="0"/>
                <w:color w:val="0B2545"/>
                <w:sz w:val="16"/>
              </w:rPr>
              <w:t>Necesidad</w:t>
            </w:r>
          </w:p>
        </w:tc>
        <w:tc>
          <w:tcPr>
            <w:tcW w:type="dxa" w:w="5429"/>
            <w:tcW w:w="5429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i w:val="0"/>
                <w:color w:val="0B2545"/>
                <w:sz w:val="16"/>
              </w:rPr>
              <w:t>Requerimientos</w:t>
            </w:r>
          </w:p>
        </w:tc>
        <w:tc>
          <w:tcPr>
            <w:tcW w:type="dxa" w:w="1123"/>
            <w:tcW w:w="1123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i w:val="0"/>
                <w:color w:val="0B2545"/>
                <w:sz w:val="16"/>
              </w:rPr>
              <w:t>Evidencia</w:t>
            </w:r>
          </w:p>
        </w:tc>
        <w:tc>
          <w:tcPr>
            <w:tcW w:type="dxa" w:w="1685"/>
            <w:tcW w:w="1685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i w:val="0"/>
                <w:color w:val="0B2545"/>
                <w:sz w:val="16"/>
              </w:rPr>
              <w:t>Pruebas de aceptación</w:t>
            </w:r>
          </w:p>
        </w:tc>
      </w:tr>
      <w:tr>
        <w:trPr>
          <w:cantSplit/>
        </w:trPr>
        <w:tc>
          <w:tcPr>
            <w:tcW w:type="dxa" w:w="1123"/>
            <w:tcW w:w="1123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Seguridad multiempresa</w:t>
            </w:r>
          </w:p>
        </w:tc>
        <w:tc>
          <w:tcPr>
            <w:tcW w:type="dxa" w:w="5429"/>
            <w:tcW w:w="5429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RF-SEG-001/002, RF-EMP-001</w:t>
            </w:r>
          </w:p>
        </w:tc>
        <w:tc>
          <w:tcPr>
            <w:tcW w:type="dxa" w:w="1123"/>
            <w:tcW w:w="1123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Auth, Users, Roles, Companies, auditoría</w:t>
            </w:r>
          </w:p>
        </w:tc>
        <w:tc>
          <w:tcPr>
            <w:tcW w:type="dxa" w:w="1685"/>
            <w:tcW w:w="1685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Cruce de empresa denegado; refresh/logout; permisos</w:t>
            </w:r>
          </w:p>
        </w:tc>
      </w:tr>
      <w:tr>
        <w:trPr>
          <w:cantSplit/>
        </w:trPr>
        <w:tc>
          <w:tcPr>
            <w:tcW w:type="dxa" w:w="1123"/>
            <w:tcW w:w="1123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Datos maestros confiables</w:t>
            </w:r>
          </w:p>
        </w:tc>
        <w:tc>
          <w:tcPr>
            <w:tcW w:type="dxa" w:w="5429"/>
            <w:tcW w:w="5429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RF-CAT-001, RF-MAT-001, RF-ALM-001</w:t>
            </w:r>
          </w:p>
        </w:tc>
        <w:tc>
          <w:tcPr>
            <w:tcW w:type="dxa" w:w="1123"/>
            <w:tcW w:w="1123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Controladores y entidades de catálogos</w:t>
            </w:r>
          </w:p>
        </w:tc>
        <w:tc>
          <w:tcPr>
            <w:tcW w:type="dxa" w:w="1685"/>
            <w:tcW w:w="1685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Unicidad, soft delete, referencias en uso</w:t>
            </w:r>
          </w:p>
        </w:tc>
      </w:tr>
      <w:tr>
        <w:trPr>
          <w:cantSplit/>
        </w:trPr>
        <w:tc>
          <w:tcPr>
            <w:tcW w:type="dxa" w:w="1123"/>
            <w:tcW w:w="1123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Planear por proyecto/plataforma</w:t>
            </w:r>
          </w:p>
        </w:tc>
        <w:tc>
          <w:tcPr>
            <w:tcW w:type="dxa" w:w="5429"/>
            <w:tcW w:w="5429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RF-PRO-001, RF-PLA-001</w:t>
            </w:r>
          </w:p>
        </w:tc>
        <w:tc>
          <w:tcPr>
            <w:tcW w:type="dxa" w:w="1123"/>
            <w:tcW w:w="1123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Projects, Platforms, Activities, Estimated Consumptions</w:t>
            </w:r>
          </w:p>
        </w:tc>
        <w:tc>
          <w:tcPr>
            <w:tcW w:type="dxa" w:w="1685"/>
            <w:tcW w:w="1685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Alcance, progreso, estimado en unidad base</w:t>
            </w:r>
          </w:p>
        </w:tc>
      </w:tr>
      <w:tr>
        <w:trPr>
          <w:cantSplit/>
        </w:trPr>
        <w:tc>
          <w:tcPr>
            <w:tcW w:type="dxa" w:w="1123"/>
            <w:tcW w:w="1123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Inventario documental</w:t>
            </w:r>
          </w:p>
        </w:tc>
        <w:tc>
          <w:tcPr>
            <w:tcW w:type="dxa" w:w="5429"/>
            <w:tcW w:w="5429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RF-REC-001, RF-SAL-001, RF-TRF-001, RF-AJU-001</w:t>
            </w:r>
          </w:p>
        </w:tc>
        <w:tc>
          <w:tcPr>
            <w:tcW w:type="dxa" w:w="1123"/>
            <w:tcW w:w="1123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Controladores, handlers y entidades Inventory</w:t>
            </w:r>
          </w:p>
        </w:tc>
        <w:tc>
          <w:tcPr>
            <w:tcW w:type="dxa" w:w="1685"/>
            <w:tcW w:w="1685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Publicar, repetir, cancelar, concurrencia</w:t>
            </w:r>
          </w:p>
        </w:tc>
      </w:tr>
      <w:tr>
        <w:trPr>
          <w:cantSplit/>
        </w:trPr>
        <w:tc>
          <w:tcPr>
            <w:tcW w:type="dxa" w:w="1123"/>
            <w:tcW w:w="1123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Existencias reproducibles</w:t>
            </w:r>
          </w:p>
        </w:tc>
        <w:tc>
          <w:tcPr>
            <w:tcW w:type="dxa" w:w="5429"/>
            <w:tcW w:w="5429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RF-INV-001, RF-CON-001</w:t>
            </w:r>
          </w:p>
        </w:tc>
        <w:tc>
          <w:tcPr>
            <w:tcW w:type="dxa" w:w="1123"/>
            <w:tcW w:w="1123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Balances, Movements, actual consumption/deviations</w:t>
            </w:r>
          </w:p>
        </w:tc>
        <w:tc>
          <w:tcPr>
            <w:tcW w:type="dxa" w:w="1685"/>
            <w:tcW w:w="1685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Recalcular saldo y estimado-real</w:t>
            </w:r>
          </w:p>
        </w:tc>
      </w:tr>
      <w:tr>
        <w:trPr>
          <w:cantSplit/>
        </w:trPr>
        <w:tc>
          <w:tcPr>
            <w:tcW w:type="dxa" w:w="1123"/>
            <w:tcW w:w="1123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Trazabilidad</w:t>
            </w:r>
          </w:p>
        </w:tc>
        <w:tc>
          <w:tcPr>
            <w:tcW w:type="dxa" w:w="5429"/>
            <w:tcW w:w="5429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RF-AUD-001</w:t>
            </w:r>
          </w:p>
        </w:tc>
        <w:tc>
          <w:tcPr>
            <w:tcW w:type="dxa" w:w="1123"/>
            <w:tcW w:w="1123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AuditLog, campos auditable y reglas documentales</w:t>
            </w:r>
          </w:p>
        </w:tc>
        <w:tc>
          <w:tcPr>
            <w:tcW w:type="dxa" w:w="1685"/>
            <w:tcW w:w="1685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Autor/fecha/motivo antes y después</w:t>
            </w:r>
          </w:p>
        </w:tc>
      </w:tr>
      <w:tr>
        <w:trPr>
          <w:cantSplit/>
        </w:trPr>
        <w:tc>
          <w:tcPr>
            <w:tcW w:type="dxa" w:w="1123"/>
            <w:tcW w:w="1123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Operación de obra futura</w:t>
            </w:r>
          </w:p>
        </w:tc>
        <w:tc>
          <w:tcPr>
            <w:tcW w:type="dxa" w:w="5429"/>
            <w:tcW w:w="5429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RF-OBR-001, RF-MAQ-001, RF-DIE-001, RF-MAN-001, RF-LAB-001</w:t>
            </w:r>
          </w:p>
        </w:tc>
        <w:tc>
          <w:tcPr>
            <w:tcW w:type="dxa" w:w="1123"/>
            <w:tcW w:w="1123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Docs 01-08 y modelo propuesto</w:t>
            </w:r>
          </w:p>
        </w:tc>
        <w:tc>
          <w:tcPr>
            <w:tcW w:type="dxa" w:w="1685"/>
            <w:tcW w:w="1685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A definir por cada MVP</w:t>
            </w:r>
          </w:p>
        </w:tc>
      </w:tr>
      <w:tr>
        <w:trPr>
          <w:cantSplit/>
        </w:trPr>
        <w:tc>
          <w:tcPr>
            <w:tcW w:type="dxa" w:w="1123"/>
            <w:tcW w:w="1123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Compras, costos y reportes</w:t>
            </w:r>
          </w:p>
        </w:tc>
        <w:tc>
          <w:tcPr>
            <w:tcW w:type="dxa" w:w="5429"/>
            <w:tcW w:w="5429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RF-COM-001, RF-COS-001, RF-RPT-001</w:t>
            </w:r>
          </w:p>
        </w:tc>
        <w:tc>
          <w:tcPr>
            <w:tcW w:type="dxa" w:w="1123"/>
            <w:tcW w:w="1123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Roadmap, ERD y APIs propuestas</w:t>
            </w:r>
          </w:p>
        </w:tc>
        <w:tc>
          <w:tcPr>
            <w:tcW w:type="dxa" w:w="1685"/>
            <w:tcW w:w="1685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A definir por cada MVP</w:t>
            </w:r>
          </w:p>
        </w:tc>
      </w:tr>
    </w:tbl>
    <w:p>
      <w:pPr>
        <w:pStyle w:val="Heading2"/>
      </w:pPr>
      <w:r>
        <w:rPr>
          <w:rFonts w:ascii="Calibri" w:hAnsi="Calibri"/>
          <w:b w:val="0"/>
          <w:i w:val="0"/>
          <w:color w:val="000000"/>
          <w:sz w:val="26"/>
        </w:rPr>
        <w:t>Fuentes revisadas</w:t>
      </w:r>
    </w:p>
    <w:p>
      <w:pPr>
        <w:pStyle w:val="ListBullet"/>
      </w:pPr>
      <w:r>
        <w:rPr>
          <w:rFonts w:ascii="Calibri" w:hAnsi="Calibri"/>
          <w:b w:val="0"/>
          <w:i w:val="0"/>
          <w:color w:val="0B2545"/>
          <w:sz w:val="20"/>
        </w:rPr>
        <w:t>REQUIREMENTS.md</w:t>
      </w:r>
      <w:r>
        <w:rPr>
          <w:rFonts w:ascii="Calibri" w:hAnsi="Calibri"/>
          <w:b w:val="0"/>
          <w:i w:val="0"/>
          <w:color w:val="000000"/>
          <w:sz w:val="22"/>
        </w:rPr>
        <w:t>.</w:t>
      </w:r>
    </w:p>
    <w:p>
      <w:pPr>
        <w:pStyle w:val="ListBullet"/>
      </w:pPr>
      <w:r>
        <w:rPr>
          <w:rFonts w:ascii="Calibri" w:hAnsi="Calibri"/>
          <w:b w:val="0"/>
          <w:i w:val="0"/>
          <w:color w:val="0B2545"/>
          <w:sz w:val="20"/>
        </w:rPr>
        <w:t>docs/01-arquitectura.md</w:t>
      </w:r>
      <w:r>
        <w:rPr>
          <w:rFonts w:ascii="Calibri" w:hAnsi="Calibri"/>
          <w:b w:val="0"/>
          <w:i w:val="0"/>
          <w:color w:val="000000"/>
          <w:sz w:val="22"/>
        </w:rPr>
        <w:t xml:space="preserve"> a </w:t>
      </w:r>
      <w:r>
        <w:rPr>
          <w:rFonts w:ascii="Calibri" w:hAnsi="Calibri"/>
          <w:b w:val="0"/>
          <w:i w:val="0"/>
          <w:color w:val="0B2545"/>
          <w:sz w:val="20"/>
        </w:rPr>
        <w:t>docs/08-roadmap.md</w:t>
      </w:r>
      <w:r>
        <w:rPr>
          <w:rFonts w:ascii="Calibri" w:hAnsi="Calibri"/>
          <w:b w:val="0"/>
          <w:i w:val="0"/>
          <w:color w:val="000000"/>
          <w:sz w:val="22"/>
        </w:rPr>
        <w:t>.</w:t>
      </w:r>
    </w:p>
    <w:p>
      <w:pPr>
        <w:pStyle w:val="ListBullet"/>
      </w:pPr>
      <w:r>
        <w:rPr>
          <w:rFonts w:ascii="Calibri" w:hAnsi="Calibri"/>
          <w:b w:val="0"/>
          <w:i w:val="0"/>
          <w:color w:val="000000"/>
          <w:sz w:val="22"/>
        </w:rPr>
        <w:t>Entidades de dominio, handlers, controladores y migraciones del backend.</w:t>
      </w:r>
    </w:p>
    <w:p>
      <w:pPr>
        <w:pStyle w:val="ListBullet"/>
      </w:pPr>
      <w:r>
        <w:rPr>
          <w:rFonts w:ascii="Calibri" w:hAnsi="Calibri"/>
          <w:b w:val="0"/>
          <w:i w:val="0"/>
          <w:color w:val="000000"/>
          <w:sz w:val="22"/>
        </w:rPr>
        <w:t>Rutas y páginas del frontend.</w:t>
      </w:r>
    </w:p>
    <w:p>
      <w:pPr>
        <w:pStyle w:val="ListBullet"/>
      </w:pPr>
      <w:r>
        <w:rPr>
          <w:rFonts w:ascii="Calibri" w:hAnsi="Calibri"/>
          <w:b w:val="0"/>
          <w:i w:val="0"/>
          <w:color w:val="000000"/>
          <w:sz w:val="22"/>
        </w:rPr>
        <w:t xml:space="preserve">README y guías </w:t>
      </w:r>
      <w:r>
        <w:rPr>
          <w:rFonts w:ascii="Calibri" w:hAnsi="Calibri"/>
          <w:b w:val="0"/>
          <w:i w:val="0"/>
          <w:color w:val="0B2545"/>
          <w:sz w:val="20"/>
        </w:rPr>
        <w:t>AGENTS.md</w:t>
      </w:r>
      <w:r>
        <w:rPr>
          <w:rFonts w:ascii="Calibri" w:hAnsi="Calibri"/>
          <w:b w:val="0"/>
          <w:i w:val="0"/>
          <w:color w:val="000000"/>
          <w:sz w:val="22"/>
        </w:rPr>
        <w:t xml:space="preserve"> del repositorio, backend y frontend.</w:t>
      </w:r>
    </w:p>
    <w:p>
      <w:pPr>
        <w:pStyle w:val="Heading2"/>
      </w:pPr>
      <w:r>
        <w:rPr>
          <w:rFonts w:ascii="Calibri" w:hAnsi="Calibri"/>
          <w:b w:val="0"/>
          <w:i w:val="0"/>
          <w:color w:val="000000"/>
          <w:sz w:val="26"/>
        </w:rPr>
        <w:t>Brechas documentales detectadas</w:t>
      </w:r>
    </w:p>
    <w:p>
      <w:pPr>
        <w:pStyle w:val="ListBullet"/>
      </w:pPr>
      <w:r>
        <w:rPr>
          <w:rFonts w:ascii="Calibri" w:hAnsi="Calibri"/>
          <w:b w:val="0"/>
          <w:i w:val="0"/>
          <w:color w:val="000000"/>
          <w:sz w:val="22"/>
        </w:rPr>
        <w:t>El README todavía declara “MVP 2” aunque código y UI contienen proyectos e inventario posteriores.</w:t>
      </w:r>
    </w:p>
    <w:p>
      <w:pPr>
        <w:pStyle w:val="ListBullet"/>
      </w:pPr>
      <w:r>
        <w:rPr>
          <w:rFonts w:ascii="Calibri" w:hAnsi="Calibri"/>
          <w:b w:val="0"/>
          <w:i w:val="0"/>
          <w:color w:val="000000"/>
          <w:sz w:val="22"/>
        </w:rPr>
        <w:t>La aceptación operativa y propietarios no están firmados.</w:t>
      </w:r>
    </w:p>
    <w:p>
      <w:pPr>
        <w:pStyle w:val="ListBullet"/>
      </w:pPr>
      <w:r>
        <w:rPr>
          <w:rFonts w:ascii="Calibri" w:hAnsi="Calibri"/>
          <w:b w:val="0"/>
          <w:i w:val="0"/>
          <w:color w:val="000000"/>
          <w:sz w:val="22"/>
        </w:rPr>
        <w:t>Falta fijar SLA/RTO/RPO, carga esperada y política de stock negativo.</w:t>
      </w:r>
    </w:p>
    <w:p>
      <w:pPr>
        <w:pStyle w:val="ListBullet"/>
      </w:pPr>
      <w:r>
        <w:rPr>
          <w:rFonts w:ascii="Calibri" w:hAnsi="Calibri"/>
          <w:b w:val="0"/>
          <w:i w:val="0"/>
          <w:color w:val="000000"/>
          <w:sz w:val="22"/>
        </w:rPr>
        <w:t>Las pruebas automatizadas no constituyen aún evidencia suficiente de concurrencia e idempotencia.</w:t>
      </w:r>
    </w:p>
    <w:p>
      <w:pPr>
        <w:pStyle w:val="ListBullet"/>
      </w:pPr>
      <w:r>
        <w:rPr>
          <w:rFonts w:ascii="Calibri" w:hAnsi="Calibri"/>
          <w:b w:val="0"/>
          <w:i w:val="0"/>
          <w:color w:val="000000"/>
          <w:sz w:val="22"/>
        </w:rPr>
        <w:t>Los módulos futuros deben conservar estado “planificado” y no mezclarse con la línea base entregada.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b w:val="0"/>
        <w:i w:val="0"/>
        <w:color w:val="666666"/>
        <w:sz w:val="17"/>
      </w:rPr>
      <w:t xml:space="preserve">Página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Calibri" w:hAnsi="Calibri"/>
        <w:b/>
        <w:i w:val="0"/>
        <w:color w:val="666666"/>
        <w:sz w:val="17"/>
      </w:rPr>
      <w:t>ERP TROJES DE MARAÑÓN  |  DOCUMENTO MAESTRO DEL PROYECTO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60" w:line="280" w:lineRule="auto"/>
      <w:ind w:left="720" w:hanging="360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60" w:line="280" w:lineRule="auto"/>
      <w:ind w:left="720" w:hanging="360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